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07111F"/>
          <w:sz w:val="68"/>
        </w:rPr>
        <w:t>MITHQAL</w:t>
      </w:r>
    </w:p>
    <w:p>
      <w:pPr>
        <w:jc w:val="center"/>
      </w:pPr>
      <w:r>
        <w:rPr>
          <w:b/>
          <w:color w:val="C99B56"/>
          <w:sz w:val="42"/>
        </w:rPr>
        <w:t>CANONICAL MASTER BLUEPRINT</w:t>
      </w:r>
    </w:p>
    <w:p>
      <w:pPr>
        <w:jc w:val="center"/>
      </w:pPr>
      <w:r>
        <w:rPr>
          <w:color w:val="526171"/>
          <w:sz w:val="24"/>
        </w:rPr>
        <w:t>Institutional Settlement Control Plane • MTQ Optional Module • Evidence-Led Institutionalization</w:t>
      </w:r>
    </w:p>
    <w:p/>
    <w:p/>
    <w:tbl>
      <w:tblPr>
        <w:tblStyle w:val="TableGrid"/>
        <w:tblW w:type="auto" w:w="0"/>
        <w:jc w:val="center"/>
        <w:tblLook w:firstColumn="1" w:firstRow="1" w:lastColumn="0" w:lastRow="0" w:noHBand="0" w:noVBand="1" w:val="04A0"/>
      </w:tblPr>
      <w:tblGrid>
        <w:gridCol w:w="4997"/>
        <w:gridCol w:w="4997"/>
      </w:tblGrid>
      <w:tr>
        <w:trPr>
          <w:tblHeader w:val="true"/>
          <w:cantSplit/>
        </w:trPr>
        <w:tc>
          <w:tcPr>
            <w:tcW w:type="dxa" w:w="2880"/>
            <w:shd w:fill="07111F"/>
            <w:tcMar>
              <w:top w:w="80" w:type="dxa"/>
              <w:start w:w="90" w:type="dxa"/>
              <w:bottom w:w="80" w:type="dxa"/>
              <w:end w:w="90" w:type="dxa"/>
            </w:tcMar>
            <w:vAlign w:val="center"/>
          </w:tcPr>
          <w:p>
            <w:r>
              <w:rPr>
                <w:rFonts w:ascii="Aptos" w:hAnsi="Aptos"/>
                <w:b/>
                <w:color w:val="FFFFFF"/>
                <w:sz w:val="18"/>
              </w:rPr>
              <w:t>DOCUMENT CONTROL</w:t>
            </w:r>
          </w:p>
        </w:tc>
        <w:tc>
          <w:tcPr>
            <w:tcW w:type="dxa" w:w="6912"/>
            <w:shd w:fill="07111F"/>
            <w:tcMar>
              <w:top w:w="80" w:type="dxa"/>
              <w:start w:w="90" w:type="dxa"/>
              <w:bottom w:w="80" w:type="dxa"/>
              <w:end w:w="90" w:type="dxa"/>
            </w:tcMar>
            <w:vAlign w:val="center"/>
          </w:tcPr>
          <w:p>
            <w:r>
              <w:rPr>
                <w:rFonts w:ascii="Aptos" w:hAnsi="Aptos"/>
                <w:b/>
                <w:color w:val="FFFFFF"/>
                <w:sz w:val="18"/>
              </w:rPr>
              <w:t>VALUE</w:t>
            </w:r>
          </w:p>
        </w:tc>
      </w:tr>
      <w:tr>
        <w:trPr>
          <w:cantSplit/>
        </w:trPr>
        <w:tc>
          <w:tcPr>
            <w:tcW w:type="dxa" w:w="4997"/>
            <w:tcMar>
              <w:top w:w="80" w:type="dxa"/>
              <w:start w:w="90" w:type="dxa"/>
              <w:bottom w:w="80" w:type="dxa"/>
              <w:end w:w="90" w:type="dxa"/>
            </w:tcMar>
            <w:vAlign w:val="top"/>
            <w:shd w:fill="F7F9FB"/>
          </w:tcPr>
          <w:p>
            <w:pPr>
              <w:spacing w:after="30"/>
            </w:pPr>
            <w:r>
              <w:rPr>
                <w:rFonts w:ascii="Aptos" w:hAnsi="Aptos"/>
                <w:color w:val="232D38"/>
                <w:sz w:val="18"/>
              </w:rPr>
              <w:t>Document ID</w:t>
            </w:r>
          </w:p>
        </w:tc>
        <w:tc>
          <w:tcPr>
            <w:tcW w:type="dxa" w:w="4997"/>
            <w:tcMar>
              <w:top w:w="80" w:type="dxa"/>
              <w:start w:w="90" w:type="dxa"/>
              <w:bottom w:w="80" w:type="dxa"/>
              <w:end w:w="90" w:type="dxa"/>
            </w:tcMar>
            <w:vAlign w:val="top"/>
            <w:shd w:fill="F7F9FB"/>
          </w:tcPr>
          <w:p>
            <w:pPr>
              <w:spacing w:after="30"/>
            </w:pPr>
            <w:r>
              <w:rPr>
                <w:rFonts w:ascii="Aptos" w:hAnsi="Aptos"/>
                <w:color w:val="232D38"/>
                <w:sz w:val="18"/>
              </w:rPr>
              <w:t>MITHQAL-SSOT-001</w:t>
            </w:r>
          </w:p>
        </w:tc>
      </w:tr>
      <w:tr>
        <w:trPr>
          <w:cantSplit/>
        </w:trPr>
        <w:tc>
          <w:tcPr>
            <w:tcW w:type="dxa" w:w="4997"/>
            <w:tcMar>
              <w:top w:w="80" w:type="dxa"/>
              <w:start w:w="90" w:type="dxa"/>
              <w:bottom w:w="80" w:type="dxa"/>
              <w:end w:w="90" w:type="dxa"/>
            </w:tcMar>
            <w:vAlign w:val="top"/>
          </w:tcPr>
          <w:p>
            <w:pPr>
              <w:spacing w:after="30"/>
            </w:pPr>
            <w:r>
              <w:rPr>
                <w:rFonts w:ascii="Aptos" w:hAnsi="Aptos"/>
                <w:color w:val="232D38"/>
                <w:sz w:val="18"/>
              </w:rPr>
              <w:t>Version</w:t>
            </w:r>
          </w:p>
        </w:tc>
        <w:tc>
          <w:tcPr>
            <w:tcW w:type="dxa" w:w="4997"/>
            <w:tcMar>
              <w:top w:w="80" w:type="dxa"/>
              <w:start w:w="90" w:type="dxa"/>
              <w:bottom w:w="80" w:type="dxa"/>
              <w:end w:w="90" w:type="dxa"/>
            </w:tcMar>
            <w:vAlign w:val="top"/>
          </w:tcPr>
          <w:p>
            <w:pPr>
              <w:spacing w:after="30"/>
            </w:pPr>
            <w:r>
              <w:rPr>
                <w:rFonts w:ascii="Aptos" w:hAnsi="Aptos"/>
                <w:color w:val="232D38"/>
                <w:sz w:val="18"/>
              </w:rPr>
              <w:t>26.0 — consolidated canonical development baseline</w:t>
            </w:r>
          </w:p>
        </w:tc>
      </w:tr>
      <w:tr>
        <w:trPr>
          <w:cantSplit/>
        </w:trPr>
        <w:tc>
          <w:tcPr>
            <w:tcW w:type="dxa" w:w="4997"/>
            <w:tcMar>
              <w:top w:w="80" w:type="dxa"/>
              <w:start w:w="90" w:type="dxa"/>
              <w:bottom w:w="80" w:type="dxa"/>
              <w:end w:w="90" w:type="dxa"/>
            </w:tcMar>
            <w:vAlign w:val="top"/>
            <w:shd w:fill="F7F9FB"/>
          </w:tcPr>
          <w:p>
            <w:pPr>
              <w:spacing w:after="30"/>
            </w:pPr>
            <w:r>
              <w:rPr>
                <w:rFonts w:ascii="Aptos" w:hAnsi="Aptos"/>
                <w:color w:val="232D38"/>
                <w:sz w:val="18"/>
              </w:rPr>
              <w:t>Prepared</w:t>
            </w:r>
          </w:p>
        </w:tc>
        <w:tc>
          <w:tcPr>
            <w:tcW w:type="dxa" w:w="4997"/>
            <w:tcMar>
              <w:top w:w="80" w:type="dxa"/>
              <w:start w:w="90" w:type="dxa"/>
              <w:bottom w:w="80" w:type="dxa"/>
              <w:end w:w="90" w:type="dxa"/>
            </w:tcMar>
            <w:vAlign w:val="top"/>
            <w:shd w:fill="F7F9FB"/>
          </w:tcPr>
          <w:p>
            <w:pPr>
              <w:spacing w:after="30"/>
            </w:pPr>
            <w:r>
              <w:rPr>
                <w:rFonts w:ascii="Aptos" w:hAnsi="Aptos"/>
                <w:color w:val="232D38"/>
                <w:sz w:val="18"/>
              </w:rPr>
              <w:t>10 October 2026</w:t>
            </w:r>
          </w:p>
        </w:tc>
      </w:tr>
      <w:tr>
        <w:trPr>
          <w:cantSplit/>
        </w:trPr>
        <w:tc>
          <w:tcPr>
            <w:tcW w:type="dxa" w:w="4997"/>
            <w:tcMar>
              <w:top w:w="80" w:type="dxa"/>
              <w:start w:w="90" w:type="dxa"/>
              <w:bottom w:w="80" w:type="dxa"/>
              <w:end w:w="90" w:type="dxa"/>
            </w:tcMar>
            <w:vAlign w:val="top"/>
          </w:tcPr>
          <w:p>
            <w:pPr>
              <w:spacing w:after="30"/>
            </w:pPr>
            <w:r>
              <w:rPr>
                <w:rFonts w:ascii="Aptos" w:hAnsi="Aptos"/>
                <w:color w:val="232D38"/>
                <w:sz w:val="18"/>
              </w:rPr>
              <w:t>Status</w:t>
            </w:r>
          </w:p>
        </w:tc>
        <w:tc>
          <w:tcPr>
            <w:tcW w:type="dxa" w:w="4997"/>
            <w:tcMar>
              <w:top w:w="80" w:type="dxa"/>
              <w:start w:w="90" w:type="dxa"/>
              <w:bottom w:w="80" w:type="dxa"/>
              <w:end w:w="90" w:type="dxa"/>
            </w:tcMar>
            <w:vAlign w:val="top"/>
          </w:tcPr>
          <w:p>
            <w:pPr>
              <w:spacing w:after="30"/>
            </w:pPr>
            <w:r>
              <w:rPr>
                <w:rFonts w:ascii="Aptos" w:hAnsi="Aptos"/>
                <w:color w:val="232D38"/>
                <w:sz w:val="18"/>
              </w:rPr>
              <w:t>OWNER-INTENDED CANONICAL DESIGN BASELINE — adoption and implementation evidence must be recorded</w:t>
            </w:r>
          </w:p>
        </w:tc>
      </w:tr>
      <w:tr>
        <w:trPr>
          <w:cantSplit/>
        </w:trPr>
        <w:tc>
          <w:tcPr>
            <w:tcW w:type="dxa" w:w="4997"/>
            <w:tcMar>
              <w:top w:w="80" w:type="dxa"/>
              <w:start w:w="90" w:type="dxa"/>
              <w:bottom w:w="80" w:type="dxa"/>
              <w:end w:w="90" w:type="dxa"/>
            </w:tcMar>
            <w:vAlign w:val="top"/>
            <w:shd w:fill="F7F9FB"/>
          </w:tcPr>
          <w:p>
            <w:pPr>
              <w:spacing w:after="30"/>
            </w:pPr>
            <w:r>
              <w:rPr>
                <w:rFonts w:ascii="Aptos" w:hAnsi="Aptos"/>
                <w:color w:val="232D38"/>
                <w:sz w:val="18"/>
              </w:rPr>
              <w:t>Production authorization</w:t>
            </w:r>
          </w:p>
        </w:tc>
        <w:tc>
          <w:tcPr>
            <w:tcW w:type="dxa" w:w="4997"/>
            <w:tcMar>
              <w:top w:w="80" w:type="dxa"/>
              <w:start w:w="90" w:type="dxa"/>
              <w:bottom w:w="80" w:type="dxa"/>
              <w:end w:w="90" w:type="dxa"/>
            </w:tcMar>
            <w:vAlign w:val="top"/>
            <w:shd w:fill="F7F9FB"/>
          </w:tcPr>
          <w:p>
            <w:pPr>
              <w:spacing w:after="30"/>
            </w:pPr>
            <w:r>
              <w:rPr>
                <w:rFonts w:ascii="Aptos" w:hAnsi="Aptos"/>
                <w:color w:val="232D38"/>
                <w:sz w:val="18"/>
              </w:rPr>
              <w:t>FALSE — do not infer legal, regulatory, banking, custody or production approval</w:t>
            </w:r>
          </w:p>
        </w:tc>
      </w:tr>
      <w:tr>
        <w:trPr>
          <w:cantSplit/>
        </w:trPr>
        <w:tc>
          <w:tcPr>
            <w:tcW w:type="dxa" w:w="4997"/>
            <w:tcMar>
              <w:top w:w="80" w:type="dxa"/>
              <w:start w:w="90" w:type="dxa"/>
              <w:bottom w:w="80" w:type="dxa"/>
              <w:end w:w="90" w:type="dxa"/>
            </w:tcMar>
            <w:vAlign w:val="top"/>
          </w:tcPr>
          <w:p>
            <w:pPr>
              <w:spacing w:after="30"/>
            </w:pPr>
            <w:r>
              <w:rPr>
                <w:rFonts w:ascii="Aptos" w:hAnsi="Aptos"/>
                <w:color w:val="232D38"/>
                <w:sz w:val="18"/>
              </w:rPr>
              <w:t>Primary audience</w:t>
            </w:r>
          </w:p>
        </w:tc>
        <w:tc>
          <w:tcPr>
            <w:tcW w:type="dxa" w:w="4997"/>
            <w:tcMar>
              <w:top w:w="80" w:type="dxa"/>
              <w:start w:w="90" w:type="dxa"/>
              <w:bottom w:w="80" w:type="dxa"/>
              <w:end w:w="90" w:type="dxa"/>
            </w:tcMar>
            <w:vAlign w:val="top"/>
          </w:tcPr>
          <w:p>
            <w:pPr>
              <w:spacing w:after="30"/>
            </w:pPr>
            <w:r>
              <w:rPr>
                <w:rFonts w:ascii="Aptos" w:hAnsi="Aptos"/>
                <w:color w:val="232D38"/>
                <w:sz w:val="18"/>
              </w:rPr>
              <w:t>AI platform developer, technical lead, COO/project manager, legal counsel, bank design partner, risk and assurance reviewers</w:t>
            </w:r>
          </w:p>
        </w:tc>
      </w:tr>
      <w:tr>
        <w:trPr>
          <w:cantSplit/>
        </w:trPr>
        <w:tc>
          <w:tcPr>
            <w:tcW w:type="dxa" w:w="4997"/>
            <w:tcMar>
              <w:top w:w="80" w:type="dxa"/>
              <w:start w:w="90" w:type="dxa"/>
              <w:bottom w:w="80" w:type="dxa"/>
              <w:end w:w="90" w:type="dxa"/>
            </w:tcMar>
            <w:vAlign w:val="top"/>
            <w:shd w:fill="F7F9FB"/>
          </w:tcPr>
          <w:p>
            <w:pPr>
              <w:spacing w:after="30"/>
            </w:pPr>
            <w:r>
              <w:rPr>
                <w:rFonts w:ascii="Aptos" w:hAnsi="Aptos"/>
                <w:color w:val="232D38"/>
                <w:sz w:val="18"/>
              </w:rPr>
              <w:t>Primary objective</w:t>
            </w:r>
          </w:p>
        </w:tc>
        <w:tc>
          <w:tcPr>
            <w:tcW w:type="dxa" w:w="4997"/>
            <w:tcMar>
              <w:top w:w="80" w:type="dxa"/>
              <w:start w:w="90" w:type="dxa"/>
              <w:bottom w:w="80" w:type="dxa"/>
              <w:end w:w="90" w:type="dxa"/>
            </w:tcMar>
            <w:vAlign w:val="top"/>
            <w:shd w:fill="F7F9FB"/>
          </w:tcPr>
          <w:p>
            <w:pPr>
              <w:spacing w:after="30"/>
            </w:pPr>
            <w:r>
              <w:rPr>
                <w:rFonts w:ascii="Aptos" w:hAnsi="Aptos"/>
                <w:color w:val="232D38"/>
                <w:sz w:val="18"/>
              </w:rPr>
              <w:t>One coherent, testable source of development requirements with explicit truth states, gates and evidence obligations</w:t>
            </w:r>
          </w:p>
        </w:tc>
      </w:tr>
    </w:tbl>
    <w:p>
      <w:pPr>
        <w:spacing w:after="0"/>
      </w:pPr>
    </w:p>
    <w:p/>
    <w:p/>
    <w:p>
      <w:pPr>
        <w:keepLines/>
        <w:spacing w:before="100" w:after="120"/>
        <w:ind w:left="144" w:right="144"/>
        <w:shd w:fill="F7EDEB"/>
        <w:ind w:left="120" w:right="120"/>
        <w:pBdr>
          <w:top w:val="single" w:sz="5" w:space="5" w:color="CCD5DF"/>
          <w:left w:val="single" w:sz="5" w:space="5" w:color="CCD5DF"/>
          <w:bottom w:val="single" w:sz="5" w:space="5" w:color="CCD5DF"/>
          <w:right w:val="single" w:sz="5" w:space="5" w:color="CCD5DF"/>
        </w:pBdr>
      </w:pPr>
      <w:r>
        <w:rPr>
          <w:b/>
          <w:color w:val="07111F"/>
          <w:sz w:val="20"/>
        </w:rPr>
        <w:t>READ THIS BEFORE IMPLEMENTING</w:t>
        <w:br/>
      </w:r>
      <w:r>
        <w:rPr>
          <w:color w:val="334155"/>
          <w:sz w:val="18"/>
        </w:rPr>
        <w:t>This blueprint defines the intended design and control system. It does not prove that any feature is implemented, deployed, legally valid, licensed, bank-approved or production-ready. Current code, infrastructure and external evidence must be inspected independently. The AI developer must never fabricate missing documents, test results, credentials or provider status.</w:t>
      </w:r>
    </w:p>
    <w:p>
      <w:pPr>
        <w:jc w:val="center"/>
      </w:pPr>
      <w:r>
        <w:rPr>
          <w:i/>
          <w:color w:val="526171"/>
          <w:sz w:val="16"/>
        </w:rPr>
        <w:t>Prepared from the accessible MITHQAL v25.3.1 blueprint, three retained audit/reconciliation files, the reconstructed Prompts 1–77 working edition, and available project-history summaries.</w:t>
      </w:r>
    </w:p>
    <w:p>
      <w:r>
        <w:br w:type="page"/>
      </w:r>
    </w:p>
    <w:p>
      <w:pPr>
        <w:pStyle w:val="Heading1"/>
      </w:pPr>
      <w:r>
        <w:t>Document Authority, Provenance and Limits</w:t>
      </w:r>
    </w:p>
    <w:p>
      <w:r>
        <w:rPr>
          <w:i w:val="0"/>
        </w:rPr>
        <w:t>This document is a consolidation and controlled redesign of the available MITHQAL material. It is intended to become the single normative development specification for the AI platform after the owner adopts it as the active baseline and the platform records its immutable version/hash. It is not a substitute for applicable law, signed contracts, bank/custodian attestations, provider evidence or independent assurance.</w:t>
      </w:r>
    </w:p>
    <w:p>
      <w:r>
        <w:rPr>
          <w:i w:val="0"/>
        </w:rPr>
        <w:t>The request to inspect the “full chat history line by line” is addressed to the maximum extent the current session permits: accessible uploaded/library files and retained conversation summaries were reviewed. The raw text of every historical message across earlier conversations was not all available as a queryable transcript. For that reason this document explicitly marks uncertain/reconstructed history and does not claim a literal line-by-line verification of unavailable messages.</w:t>
      </w:r>
    </w:p>
    <w:p>
      <w:pPr>
        <w:pStyle w:val="Heading2"/>
      </w:pPr>
      <w:r>
        <w:t>Source inventory and evidentiary weight</w:t>
      </w:r>
    </w:p>
    <w:tbl>
      <w:tblPr>
        <w:tblStyle w:val="TableGrid"/>
        <w:tblW w:type="auto" w:w="0"/>
        <w:jc w:val="center"/>
        <w:tblLook w:firstColumn="1" w:firstRow="1" w:lastColumn="0" w:lastRow="0" w:noHBand="0" w:noVBand="1" w:val="04A0"/>
      </w:tblPr>
      <w:tblGrid>
        <w:gridCol w:w="3331"/>
        <w:gridCol w:w="3331"/>
        <w:gridCol w:w="3331"/>
      </w:tblGrid>
      <w:tr>
        <w:trPr>
          <w:tblHeader w:val="true"/>
          <w:cantSplit/>
        </w:trPr>
        <w:tc>
          <w:tcPr>
            <w:tcW w:type="dxa" w:w="2376"/>
            <w:shd w:fill="07111F"/>
            <w:tcMar>
              <w:top w:w="80" w:type="dxa"/>
              <w:start w:w="90" w:type="dxa"/>
              <w:bottom w:w="80" w:type="dxa"/>
              <w:end w:w="90" w:type="dxa"/>
            </w:tcMar>
            <w:vAlign w:val="center"/>
          </w:tcPr>
          <w:p>
            <w:r>
              <w:rPr>
                <w:rFonts w:ascii="Aptos" w:hAnsi="Aptos"/>
                <w:b/>
                <w:color w:val="FFFFFF"/>
                <w:sz w:val="14"/>
              </w:rPr>
              <w:t>Source</w:t>
            </w:r>
          </w:p>
        </w:tc>
        <w:tc>
          <w:tcPr>
            <w:tcW w:type="dxa" w:w="3816"/>
            <w:shd w:fill="07111F"/>
            <w:tcMar>
              <w:top w:w="80" w:type="dxa"/>
              <w:start w:w="90" w:type="dxa"/>
              <w:bottom w:w="80" w:type="dxa"/>
              <w:end w:w="90" w:type="dxa"/>
            </w:tcMar>
            <w:vAlign w:val="center"/>
          </w:tcPr>
          <w:p>
            <w:r>
              <w:rPr>
                <w:rFonts w:ascii="Aptos" w:hAnsi="Aptos"/>
                <w:b/>
                <w:color w:val="FFFFFF"/>
                <w:sz w:val="14"/>
              </w:rPr>
              <w:t>Use in this blueprint</w:t>
            </w:r>
          </w:p>
        </w:tc>
        <w:tc>
          <w:tcPr>
            <w:tcW w:type="dxa" w:w="3744"/>
            <w:shd w:fill="07111F"/>
            <w:tcMar>
              <w:top w:w="80" w:type="dxa"/>
              <w:start w:w="90" w:type="dxa"/>
              <w:bottom w:w="80" w:type="dxa"/>
              <w:end w:w="90" w:type="dxa"/>
            </w:tcMar>
            <w:vAlign w:val="center"/>
          </w:tcPr>
          <w:p>
            <w:r>
              <w:rPr>
                <w:rFonts w:ascii="Aptos" w:hAnsi="Aptos"/>
                <w:b/>
                <w:color w:val="FFFFFF"/>
                <w:sz w:val="14"/>
              </w:rPr>
              <w:t>Reliability / limitation</w:t>
            </w:r>
          </w:p>
        </w:tc>
      </w:tr>
      <w:tr>
        <w:trPr>
          <w:cantSplit/>
        </w:trPr>
        <w:tc>
          <w:tcPr>
            <w:tcW w:type="dxa" w:w="3331"/>
            <w:tcMar>
              <w:top w:w="80" w:type="dxa"/>
              <w:start w:w="90" w:type="dxa"/>
              <w:bottom w:w="80" w:type="dxa"/>
              <w:end w:w="90" w:type="dxa"/>
            </w:tcMar>
            <w:vAlign w:val="top"/>
            <w:shd w:fill="F7F9FB"/>
          </w:tcPr>
          <w:p>
            <w:pPr>
              <w:spacing w:after="30"/>
            </w:pPr>
            <w:r>
              <w:rPr>
                <w:rFonts w:ascii="Aptos" w:hAnsi="Aptos"/>
                <w:color w:val="232D38"/>
                <w:sz w:val="14"/>
              </w:rPr>
              <w:t>MITHQAL_v25.3.1_Harmonized_Fully_Integrated.docx</w:t>
            </w:r>
          </w:p>
        </w:tc>
        <w:tc>
          <w:tcPr>
            <w:tcW w:type="dxa" w:w="3331"/>
            <w:tcMar>
              <w:top w:w="80" w:type="dxa"/>
              <w:start w:w="90" w:type="dxa"/>
              <w:bottom w:w="80" w:type="dxa"/>
              <w:end w:w="90" w:type="dxa"/>
            </w:tcMar>
            <w:vAlign w:val="top"/>
            <w:shd w:fill="F7F9FB"/>
          </w:tcPr>
          <w:p>
            <w:pPr>
              <w:spacing w:after="30"/>
            </w:pPr>
            <w:r>
              <w:rPr>
                <w:rFonts w:ascii="Aptos" w:hAnsi="Aptos"/>
                <w:color w:val="232D38"/>
                <w:sz w:val="14"/>
              </w:rPr>
              <w:t>Base product thesis, invariants, workflow/finality model, MTQ, evidence, gates, financial/risk concepts, technical architecture and governance.</w:t>
            </w:r>
          </w:p>
        </w:tc>
        <w:tc>
          <w:tcPr>
            <w:tcW w:type="dxa" w:w="3331"/>
            <w:tcMar>
              <w:top w:w="80" w:type="dxa"/>
              <w:start w:w="90" w:type="dxa"/>
              <w:bottom w:w="80" w:type="dxa"/>
              <w:end w:w="90" w:type="dxa"/>
            </w:tcMar>
            <w:vAlign w:val="top"/>
            <w:shd w:fill="F7F9FB"/>
          </w:tcPr>
          <w:p>
            <w:pPr>
              <w:spacing w:after="30"/>
            </w:pPr>
            <w:r>
              <w:rPr>
                <w:rFonts w:ascii="Aptos" w:hAnsi="Aptos"/>
                <w:color w:val="232D38"/>
                <w:sz w:val="14"/>
              </w:rPr>
              <w:t>Primary internal design source; detailed but contains stale text, conflicts and claims not externally validated.</w:t>
            </w:r>
          </w:p>
        </w:tc>
      </w:tr>
      <w:tr>
        <w:trPr>
          <w:cantSplit/>
        </w:trPr>
        <w:tc>
          <w:tcPr>
            <w:tcW w:type="dxa" w:w="3331"/>
            <w:tcMar>
              <w:top w:w="80" w:type="dxa"/>
              <w:start w:w="90" w:type="dxa"/>
              <w:bottom w:w="80" w:type="dxa"/>
              <w:end w:w="90" w:type="dxa"/>
            </w:tcMar>
            <w:vAlign w:val="top"/>
          </w:tcPr>
          <w:p>
            <w:pPr>
              <w:spacing w:after="30"/>
            </w:pPr>
            <w:r>
              <w:rPr>
                <w:rFonts w:ascii="Aptos" w:hAnsi="Aptos"/>
                <w:color w:val="232D38"/>
                <w:sz w:val="14"/>
              </w:rPr>
              <w:t>Pasted markdown(1).md</w:t>
            </w:r>
          </w:p>
        </w:tc>
        <w:tc>
          <w:tcPr>
            <w:tcW w:type="dxa" w:w="3331"/>
            <w:tcMar>
              <w:top w:w="80" w:type="dxa"/>
              <w:start w:w="90" w:type="dxa"/>
              <w:bottom w:w="80" w:type="dxa"/>
              <w:end w:w="90" w:type="dxa"/>
            </w:tcMar>
            <w:vAlign w:val="top"/>
          </w:tcPr>
          <w:p>
            <w:pPr>
              <w:spacing w:after="30"/>
            </w:pPr>
            <w:r>
              <w:rPr>
                <w:rFonts w:ascii="Aptos" w:hAnsi="Aptos"/>
                <w:color w:val="232D38"/>
                <w:sz w:val="14"/>
              </w:rPr>
              <w:t>Strategic audit #1: bank adoption barriers, product packaging, evidence gaps, GTM and risk critique.</w:t>
            </w:r>
          </w:p>
        </w:tc>
        <w:tc>
          <w:tcPr>
            <w:tcW w:type="dxa" w:w="3331"/>
            <w:tcMar>
              <w:top w:w="80" w:type="dxa"/>
              <w:start w:w="90" w:type="dxa"/>
              <w:bottom w:w="80" w:type="dxa"/>
              <w:end w:w="90" w:type="dxa"/>
            </w:tcMar>
            <w:vAlign w:val="top"/>
          </w:tcPr>
          <w:p>
            <w:pPr>
              <w:spacing w:after="30"/>
            </w:pPr>
            <w:r>
              <w:rPr>
                <w:rFonts w:ascii="Aptos" w:hAnsi="Aptos"/>
                <w:color w:val="232D38"/>
                <w:sz w:val="14"/>
              </w:rPr>
              <w:t>Internal analytical review; conclusions are hypotheses, not market/customer evidence.</w:t>
            </w:r>
          </w:p>
        </w:tc>
      </w:tr>
      <w:tr>
        <w:trPr>
          <w:cantSplit/>
        </w:trPr>
        <w:tc>
          <w:tcPr>
            <w:tcW w:type="dxa" w:w="3331"/>
            <w:tcMar>
              <w:top w:w="80" w:type="dxa"/>
              <w:start w:w="90" w:type="dxa"/>
              <w:bottom w:w="80" w:type="dxa"/>
              <w:end w:w="90" w:type="dxa"/>
            </w:tcMar>
            <w:vAlign w:val="top"/>
            <w:shd w:fill="F7F9FB"/>
          </w:tcPr>
          <w:p>
            <w:pPr>
              <w:spacing w:after="30"/>
            </w:pPr>
            <w:r>
              <w:rPr>
                <w:rFonts w:ascii="Aptos" w:hAnsi="Aptos"/>
                <w:color w:val="232D38"/>
                <w:sz w:val="14"/>
              </w:rPr>
              <w:t>Pasted markdown(2).md</w:t>
            </w:r>
          </w:p>
        </w:tc>
        <w:tc>
          <w:tcPr>
            <w:tcW w:type="dxa" w:w="3331"/>
            <w:tcMar>
              <w:top w:w="80" w:type="dxa"/>
              <w:start w:w="90" w:type="dxa"/>
              <w:bottom w:w="80" w:type="dxa"/>
              <w:end w:w="90" w:type="dxa"/>
            </w:tcMar>
            <w:vAlign w:val="top"/>
            <w:shd w:fill="F7F9FB"/>
          </w:tcPr>
          <w:p>
            <w:pPr>
              <w:spacing w:after="30"/>
            </w:pPr>
            <w:r>
              <w:rPr>
                <w:rFonts w:ascii="Aptos" w:hAnsi="Aptos"/>
                <w:color w:val="232D38"/>
                <w:sz w:val="14"/>
              </w:rPr>
              <w:t>Institutional audit #2: reported entity/document conflicts and other bank-grade findings.</w:t>
            </w:r>
          </w:p>
        </w:tc>
        <w:tc>
          <w:tcPr>
            <w:tcW w:type="dxa" w:w="3331"/>
            <w:tcMar>
              <w:top w:w="80" w:type="dxa"/>
              <w:start w:w="90" w:type="dxa"/>
              <w:bottom w:w="80" w:type="dxa"/>
              <w:end w:w="90" w:type="dxa"/>
            </w:tcMar>
            <w:vAlign w:val="top"/>
            <w:shd w:fill="F7F9FB"/>
          </w:tcPr>
          <w:p>
            <w:pPr>
              <w:spacing w:after="30"/>
            </w:pPr>
            <w:r>
              <w:rPr>
                <w:rFonts w:ascii="Aptos" w:hAnsi="Aptos"/>
                <w:color w:val="232D38"/>
                <w:sz w:val="14"/>
              </w:rPr>
              <w:t>Audit reports review of executed Jozour instruments; the primary instruments were not independently available here. Treat findings as reported and requiring primary-document verification.</w:t>
            </w:r>
          </w:p>
        </w:tc>
      </w:tr>
      <w:tr>
        <w:trPr>
          <w:cantSplit/>
        </w:trPr>
        <w:tc>
          <w:tcPr>
            <w:tcW w:type="dxa" w:w="3331"/>
            <w:tcMar>
              <w:top w:w="80" w:type="dxa"/>
              <w:start w:w="90" w:type="dxa"/>
              <w:bottom w:w="80" w:type="dxa"/>
              <w:end w:w="90" w:type="dxa"/>
            </w:tcMar>
            <w:vAlign w:val="top"/>
          </w:tcPr>
          <w:p>
            <w:pPr>
              <w:spacing w:after="30"/>
            </w:pPr>
            <w:r>
              <w:rPr>
                <w:rFonts w:ascii="Aptos" w:hAnsi="Aptos"/>
                <w:color w:val="232D38"/>
                <w:sz w:val="14"/>
              </w:rPr>
              <w:t>Pasted markdown(3).md</w:t>
            </w:r>
          </w:p>
        </w:tc>
        <w:tc>
          <w:tcPr>
            <w:tcW w:type="dxa" w:w="3331"/>
            <w:tcMar>
              <w:top w:w="80" w:type="dxa"/>
              <w:start w:w="90" w:type="dxa"/>
              <w:bottom w:w="80" w:type="dxa"/>
              <w:end w:w="90" w:type="dxa"/>
            </w:tcMar>
            <w:vAlign w:val="top"/>
          </w:tcPr>
          <w:p>
            <w:pPr>
              <w:spacing w:after="30"/>
            </w:pPr>
            <w:r>
              <w:rPr>
                <w:rFonts w:ascii="Aptos" w:hAnsi="Aptos"/>
                <w:color w:val="232D38"/>
                <w:sz w:val="14"/>
              </w:rPr>
              <w:t>Reconciled self-critique and strategic synthesis.</w:t>
            </w:r>
          </w:p>
        </w:tc>
        <w:tc>
          <w:tcPr>
            <w:tcW w:type="dxa" w:w="3331"/>
            <w:tcMar>
              <w:top w:w="80" w:type="dxa"/>
              <w:start w:w="90" w:type="dxa"/>
              <w:bottom w:w="80" w:type="dxa"/>
              <w:end w:w="90" w:type="dxa"/>
            </w:tcMar>
            <w:vAlign w:val="top"/>
          </w:tcPr>
          <w:p>
            <w:pPr>
              <w:spacing w:after="30"/>
            </w:pPr>
            <w:r>
              <w:rPr>
                <w:rFonts w:ascii="Aptos" w:hAnsi="Aptos"/>
                <w:color w:val="232D38"/>
                <w:sz w:val="14"/>
              </w:rPr>
              <w:t>Synthesis of earlier audits, not a fresh independent audit.</w:t>
            </w:r>
          </w:p>
        </w:tc>
      </w:tr>
      <w:tr>
        <w:trPr>
          <w:cantSplit/>
        </w:trPr>
        <w:tc>
          <w:tcPr>
            <w:tcW w:type="dxa" w:w="3331"/>
            <w:tcMar>
              <w:top w:w="80" w:type="dxa"/>
              <w:start w:w="90" w:type="dxa"/>
              <w:bottom w:w="80" w:type="dxa"/>
              <w:end w:w="90" w:type="dxa"/>
            </w:tcMar>
            <w:vAlign w:val="top"/>
            <w:shd w:fill="F7F9FB"/>
          </w:tcPr>
          <w:p>
            <w:pPr>
              <w:spacing w:after="30"/>
            </w:pPr>
            <w:r>
              <w:rPr>
                <w:rFonts w:ascii="Aptos" w:hAnsi="Aptos"/>
                <w:color w:val="232D38"/>
                <w:sz w:val="14"/>
              </w:rPr>
              <w:t>MITHQAL_Prompts_1-77_Reconstructed_Working_Edition.docx</w:t>
            </w:r>
          </w:p>
        </w:tc>
        <w:tc>
          <w:tcPr>
            <w:tcW w:type="dxa" w:w="3331"/>
            <w:tcMar>
              <w:top w:w="80" w:type="dxa"/>
              <w:start w:w="90" w:type="dxa"/>
              <w:bottom w:w="80" w:type="dxa"/>
              <w:end w:w="90" w:type="dxa"/>
            </w:tcMar>
            <w:vAlign w:val="top"/>
            <w:shd w:fill="F7F9FB"/>
          </w:tcPr>
          <w:p>
            <w:pPr>
              <w:spacing w:after="30"/>
            </w:pPr>
            <w:r>
              <w:rPr>
                <w:rFonts w:ascii="Aptos" w:hAnsi="Aptos"/>
                <w:color w:val="232D38"/>
                <w:sz w:val="14"/>
              </w:rPr>
              <w:t>Sequence of remediation/institutionalization workstreams and Prompt 76–77 outcomes.</w:t>
            </w:r>
          </w:p>
        </w:tc>
        <w:tc>
          <w:tcPr>
            <w:tcW w:type="dxa" w:w="3331"/>
            <w:tcMar>
              <w:top w:w="80" w:type="dxa"/>
              <w:start w:w="90" w:type="dxa"/>
              <w:bottom w:w="80" w:type="dxa"/>
              <w:end w:w="90" w:type="dxa"/>
            </w:tcMar>
            <w:vAlign w:val="top"/>
            <w:shd w:fill="F7F9FB"/>
          </w:tcPr>
          <w:p>
            <w:pPr>
              <w:spacing w:after="30"/>
            </w:pPr>
            <w:r>
              <w:rPr>
                <w:rFonts w:ascii="Aptos" w:hAnsi="Aptos"/>
                <w:color w:val="232D38"/>
                <w:sz w:val="14"/>
              </w:rPr>
              <w:t>Working reconstruction. Prompts 66–75 have more inferential wording; 76–77 derive from summarized outcomes, not exact originals.</w:t>
            </w:r>
          </w:p>
        </w:tc>
      </w:tr>
      <w:tr>
        <w:trPr>
          <w:cantSplit/>
        </w:trPr>
        <w:tc>
          <w:tcPr>
            <w:tcW w:type="dxa" w:w="3331"/>
            <w:tcMar>
              <w:top w:w="80" w:type="dxa"/>
              <w:start w:w="90" w:type="dxa"/>
              <w:bottom w:w="80" w:type="dxa"/>
              <w:end w:w="90" w:type="dxa"/>
            </w:tcMar>
            <w:vAlign w:val="top"/>
          </w:tcPr>
          <w:p>
            <w:pPr>
              <w:spacing w:after="30"/>
            </w:pPr>
            <w:r>
              <w:rPr>
                <w:rFonts w:ascii="Aptos" w:hAnsi="Aptos"/>
                <w:color w:val="232D38"/>
                <w:sz w:val="14"/>
              </w:rPr>
              <w:t>Prompt 76 outcome retained in project history</w:t>
            </w:r>
          </w:p>
        </w:tc>
        <w:tc>
          <w:tcPr>
            <w:tcW w:type="dxa" w:w="3331"/>
            <w:tcMar>
              <w:top w:w="80" w:type="dxa"/>
              <w:start w:w="90" w:type="dxa"/>
              <w:bottom w:w="80" w:type="dxa"/>
              <w:end w:w="90" w:type="dxa"/>
            </w:tcMar>
            <w:vAlign w:val="top"/>
          </w:tcPr>
          <w:p>
            <w:pPr>
              <w:spacing w:after="30"/>
            </w:pPr>
            <w:r>
              <w:rPr>
                <w:rFonts w:ascii="Aptos" w:hAnsi="Aptos"/>
                <w:color w:val="232D38"/>
                <w:sz w:val="14"/>
              </w:rPr>
              <w:t>Last-known integration, recovery, provider-harmony, secret and production status.</w:t>
            </w:r>
          </w:p>
        </w:tc>
        <w:tc>
          <w:tcPr>
            <w:tcW w:type="dxa" w:w="3331"/>
            <w:tcMar>
              <w:top w:w="80" w:type="dxa"/>
              <w:start w:w="90" w:type="dxa"/>
              <w:bottom w:w="80" w:type="dxa"/>
              <w:end w:w="90" w:type="dxa"/>
            </w:tcMar>
            <w:vAlign w:val="top"/>
          </w:tcPr>
          <w:p>
            <w:pPr>
              <w:spacing w:after="30"/>
            </w:pPr>
            <w:r>
              <w:rPr>
                <w:rFonts w:ascii="Aptos" w:hAnsi="Aptos"/>
                <w:color w:val="232D38"/>
                <w:sz w:val="14"/>
              </w:rPr>
              <w:t>Checkpoint only; may be stale; verify directly against repository and provider-native evidence.</w:t>
            </w:r>
          </w:p>
        </w:tc>
      </w:tr>
    </w:tbl>
    <w:p>
      <w:pPr>
        <w:spacing w:after="0"/>
      </w:pPr>
    </w:p>
    <w:p>
      <w:pPr>
        <w:pStyle w:val="Heading2"/>
      </w:pPr>
      <w:r>
        <w:t>Interpretation rules</w:t>
      </w:r>
    </w:p>
    <w:p>
      <w:pPr>
        <w:pStyle w:val="ListBullet"/>
        <w:spacing w:after="50"/>
      </w:pPr>
      <w:r>
        <w:t>Source-derived: directly supported by the available blueprint, audits or retained prompt sequence.</w:t>
      </w:r>
    </w:p>
    <w:p>
      <w:pPr>
        <w:pStyle w:val="ListBullet"/>
        <w:spacing w:after="50"/>
      </w:pPr>
      <w:r>
        <w:t>Reconciled design decision: the selected interpretation used to remove contradiction and make implementation coherent; owner adoption is required.</w:t>
      </w:r>
    </w:p>
    <w:p>
      <w:pPr>
        <w:pStyle w:val="ListBullet"/>
        <w:spacing w:after="50"/>
      </w:pPr>
      <w:r>
        <w:t>Target state: desired architecture or control that may not exist in code yet.</w:t>
      </w:r>
    </w:p>
    <w:p>
      <w:pPr>
        <w:pStyle w:val="ListBullet"/>
        <w:spacing w:after="50"/>
      </w:pPr>
      <w:r>
        <w:t>Observed checkpoint: a prior output; not proof of current condition.</w:t>
      </w:r>
    </w:p>
    <w:p>
      <w:pPr>
        <w:pStyle w:val="ListBullet"/>
        <w:spacing w:after="50"/>
      </w:pPr>
      <w:r>
        <w:t>External gate: requires a qualified external institution, counterparty, counsel, custodian, regulator or independent assurance provider; software cannot self-certify it.</w:t>
      </w:r>
    </w:p>
    <w:p>
      <w:pPr>
        <w:pStyle w:val="ListBullet"/>
        <w:spacing w:after="50"/>
      </w:pPr>
      <w:r>
        <w:t>Unknown: evidence is absent or insufficient. Unknown never means pass, zero risk, permitted or available.</w:t>
      </w:r>
    </w:p>
    <w:p>
      <w:pPr>
        <w:keepLines/>
        <w:spacing w:before="100" w:after="120"/>
        <w:ind w:left="144" w:right="144"/>
        <w:shd w:fill="EEF2F6"/>
        <w:ind w:left="120" w:right="120"/>
        <w:pBdr>
          <w:top w:val="single" w:sz="5" w:space="5" w:color="CCD5DF"/>
          <w:left w:val="single" w:sz="5" w:space="5" w:color="CCD5DF"/>
          <w:bottom w:val="single" w:sz="5" w:space="5" w:color="CCD5DF"/>
          <w:right w:val="single" w:sz="5" w:space="5" w:color="CCD5DF"/>
        </w:pBdr>
      </w:pPr>
      <w:r>
        <w:rPr>
          <w:b/>
          <w:color w:val="07111F"/>
          <w:sz w:val="20"/>
        </w:rPr>
        <w:t>NON-NEGOTIABLE TRUTH RULE</w:t>
        <w:br/>
      </w:r>
      <w:r>
        <w:rPr>
          <w:color w:val="334155"/>
          <w:sz w:val="18"/>
        </w:rPr>
        <w:t>A diagram, source file, passing lint command, HTTP 200 response, mocked provider, generated report or successful simulation is not equivalent to a live, legally enforceable, institutionally validated capability.</w:t>
      </w:r>
    </w:p>
    <w:p>
      <w:pPr>
        <w:pStyle w:val="Heading1"/>
      </w:pPr>
      <w:r>
        <w:t>Contents and Navigation</w:t>
      </w:r>
    </w:p>
    <w:p>
      <w:pPr>
        <w:pStyle w:val="ListBullet"/>
        <w:spacing w:after="50"/>
      </w:pPr>
      <w:r>
        <w:t>Part 0 — Executive command and immediate priorities</w:t>
      </w:r>
    </w:p>
    <w:p>
      <w:pPr>
        <w:pStyle w:val="ListBullet"/>
        <w:spacing w:after="50"/>
      </w:pPr>
      <w:r>
        <w:t>Part I — Product constitution and source-of-truth model</w:t>
      </w:r>
    </w:p>
    <w:p>
      <w:pPr>
        <w:pStyle w:val="ListBullet"/>
        <w:spacing w:after="50"/>
      </w:pPr>
      <w:r>
        <w:t>Part II — Canonical domain model and legal-obligation topology</w:t>
      </w:r>
    </w:p>
    <w:p>
      <w:pPr>
        <w:pStyle w:val="ListBullet"/>
        <w:spacing w:after="50"/>
      </w:pPr>
      <w:r>
        <w:t>Part III — MTQ, backing, reserve and accounting rules</w:t>
      </w:r>
    </w:p>
    <w:p>
      <w:pPr>
        <w:pStyle w:val="ListBullet"/>
        <w:spacing w:after="50"/>
      </w:pPr>
      <w:r>
        <w:t>Part IV — Settlement workflow, finality, routing and exceptions</w:t>
      </w:r>
    </w:p>
    <w:p>
      <w:pPr>
        <w:pStyle w:val="ListBullet"/>
        <w:spacing w:after="50"/>
      </w:pPr>
      <w:r>
        <w:t>Part V — Institutional evidence, reconciliation and regulatory replay</w:t>
      </w:r>
    </w:p>
    <w:p>
      <w:pPr>
        <w:pStyle w:val="ListBullet"/>
        <w:spacing w:after="50"/>
      </w:pPr>
      <w:r>
        <w:t>Part VI — Runtime and provider architecture: GitHub, Vercel, Inngest, Neon, Turso</w:t>
      </w:r>
    </w:p>
    <w:p>
      <w:pPr>
        <w:pStyle w:val="ListBullet"/>
        <w:spacing w:after="50"/>
      </w:pPr>
      <w:r>
        <w:t>Part VII — Security, data governance, reliability and operations</w:t>
      </w:r>
    </w:p>
    <w:p>
      <w:pPr>
        <w:pStyle w:val="ListBullet"/>
        <w:spacing w:after="50"/>
      </w:pPr>
      <w:r>
        <w:t>Part VIII — Commercial strategy, bank value, GTM and pilot design</w:t>
      </w:r>
    </w:p>
    <w:p>
      <w:pPr>
        <w:pStyle w:val="ListBullet"/>
        <w:spacing w:after="50"/>
      </w:pPr>
      <w:r>
        <w:t>Part IX — Gate framework, risk register and assurance</w:t>
      </w:r>
    </w:p>
    <w:p>
      <w:pPr>
        <w:pStyle w:val="ListBullet"/>
        <w:spacing w:after="50"/>
      </w:pPr>
      <w:r>
        <w:t>Part X — Testing, change control, deployment and acceptance criteria</w:t>
      </w:r>
    </w:p>
    <w:p>
      <w:pPr>
        <w:pStyle w:val="ListBullet"/>
        <w:spacing w:after="50"/>
      </w:pPr>
      <w:r>
        <w:t>Part XI — Phased implementation plan and decision log</w:t>
      </w:r>
    </w:p>
    <w:p>
      <w:pPr>
        <w:pStyle w:val="ListBullet"/>
        <w:spacing w:after="50"/>
      </w:pPr>
      <w:r>
        <w:t>Appendix A — Crosswalk to Prompts 1–77</w:t>
      </w:r>
    </w:p>
    <w:p>
      <w:pPr>
        <w:pStyle w:val="ListBullet"/>
        <w:spacing w:after="50"/>
      </w:pPr>
      <w:r>
        <w:t>Appendix B — Required data contracts and core fields</w:t>
      </w:r>
    </w:p>
    <w:p>
      <w:pPr>
        <w:pStyle w:val="ListBullet"/>
        <w:spacing w:after="50"/>
      </w:pPr>
      <w:r>
        <w:t>Appendix C — Last-known Prompt 76 checkpoint requiring revalidation</w:t>
      </w:r>
    </w:p>
    <w:p>
      <w:pPr>
        <w:pStyle w:val="ListBullet"/>
        <w:spacing w:after="50"/>
      </w:pPr>
      <w:r>
        <w:t>Appendix D — Copy-ready master instruction to the AI platform developer</w:t>
      </w:r>
    </w:p>
    <w:p>
      <w:pPr>
        <w:pStyle w:val="ListBullet"/>
        <w:spacing w:after="50"/>
      </w:pPr>
      <w:r>
        <w:t>Appendix E — Glossary and canonical terminology</w:t>
      </w:r>
    </w:p>
    <w:p>
      <w:r>
        <w:br w:type="page"/>
      </w:r>
    </w:p>
    <w:p>
      <w:pPr>
        <w:pStyle w:val="Heading1"/>
      </w:pPr>
      <w:r>
        <w:t>PART 0 — Executive Command and Immediate Priorities</w:t>
      </w:r>
    </w:p>
    <w:p>
      <w:pPr>
        <w:pStyle w:val="Heading2"/>
      </w:pPr>
      <w:r>
        <w:t>0.1 The product decision</w:t>
      </w:r>
    </w:p>
    <w:p>
      <w:r>
        <w:rPr>
          <w:i w:val="0"/>
        </w:rPr>
        <w:t>MITHQAL is to be developed first as a neutral institutional settlement control plane: a layer that coordinates legally recognized settlement assets, institutions, rails, policies, liquidity, obligations, evidence, reconciliation, exceptions and operational continuity. MTQ remains an optional, permissioned, closed-loop wholesale institutional settlement module. It is not the adoption prerequisite and must remain disabled by default until its legal, accounting, custody, backing, redemption, bank and regulatory gates are independently satisfied.</w:t>
      </w:r>
    </w:p>
    <w:p>
      <w:r>
        <w:rPr>
          <w:i w:val="0"/>
        </w:rPr>
        <w:t>MITHQAL must remain demonstrable and useful with MTQ disabled. The first value proposition is not “adopt a new token.” It is “coordinate the existing settlement ecosystem with stronger control, explainability, exception handling and evidence.” This positioning is grounded in the prior audits and in the blueprint’s own settlement-neutral control-plane thesis.</w:t>
      </w:r>
    </w:p>
    <w:p>
      <w:pPr>
        <w:pStyle w:val="Heading2"/>
      </w:pPr>
      <w:r>
        <w:t>0.2 What is and is not currently established</w:t>
      </w:r>
    </w:p>
    <w:tbl>
      <w:tblPr>
        <w:tblStyle w:val="TableGrid"/>
        <w:tblW w:type="auto" w:w="0"/>
        <w:jc w:val="center"/>
        <w:tblLook w:firstColumn="1" w:firstRow="1" w:lastColumn="0" w:lastRow="0" w:noHBand="0" w:noVBand="1" w:val="04A0"/>
      </w:tblPr>
      <w:tblGrid>
        <w:gridCol w:w="4997"/>
        <w:gridCol w:w="4997"/>
      </w:tblGrid>
      <w:tr>
        <w:trPr>
          <w:tblHeader w:val="true"/>
          <w:cantSplit/>
        </w:trPr>
        <w:tc>
          <w:tcPr>
            <w:tcW w:type="dxa" w:w="3312"/>
            <w:shd w:fill="07111F"/>
            <w:tcMar>
              <w:top w:w="80" w:type="dxa"/>
              <w:start w:w="90" w:type="dxa"/>
              <w:bottom w:w="80" w:type="dxa"/>
              <w:end w:w="90" w:type="dxa"/>
            </w:tcMar>
            <w:vAlign w:val="center"/>
          </w:tcPr>
          <w:p>
            <w:r>
              <w:rPr>
                <w:rFonts w:ascii="Aptos" w:hAnsi="Aptos"/>
                <w:b/>
                <w:color w:val="FFFFFF"/>
                <w:sz w:val="15"/>
              </w:rPr>
              <w:t>Statement</w:t>
            </w:r>
          </w:p>
        </w:tc>
        <w:tc>
          <w:tcPr>
            <w:tcW w:type="dxa" w:w="6624"/>
            <w:shd w:fill="07111F"/>
            <w:tcMar>
              <w:top w:w="80" w:type="dxa"/>
              <w:start w:w="90" w:type="dxa"/>
              <w:bottom w:w="80" w:type="dxa"/>
              <w:end w:w="90" w:type="dxa"/>
            </w:tcMar>
            <w:vAlign w:val="center"/>
          </w:tcPr>
          <w:p>
            <w:r>
              <w:rPr>
                <w:rFonts w:ascii="Aptos" w:hAnsi="Aptos"/>
                <w:b/>
                <w:color w:val="FFFFFF"/>
                <w:sz w:val="15"/>
              </w:rPr>
              <w:t>Canonical treatment</w:t>
            </w:r>
          </w:p>
        </w:tc>
      </w:tr>
      <w:tr>
        <w:trPr>
          <w:cantSplit/>
        </w:trPr>
        <w:tc>
          <w:tcPr>
            <w:tcW w:type="dxa" w:w="4997"/>
            <w:tcMar>
              <w:top w:w="80" w:type="dxa"/>
              <w:start w:w="90" w:type="dxa"/>
              <w:bottom w:w="80" w:type="dxa"/>
              <w:end w:w="90" w:type="dxa"/>
            </w:tcMar>
            <w:vAlign w:val="top"/>
            <w:shd w:fill="F7F9FB"/>
          </w:tcPr>
          <w:p>
            <w:pPr>
              <w:spacing w:after="30"/>
            </w:pPr>
            <w:r>
              <w:rPr>
                <w:rFonts w:ascii="Aptos" w:hAnsi="Aptos"/>
                <w:color w:val="232D38"/>
                <w:sz w:val="15"/>
              </w:rPr>
              <w:t>Control-plane architecture</w:t>
            </w:r>
          </w:p>
        </w:tc>
        <w:tc>
          <w:tcPr>
            <w:tcW w:type="dxa" w:w="4997"/>
            <w:tcMar>
              <w:top w:w="80" w:type="dxa"/>
              <w:start w:w="90" w:type="dxa"/>
              <w:bottom w:w="80" w:type="dxa"/>
              <w:end w:w="90" w:type="dxa"/>
            </w:tcMar>
            <w:vAlign w:val="top"/>
            <w:shd w:fill="F7F9FB"/>
          </w:tcPr>
          <w:p>
            <w:pPr>
              <w:spacing w:after="30"/>
            </w:pPr>
            <w:r>
              <w:rPr>
                <w:rFonts w:ascii="Aptos" w:hAnsi="Aptos"/>
                <w:color w:val="232D38"/>
                <w:sz w:val="15"/>
              </w:rPr>
              <w:t>Designed concept; each implementation claim must be verified in repository and running environments.</w:t>
            </w:r>
          </w:p>
        </w:tc>
      </w:tr>
      <w:tr>
        <w:trPr>
          <w:cantSplit/>
        </w:trPr>
        <w:tc>
          <w:tcPr>
            <w:tcW w:type="dxa" w:w="4997"/>
            <w:tcMar>
              <w:top w:w="80" w:type="dxa"/>
              <w:start w:w="90" w:type="dxa"/>
              <w:bottom w:w="80" w:type="dxa"/>
              <w:end w:w="90" w:type="dxa"/>
            </w:tcMar>
            <w:vAlign w:val="top"/>
          </w:tcPr>
          <w:p>
            <w:pPr>
              <w:spacing w:after="30"/>
            </w:pPr>
            <w:r>
              <w:rPr>
                <w:rFonts w:ascii="Aptos" w:hAnsi="Aptos"/>
                <w:color w:val="232D38"/>
                <w:sz w:val="15"/>
              </w:rPr>
              <w:t>MTQ legal classification, redemption obligation and enforceability</w:t>
            </w:r>
          </w:p>
        </w:tc>
        <w:tc>
          <w:tcPr>
            <w:tcW w:type="dxa" w:w="4997"/>
            <w:tcMar>
              <w:top w:w="80" w:type="dxa"/>
              <w:start w:w="90" w:type="dxa"/>
              <w:bottom w:w="80" w:type="dxa"/>
              <w:end w:w="90" w:type="dxa"/>
            </w:tcMar>
            <w:vAlign w:val="top"/>
          </w:tcPr>
          <w:p>
            <w:pPr>
              <w:spacing w:after="30"/>
            </w:pPr>
            <w:r>
              <w:rPr>
                <w:rFonts w:ascii="Aptos" w:hAnsi="Aptos"/>
                <w:color w:val="232D38"/>
                <w:sz w:val="15"/>
              </w:rPr>
              <w:t>Pending qualified external legal/accounting/regulatory analysis and executed contracts.</w:t>
            </w:r>
          </w:p>
        </w:tc>
      </w:tr>
      <w:tr>
        <w:trPr>
          <w:cantSplit/>
        </w:trPr>
        <w:tc>
          <w:tcPr>
            <w:tcW w:type="dxa" w:w="4997"/>
            <w:tcMar>
              <w:top w:w="80" w:type="dxa"/>
              <w:start w:w="90" w:type="dxa"/>
              <w:bottom w:w="80" w:type="dxa"/>
              <w:end w:w="90" w:type="dxa"/>
            </w:tcMar>
            <w:vAlign w:val="top"/>
            <w:shd w:fill="F7F9FB"/>
          </w:tcPr>
          <w:p>
            <w:pPr>
              <w:spacing w:after="30"/>
            </w:pPr>
            <w:r>
              <w:rPr>
                <w:rFonts w:ascii="Aptos" w:hAnsi="Aptos"/>
                <w:color w:val="232D38"/>
                <w:sz w:val="15"/>
              </w:rPr>
              <w:t>Banks, custodians, permissions, licenses, live backing cells</w:t>
            </w:r>
          </w:p>
        </w:tc>
        <w:tc>
          <w:tcPr>
            <w:tcW w:type="dxa" w:w="4997"/>
            <w:tcMar>
              <w:top w:w="80" w:type="dxa"/>
              <w:start w:w="90" w:type="dxa"/>
              <w:bottom w:w="80" w:type="dxa"/>
              <w:end w:w="90" w:type="dxa"/>
            </w:tcMar>
            <w:vAlign w:val="top"/>
            <w:shd w:fill="F7F9FB"/>
          </w:tcPr>
          <w:p>
            <w:pPr>
              <w:spacing w:after="30"/>
            </w:pPr>
            <w:r>
              <w:rPr>
                <w:rFonts w:ascii="Aptos" w:hAnsi="Aptos"/>
                <w:color w:val="232D38"/>
                <w:sz w:val="15"/>
              </w:rPr>
              <w:t>Do not claim any unless primary evidence is registered. Last-known snapshot reported zero contracted banks/custodians and zero legal opinions/licenses; re-check.</w:t>
            </w:r>
          </w:p>
        </w:tc>
      </w:tr>
      <w:tr>
        <w:trPr>
          <w:cantSplit/>
        </w:trPr>
        <w:tc>
          <w:tcPr>
            <w:tcW w:type="dxa" w:w="4997"/>
            <w:tcMar>
              <w:top w:w="80" w:type="dxa"/>
              <w:start w:w="90" w:type="dxa"/>
              <w:bottom w:w="80" w:type="dxa"/>
              <w:end w:w="90" w:type="dxa"/>
            </w:tcMar>
            <w:vAlign w:val="top"/>
          </w:tcPr>
          <w:p>
            <w:pPr>
              <w:spacing w:after="30"/>
            </w:pPr>
            <w:r>
              <w:rPr>
                <w:rFonts w:ascii="Aptos" w:hAnsi="Aptos"/>
                <w:color w:val="232D38"/>
                <w:sz w:val="15"/>
              </w:rPr>
              <w:t>Provider connectivity and harmony</w:t>
            </w:r>
          </w:p>
        </w:tc>
        <w:tc>
          <w:tcPr>
            <w:tcW w:type="dxa" w:w="4997"/>
            <w:tcMar>
              <w:top w:w="80" w:type="dxa"/>
              <w:start w:w="90" w:type="dxa"/>
              <w:bottom w:w="80" w:type="dxa"/>
              <w:end w:w="90" w:type="dxa"/>
            </w:tcMar>
            <w:vAlign w:val="top"/>
          </w:tcPr>
          <w:p>
            <w:pPr>
              <w:spacing w:after="30"/>
            </w:pPr>
            <w:r>
              <w:rPr>
                <w:rFonts w:ascii="Aptos" w:hAnsi="Aptos"/>
                <w:color w:val="232D38"/>
                <w:sz w:val="15"/>
              </w:rPr>
              <w:t>Verify through authorized provider/API/runtime checks and end-to-end tests, not environment-variable presence.</w:t>
            </w:r>
          </w:p>
        </w:tc>
      </w:tr>
      <w:tr>
        <w:trPr>
          <w:cantSplit/>
        </w:trPr>
        <w:tc>
          <w:tcPr>
            <w:tcW w:type="dxa" w:w="4997"/>
            <w:tcMar>
              <w:top w:w="80" w:type="dxa"/>
              <w:start w:w="90" w:type="dxa"/>
              <w:bottom w:w="80" w:type="dxa"/>
              <w:end w:w="90" w:type="dxa"/>
            </w:tcMar>
            <w:vAlign w:val="top"/>
            <w:shd w:fill="F7F9FB"/>
          </w:tcPr>
          <w:p>
            <w:pPr>
              <w:spacing w:after="30"/>
            </w:pPr>
            <w:r>
              <w:rPr>
                <w:rFonts w:ascii="Aptos" w:hAnsi="Aptos"/>
                <w:color w:val="232D38"/>
                <w:sz w:val="15"/>
              </w:rPr>
              <w:t>Settlement performance and savings</w:t>
            </w:r>
          </w:p>
        </w:tc>
        <w:tc>
          <w:tcPr>
            <w:tcW w:type="dxa" w:w="4997"/>
            <w:tcMar>
              <w:top w:w="80" w:type="dxa"/>
              <w:start w:w="90" w:type="dxa"/>
              <w:bottom w:w="80" w:type="dxa"/>
              <w:end w:w="90" w:type="dxa"/>
            </w:tcMar>
            <w:vAlign w:val="top"/>
            <w:shd w:fill="F7F9FB"/>
          </w:tcPr>
          <w:p>
            <w:pPr>
              <w:spacing w:after="30"/>
            </w:pPr>
            <w:r>
              <w:rPr>
                <w:rFonts w:ascii="Aptos" w:hAnsi="Aptos"/>
                <w:color w:val="232D38"/>
                <w:sz w:val="15"/>
              </w:rPr>
              <w:t>Examples including AED/SGD timing/basis-point examples are simulations unless independently measured under agreed pilot conditions.</w:t>
            </w:r>
          </w:p>
        </w:tc>
      </w:tr>
      <w:tr>
        <w:trPr>
          <w:cantSplit/>
        </w:trPr>
        <w:tc>
          <w:tcPr>
            <w:tcW w:type="dxa" w:w="4997"/>
            <w:tcMar>
              <w:top w:w="80" w:type="dxa"/>
              <w:start w:w="90" w:type="dxa"/>
              <w:bottom w:w="80" w:type="dxa"/>
              <w:end w:w="90" w:type="dxa"/>
            </w:tcMar>
            <w:vAlign w:val="top"/>
          </w:tcPr>
          <w:p>
            <w:pPr>
              <w:spacing w:after="30"/>
            </w:pPr>
            <w:r>
              <w:rPr>
                <w:rFonts w:ascii="Aptos" w:hAnsi="Aptos"/>
                <w:color w:val="232D38"/>
                <w:sz w:val="15"/>
              </w:rPr>
              <w:t>Production readiness</w:t>
            </w:r>
          </w:p>
        </w:tc>
        <w:tc>
          <w:tcPr>
            <w:tcW w:type="dxa" w:w="4997"/>
            <w:tcMar>
              <w:top w:w="80" w:type="dxa"/>
              <w:start w:w="90" w:type="dxa"/>
              <w:bottom w:w="80" w:type="dxa"/>
              <w:end w:w="90" w:type="dxa"/>
            </w:tcMar>
            <w:vAlign w:val="top"/>
          </w:tcPr>
          <w:p>
            <w:pPr>
              <w:spacing w:after="30"/>
            </w:pPr>
            <w:r>
              <w:rPr>
                <w:rFonts w:ascii="Aptos" w:hAnsi="Aptos"/>
                <w:color w:val="232D38"/>
                <w:sz w:val="15"/>
              </w:rPr>
              <w:t>FALSE until the production authorization gate is formally approved and evidence-backed.</w:t>
            </w:r>
          </w:p>
        </w:tc>
      </w:tr>
    </w:tbl>
    <w:p>
      <w:pPr>
        <w:spacing w:after="0"/>
      </w:pPr>
    </w:p>
    <w:p>
      <w:pPr>
        <w:pStyle w:val="Heading2"/>
      </w:pPr>
      <w:r>
        <w:t>0.3 Immediate priorities: evidence over feature count</w:t>
      </w:r>
    </w:p>
    <w:p>
      <w:pPr>
        <w:spacing w:after="50"/>
        <w:ind w:left="403" w:hanging="403"/>
      </w:pPr>
      <w:r>
        <w:t>1. Re-establish a safe known-good repository/release checkpoint and quarantine exposed credentials; do not expose a live-value path while provider harmony is unverified.</w:t>
      </w:r>
    </w:p>
    <w:p>
      <w:pPr>
        <w:spacing w:after="50"/>
        <w:ind w:left="403" w:hanging="403"/>
      </w:pPr>
      <w:r>
        <w:t>2. Adopt this authority model, identify the canonical repository and create a hash-pinned baseline manifest. Inventory contradictions and missing artifacts.</w:t>
      </w:r>
    </w:p>
    <w:p>
      <w:pPr>
        <w:spacing w:after="50"/>
        <w:ind w:left="403" w:hanging="403"/>
      </w:pPr>
      <w:r>
        <w:t>3. Close G0 corporate/contractual integrity with primary documents and counsel review; do not infer entity status from a blueprint or generated summary.</w:t>
      </w:r>
    </w:p>
    <w:p>
      <w:pPr>
        <w:spacing w:after="50"/>
        <w:ind w:left="403" w:hanging="403"/>
      </w:pPr>
      <w:r>
        <w:t>4. Prepare the Pilot A demonstration environment with MTQ disabled; run reproducible normal/failure/recovery scenarios using synthetic or expressly authorized test data.</w:t>
      </w:r>
    </w:p>
    <w:p>
      <w:pPr>
        <w:spacing w:after="50"/>
        <w:ind w:left="403" w:hanging="403"/>
      </w:pPr>
      <w:r>
        <w:t>5. Pursue external legal, regulatory, bank, custody and independent assurance work only through authorized parties. Software cannot replace those parties.</w:t>
      </w:r>
    </w:p>
    <w:p>
      <w:pPr>
        <w:spacing w:after="50"/>
        <w:ind w:left="403" w:hanging="403"/>
      </w:pPr>
      <w:r>
        <w:t>6. Use observed results and bank feedback to decide whether the corridor/problem is commercially meaningful before expanding the feature set.</w:t>
      </w:r>
    </w:p>
    <w:p>
      <w:pPr>
        <w:pStyle w:val="Heading2"/>
      </w:pPr>
      <w:r>
        <w:t>0.4 Product boundaries</w:t>
      </w:r>
    </w:p>
    <w:tbl>
      <w:tblPr>
        <w:tblStyle w:val="TableGrid"/>
        <w:tblW w:type="auto" w:w="0"/>
        <w:jc w:val="center"/>
        <w:tblLook w:firstColumn="1" w:firstRow="1" w:lastColumn="0" w:lastRow="0" w:noHBand="0" w:noVBand="1" w:val="04A0"/>
      </w:tblPr>
      <w:tblGrid>
        <w:gridCol w:w="4997"/>
        <w:gridCol w:w="4997"/>
      </w:tblGrid>
      <w:tr>
        <w:trPr>
          <w:tblHeader w:val="true"/>
          <w:cantSplit/>
        </w:trPr>
        <w:tc>
          <w:tcPr>
            <w:tcW w:type="dxa" w:w="4896"/>
            <w:shd w:fill="07111F"/>
            <w:tcMar>
              <w:top w:w="80" w:type="dxa"/>
              <w:start w:w="90" w:type="dxa"/>
              <w:bottom w:w="80" w:type="dxa"/>
              <w:end w:w="90" w:type="dxa"/>
            </w:tcMar>
            <w:vAlign w:val="center"/>
          </w:tcPr>
          <w:p>
            <w:r>
              <w:rPr>
                <w:rFonts w:ascii="Aptos" w:hAnsi="Aptos"/>
                <w:b/>
                <w:color w:val="FFFFFF"/>
                <w:sz w:val="15"/>
              </w:rPr>
              <w:t>IN SCOPE — initial control-plane product</w:t>
            </w:r>
          </w:p>
        </w:tc>
        <w:tc>
          <w:tcPr>
            <w:tcW w:type="dxa" w:w="5040"/>
            <w:shd w:fill="07111F"/>
            <w:tcMar>
              <w:top w:w="80" w:type="dxa"/>
              <w:start w:w="90" w:type="dxa"/>
              <w:bottom w:w="80" w:type="dxa"/>
              <w:end w:w="90" w:type="dxa"/>
            </w:tcMar>
            <w:vAlign w:val="center"/>
          </w:tcPr>
          <w:p>
            <w:r>
              <w:rPr>
                <w:rFonts w:ascii="Aptos" w:hAnsi="Aptos"/>
                <w:b/>
                <w:color w:val="FFFFFF"/>
                <w:sz w:val="15"/>
              </w:rPr>
              <w:t>OUT OF SCOPE — unless separately approved</w:t>
            </w:r>
          </w:p>
        </w:tc>
      </w:tr>
      <w:tr>
        <w:trPr>
          <w:cantSplit/>
        </w:trPr>
        <w:tc>
          <w:tcPr>
            <w:tcW w:type="dxa" w:w="4997"/>
            <w:tcMar>
              <w:top w:w="80" w:type="dxa"/>
              <w:start w:w="90" w:type="dxa"/>
              <w:bottom w:w="80" w:type="dxa"/>
              <w:end w:w="90" w:type="dxa"/>
            </w:tcMar>
            <w:vAlign w:val="top"/>
            <w:shd w:fill="F7F9FB"/>
          </w:tcPr>
          <w:p>
            <w:pPr>
              <w:spacing w:after="30"/>
            </w:pPr>
            <w:r>
              <w:rPr>
                <w:rFonts w:ascii="Aptos" w:hAnsi="Aptos"/>
                <w:color w:val="232D38"/>
                <w:sz w:val="15"/>
              </w:rPr>
              <w:t>Instruction intake, policy checks, eligibility, route decision support, event orchestration, status transparency, reconciliation, evidence capture, audit/replay, exceptions and reporting.</w:t>
            </w:r>
          </w:p>
        </w:tc>
        <w:tc>
          <w:tcPr>
            <w:tcW w:type="dxa" w:w="4997"/>
            <w:tcMar>
              <w:top w:w="80" w:type="dxa"/>
              <w:start w:w="90" w:type="dxa"/>
              <w:bottom w:w="80" w:type="dxa"/>
              <w:end w:w="90" w:type="dxa"/>
            </w:tcMar>
            <w:vAlign w:val="top"/>
            <w:shd w:fill="F7F9FB"/>
          </w:tcPr>
          <w:p>
            <w:pPr>
              <w:spacing w:after="30"/>
            </w:pPr>
            <w:r>
              <w:rPr>
                <w:rFonts w:ascii="Aptos" w:hAnsi="Aptos"/>
                <w:color w:val="232D38"/>
                <w:sz w:val="15"/>
              </w:rPr>
              <w:t>Retail launch, public MTQ trading, anonymous/bearer transfers, speculative MTQ demand, consumer wallet distribution, implicit guaranteed USD redemption.</w:t>
            </w:r>
          </w:p>
        </w:tc>
      </w:tr>
      <w:tr>
        <w:trPr>
          <w:cantSplit/>
        </w:trPr>
        <w:tc>
          <w:tcPr>
            <w:tcW w:type="dxa" w:w="4997"/>
            <w:tcMar>
              <w:top w:w="80" w:type="dxa"/>
              <w:start w:w="90" w:type="dxa"/>
              <w:bottom w:w="80" w:type="dxa"/>
              <w:end w:w="90" w:type="dxa"/>
            </w:tcMar>
            <w:vAlign w:val="top"/>
          </w:tcPr>
          <w:p>
            <w:pPr>
              <w:spacing w:after="30"/>
            </w:pPr>
            <w:r>
              <w:rPr>
                <w:rFonts w:ascii="Aptos" w:hAnsi="Aptos"/>
                <w:color w:val="232D38"/>
                <w:sz w:val="15"/>
              </w:rPr>
              <w:t>Integration adapters for existing bank/rail/recognized settlement assets; sandbox/simulation first; Pilot A with MTQ off.</w:t>
            </w:r>
          </w:p>
        </w:tc>
        <w:tc>
          <w:tcPr>
            <w:tcW w:type="dxa" w:w="4997"/>
            <w:tcMar>
              <w:top w:w="80" w:type="dxa"/>
              <w:start w:w="90" w:type="dxa"/>
              <w:bottom w:w="80" w:type="dxa"/>
              <w:end w:w="90" w:type="dxa"/>
            </w:tcMar>
            <w:vAlign w:val="top"/>
          </w:tcPr>
          <w:p>
            <w:pPr>
              <w:spacing w:after="30"/>
            </w:pPr>
            <w:r>
              <w:rPr>
                <w:rFonts w:ascii="Aptos" w:hAnsi="Aptos"/>
                <w:color w:val="232D38"/>
                <w:sz w:val="15"/>
              </w:rPr>
              <w:t>Replacing bank core systems, claiming direct RTGS access without a participant/partner, bypassing sanctions or changing an asset’s legal nature by software label.</w:t>
            </w:r>
          </w:p>
        </w:tc>
      </w:tr>
      <w:tr>
        <w:trPr>
          <w:cantSplit/>
        </w:trPr>
        <w:tc>
          <w:tcPr>
            <w:tcW w:type="dxa" w:w="4997"/>
            <w:tcMar>
              <w:top w:w="80" w:type="dxa"/>
              <w:start w:w="90" w:type="dxa"/>
              <w:bottom w:w="80" w:type="dxa"/>
              <w:end w:w="90" w:type="dxa"/>
            </w:tcMar>
            <w:vAlign w:val="top"/>
            <w:shd w:fill="F7F9FB"/>
          </w:tcPr>
          <w:p>
            <w:pPr>
              <w:spacing w:after="30"/>
            </w:pPr>
            <w:r>
              <w:rPr>
                <w:rFonts w:ascii="Aptos" w:hAnsi="Aptos"/>
                <w:color w:val="232D38"/>
                <w:sz w:val="15"/>
              </w:rPr>
              <w:t>MTQ module interfaces and conditional workflows behind explicit legal and operational gates.</w:t>
            </w:r>
          </w:p>
        </w:tc>
        <w:tc>
          <w:tcPr>
            <w:tcW w:type="dxa" w:w="4997"/>
            <w:tcMar>
              <w:top w:w="80" w:type="dxa"/>
              <w:start w:w="90" w:type="dxa"/>
              <w:bottom w:w="80" w:type="dxa"/>
              <w:end w:w="90" w:type="dxa"/>
            </w:tcMar>
            <w:vAlign w:val="top"/>
            <w:shd w:fill="F7F9FB"/>
          </w:tcPr>
          <w:p>
            <w:pPr>
              <w:spacing w:after="30"/>
            </w:pPr>
            <w:r>
              <w:rPr>
                <w:rFonts w:ascii="Aptos" w:hAnsi="Aptos"/>
                <w:color w:val="232D38"/>
                <w:sz w:val="15"/>
              </w:rPr>
              <w:t>Production issuance, minting, redemption or movement of MTQ before applicable gates pass.</w:t>
            </w:r>
          </w:p>
        </w:tc>
      </w:tr>
      <w:tr>
        <w:trPr>
          <w:cantSplit/>
        </w:trPr>
        <w:tc>
          <w:tcPr>
            <w:tcW w:type="dxa" w:w="4997"/>
            <w:tcMar>
              <w:top w:w="80" w:type="dxa"/>
              <w:start w:w="90" w:type="dxa"/>
              <w:bottom w:w="80" w:type="dxa"/>
              <w:end w:w="90" w:type="dxa"/>
            </w:tcMar>
            <w:vAlign w:val="top"/>
          </w:tcPr>
          <w:p>
            <w:pPr>
              <w:spacing w:after="30"/>
            </w:pPr>
            <w:r>
              <w:rPr>
                <w:rFonts w:ascii="Aptos" w:hAnsi="Aptos"/>
                <w:color w:val="232D38"/>
                <w:sz w:val="15"/>
              </w:rPr>
              <w:t>Evidence-backed measurement and a controlled bank design-partner pipeline.</w:t>
            </w:r>
          </w:p>
        </w:tc>
        <w:tc>
          <w:tcPr>
            <w:tcW w:type="dxa" w:w="4997"/>
            <w:tcMar>
              <w:top w:w="80" w:type="dxa"/>
              <w:start w:w="90" w:type="dxa"/>
              <w:bottom w:w="80" w:type="dxa"/>
              <w:end w:w="90" w:type="dxa"/>
            </w:tcMar>
            <w:vAlign w:val="top"/>
          </w:tcPr>
          <w:p>
            <w:pPr>
              <w:spacing w:after="30"/>
            </w:pPr>
            <w:r>
              <w:rPr>
                <w:rFonts w:ascii="Aptos" w:hAnsi="Aptos"/>
                <w:color w:val="232D38"/>
                <w:sz w:val="15"/>
              </w:rPr>
              <w:t>Unsupported claims about savings, finality, regulatory compliance, adoption, bank endorsements or production readiness.</w:t>
            </w:r>
          </w:p>
        </w:tc>
      </w:tr>
    </w:tbl>
    <w:p>
      <w:pPr>
        <w:spacing w:after="0"/>
      </w:pPr>
    </w:p>
    <w:p>
      <w:pPr>
        <w:pStyle w:val="Heading1"/>
      </w:pPr>
      <w:r>
        <w:t>PART I — Product Constitution and Source-of-Truth Model</w:t>
      </w:r>
    </w:p>
    <w:p>
      <w:pPr>
        <w:pStyle w:val="Heading2"/>
      </w:pPr>
      <w:r>
        <w:t>1.1 Purpose</w:t>
      </w:r>
    </w:p>
    <w:p>
      <w:r>
        <w:rPr>
          <w:i w:val="0"/>
        </w:rPr>
        <w:t>MITHQAL improves institutional settlement coordination without requiring a participant to replace its authoritative core systems or accept a new monetary instrument as the condition of adoption. The control plane translates institutional instructions into policy-constrained, evidence-bearing actions across existing rails while preserving each institution’s legal responsibilities and settlement-finality rules.</w:t>
      </w:r>
    </w:p>
    <w:p>
      <w:pPr>
        <w:pStyle w:val="Heading2"/>
      </w:pPr>
      <w:r>
        <w:t>1.2 Non-negotiable design principles</w:t>
      </w:r>
    </w:p>
    <w:p>
      <w:pPr>
        <w:pStyle w:val="ListBullet"/>
        <w:spacing w:after="50"/>
      </w:pPr>
      <w:r>
        <w:t>Translation, not transformation: connect existing bank processes and recognized settlement assets; an adapter does not change an asset’s legal nature.</w:t>
      </w:r>
    </w:p>
    <w:p>
      <w:pPr>
        <w:pStyle w:val="ListBullet"/>
        <w:spacing w:after="50"/>
      </w:pPr>
      <w:r>
        <w:t>Asset neutrality: route among legally and operationally eligible assets under approved policy. MTQ is one possible module, not the product’s centre.</w:t>
      </w:r>
    </w:p>
    <w:p>
      <w:pPr>
        <w:pStyle w:val="ListBullet"/>
        <w:spacing w:after="50"/>
      </w:pPr>
      <w:r>
        <w:t>Evidence before claims: every material operational, financial, legal or commercial statement has provenance and a truth label.</w:t>
      </w:r>
    </w:p>
    <w:p>
      <w:pPr>
        <w:pStyle w:val="ListBullet"/>
        <w:spacing w:after="50"/>
      </w:pPr>
      <w:r>
        <w:t>Legal finality before represented completion: technical state and legal state are distinct; an acknowledgement cannot create legal finality.</w:t>
      </w:r>
    </w:p>
    <w:p>
      <w:pPr>
        <w:pStyle w:val="ListBullet"/>
        <w:spacing w:after="50"/>
      </w:pPr>
      <w:r>
        <w:t>No obligor, no MTQ: every MTQ record requires an explicit legal obligor and defined holder/redemption/acceptance topology.</w:t>
      </w:r>
    </w:p>
    <w:p>
      <w:pPr>
        <w:pStyle w:val="ListBullet"/>
        <w:spacing w:after="50"/>
      </w:pPr>
      <w:r>
        <w:t>No double-counted or merely attested backing: eligibility depends on economic existence, legal control, liquidity and settlement availability.</w:t>
      </w:r>
    </w:p>
    <w:p>
      <w:pPr>
        <w:pStyle w:val="ListBullet"/>
        <w:spacing w:after="50"/>
      </w:pPr>
      <w:r>
        <w:t>Fail closed on material unknowns: unknown jurisdiction, missing authority, sanctions uncertainty, stale permission or unavailable control evidence cannot be treated as pass.</w:t>
      </w:r>
    </w:p>
    <w:p>
      <w:pPr>
        <w:pStyle w:val="ListBullet"/>
        <w:spacing w:after="50"/>
      </w:pPr>
      <w:r>
        <w:t>Separation of duties: request, authorize, execute and independently reconcile are distinct capabilities; assess shared accounts and credentials, not only service boundaries.</w:t>
      </w:r>
    </w:p>
    <w:p>
      <w:pPr>
        <w:pStyle w:val="ListBullet"/>
        <w:spacing w:after="50"/>
      </w:pPr>
      <w:r>
        <w:t>Deterministic policy decisions: same approved inputs and policy version should reproduce the same decision. Optimization cannot override invariants.</w:t>
      </w:r>
    </w:p>
    <w:p>
      <w:pPr>
        <w:pStyle w:val="ListBullet"/>
        <w:spacing w:after="50"/>
      </w:pPr>
      <w:r>
        <w:t>No silent state mutation: final records are immutable; correction uses linked compensating actions and evidence.</w:t>
      </w:r>
    </w:p>
    <w:p>
      <w:pPr>
        <w:pStyle w:val="ListBullet"/>
        <w:spacing w:after="50"/>
      </w:pPr>
      <w:r>
        <w:t>No production-by-document: specification completeness does not imply deployment, legal readiness or institutional authorization.</w:t>
      </w:r>
    </w:p>
    <w:p>
      <w:pPr>
        <w:pStyle w:val="ListBullet"/>
        <w:spacing w:after="50"/>
      </w:pPr>
      <w:r>
        <w:t>No feature expansion as substitute for external validation: prioritize evidence that changes an institutional gate.</w:t>
      </w:r>
    </w:p>
    <w:p>
      <w:pPr>
        <w:pStyle w:val="Heading2"/>
      </w:pPr>
      <w:r>
        <w:t>1.3 Capability maturity and claims</w:t>
      </w:r>
    </w:p>
    <w:tbl>
      <w:tblPr>
        <w:tblStyle w:val="TableGrid"/>
        <w:tblW w:type="auto" w:w="0"/>
        <w:jc w:val="center"/>
        <w:tblLook w:firstColumn="1" w:firstRow="1" w:lastColumn="0" w:lastRow="0" w:noHBand="0" w:noVBand="1" w:val="04A0"/>
      </w:tblPr>
      <w:tblGrid>
        <w:gridCol w:w="3331"/>
        <w:gridCol w:w="3331"/>
        <w:gridCol w:w="3331"/>
      </w:tblGrid>
      <w:tr>
        <w:trPr>
          <w:tblHeader w:val="true"/>
          <w:cantSplit/>
        </w:trPr>
        <w:tc>
          <w:tcPr>
            <w:tcW w:type="dxa" w:w="2160"/>
            <w:shd w:fill="07111F"/>
            <w:tcMar>
              <w:top w:w="80" w:type="dxa"/>
              <w:start w:w="90" w:type="dxa"/>
              <w:bottom w:w="80" w:type="dxa"/>
              <w:end w:w="90" w:type="dxa"/>
            </w:tcMar>
            <w:vAlign w:val="center"/>
          </w:tcPr>
          <w:p>
            <w:r>
              <w:rPr>
                <w:rFonts w:ascii="Aptos" w:hAnsi="Aptos"/>
                <w:b/>
                <w:color w:val="FFFFFF"/>
                <w:sz w:val="14"/>
              </w:rPr>
              <w:t>Level</w:t>
            </w:r>
          </w:p>
        </w:tc>
        <w:tc>
          <w:tcPr>
            <w:tcW w:type="dxa" w:w="4320"/>
            <w:shd w:fill="07111F"/>
            <w:tcMar>
              <w:top w:w="80" w:type="dxa"/>
              <w:start w:w="90" w:type="dxa"/>
              <w:bottom w:w="80" w:type="dxa"/>
              <w:end w:w="90" w:type="dxa"/>
            </w:tcMar>
            <w:vAlign w:val="center"/>
          </w:tcPr>
          <w:p>
            <w:r>
              <w:rPr>
                <w:rFonts w:ascii="Aptos" w:hAnsi="Aptos"/>
                <w:b/>
                <w:color w:val="FFFFFF"/>
                <w:sz w:val="14"/>
              </w:rPr>
              <w:t>Meaning</w:t>
            </w:r>
          </w:p>
        </w:tc>
        <w:tc>
          <w:tcPr>
            <w:tcW w:type="dxa" w:w="3456"/>
            <w:shd w:fill="07111F"/>
            <w:tcMar>
              <w:top w:w="80" w:type="dxa"/>
              <w:start w:w="90" w:type="dxa"/>
              <w:bottom w:w="80" w:type="dxa"/>
              <w:end w:w="90" w:type="dxa"/>
            </w:tcMar>
            <w:vAlign w:val="center"/>
          </w:tcPr>
          <w:p>
            <w:r>
              <w:rPr>
                <w:rFonts w:ascii="Aptos" w:hAnsi="Aptos"/>
                <w:b/>
                <w:color w:val="FFFFFF"/>
                <w:sz w:val="14"/>
              </w:rPr>
              <w:t>Allowed claim</w:t>
            </w:r>
          </w:p>
        </w:tc>
      </w:tr>
      <w:tr>
        <w:trPr>
          <w:cantSplit/>
        </w:trPr>
        <w:tc>
          <w:tcPr>
            <w:tcW w:type="dxa" w:w="3331"/>
            <w:tcMar>
              <w:top w:w="80" w:type="dxa"/>
              <w:start w:w="90" w:type="dxa"/>
              <w:bottom w:w="80" w:type="dxa"/>
              <w:end w:w="90" w:type="dxa"/>
            </w:tcMar>
            <w:vAlign w:val="top"/>
            <w:shd w:fill="F7F9FB"/>
          </w:tcPr>
          <w:p>
            <w:pPr>
              <w:spacing w:after="30"/>
            </w:pPr>
            <w:r>
              <w:rPr>
                <w:rFonts w:ascii="Aptos" w:hAnsi="Aptos"/>
                <w:color w:val="232D38"/>
                <w:sz w:val="14"/>
              </w:rPr>
              <w:t>L0 — DESIGNED</w:t>
            </w:r>
          </w:p>
        </w:tc>
        <w:tc>
          <w:tcPr>
            <w:tcW w:type="dxa" w:w="3331"/>
            <w:tcMar>
              <w:top w:w="80" w:type="dxa"/>
              <w:start w:w="90" w:type="dxa"/>
              <w:bottom w:w="80" w:type="dxa"/>
              <w:end w:w="90" w:type="dxa"/>
            </w:tcMar>
            <w:vAlign w:val="top"/>
            <w:shd w:fill="F7F9FB"/>
          </w:tcPr>
          <w:p>
            <w:pPr>
              <w:spacing w:after="30"/>
            </w:pPr>
            <w:r>
              <w:rPr>
                <w:rFonts w:ascii="Aptos" w:hAnsi="Aptos"/>
                <w:color w:val="232D38"/>
                <w:sz w:val="14"/>
              </w:rPr>
              <w:t>Architecture, schemas or workflow described.</w:t>
            </w:r>
          </w:p>
        </w:tc>
        <w:tc>
          <w:tcPr>
            <w:tcW w:type="dxa" w:w="3331"/>
            <w:tcMar>
              <w:top w:w="80" w:type="dxa"/>
              <w:start w:w="90" w:type="dxa"/>
              <w:bottom w:w="80" w:type="dxa"/>
              <w:end w:w="90" w:type="dxa"/>
            </w:tcMar>
            <w:vAlign w:val="top"/>
            <w:shd w:fill="F7F9FB"/>
          </w:tcPr>
          <w:p>
            <w:pPr>
              <w:spacing w:after="30"/>
            </w:pPr>
            <w:r>
              <w:rPr>
                <w:rFonts w:ascii="Aptos" w:hAnsi="Aptos"/>
                <w:color w:val="232D38"/>
                <w:sz w:val="14"/>
              </w:rPr>
              <w:t>Designed/specified.</w:t>
            </w:r>
          </w:p>
        </w:tc>
      </w:tr>
      <w:tr>
        <w:trPr>
          <w:cantSplit/>
        </w:trPr>
        <w:tc>
          <w:tcPr>
            <w:tcW w:type="dxa" w:w="3331"/>
            <w:tcMar>
              <w:top w:w="80" w:type="dxa"/>
              <w:start w:w="90" w:type="dxa"/>
              <w:bottom w:w="80" w:type="dxa"/>
              <w:end w:w="90" w:type="dxa"/>
            </w:tcMar>
            <w:vAlign w:val="top"/>
          </w:tcPr>
          <w:p>
            <w:pPr>
              <w:spacing w:after="30"/>
            </w:pPr>
            <w:r>
              <w:rPr>
                <w:rFonts w:ascii="Aptos" w:hAnsi="Aptos"/>
                <w:color w:val="232D38"/>
                <w:sz w:val="14"/>
              </w:rPr>
              <w:t>L1 — IMPLEMENTED_CODE_LEVEL</w:t>
            </w:r>
          </w:p>
        </w:tc>
        <w:tc>
          <w:tcPr>
            <w:tcW w:type="dxa" w:w="3331"/>
            <w:tcMar>
              <w:top w:w="80" w:type="dxa"/>
              <w:start w:w="90" w:type="dxa"/>
              <w:bottom w:w="80" w:type="dxa"/>
              <w:end w:w="90" w:type="dxa"/>
            </w:tcMar>
            <w:vAlign w:val="top"/>
          </w:tcPr>
          <w:p>
            <w:pPr>
              <w:spacing w:after="30"/>
            </w:pPr>
            <w:r>
              <w:rPr>
                <w:rFonts w:ascii="Aptos" w:hAnsi="Aptos"/>
                <w:color w:val="232D38"/>
                <w:sz w:val="14"/>
              </w:rPr>
              <w:t>Code/config exists at a named commit/environment.</w:t>
            </w:r>
          </w:p>
        </w:tc>
        <w:tc>
          <w:tcPr>
            <w:tcW w:type="dxa" w:w="3331"/>
            <w:tcMar>
              <w:top w:w="80" w:type="dxa"/>
              <w:start w:w="90" w:type="dxa"/>
              <w:bottom w:w="80" w:type="dxa"/>
              <w:end w:w="90" w:type="dxa"/>
            </w:tcMar>
            <w:vAlign w:val="top"/>
          </w:tcPr>
          <w:p>
            <w:pPr>
              <w:spacing w:after="30"/>
            </w:pPr>
            <w:r>
              <w:rPr>
                <w:rFonts w:ascii="Aptos" w:hAnsi="Aptos"/>
                <w:color w:val="232D38"/>
                <w:sz w:val="14"/>
              </w:rPr>
              <w:t>Implemented in code at commit X.</w:t>
            </w:r>
          </w:p>
        </w:tc>
      </w:tr>
      <w:tr>
        <w:trPr>
          <w:cantSplit/>
        </w:trPr>
        <w:tc>
          <w:tcPr>
            <w:tcW w:type="dxa" w:w="3331"/>
            <w:tcMar>
              <w:top w:w="80" w:type="dxa"/>
              <w:start w:w="90" w:type="dxa"/>
              <w:bottom w:w="80" w:type="dxa"/>
              <w:end w:w="90" w:type="dxa"/>
            </w:tcMar>
            <w:vAlign w:val="top"/>
            <w:shd w:fill="F7F9FB"/>
          </w:tcPr>
          <w:p>
            <w:pPr>
              <w:spacing w:after="30"/>
            </w:pPr>
            <w:r>
              <w:rPr>
                <w:rFonts w:ascii="Aptos" w:hAnsi="Aptos"/>
                <w:color w:val="232D38"/>
                <w:sz w:val="14"/>
              </w:rPr>
              <w:t>L2 — AUTOMATED_TESTED</w:t>
            </w:r>
          </w:p>
        </w:tc>
        <w:tc>
          <w:tcPr>
            <w:tcW w:type="dxa" w:w="3331"/>
            <w:tcMar>
              <w:top w:w="80" w:type="dxa"/>
              <w:start w:w="90" w:type="dxa"/>
              <w:bottom w:w="80" w:type="dxa"/>
              <w:end w:w="90" w:type="dxa"/>
            </w:tcMar>
            <w:vAlign w:val="top"/>
            <w:shd w:fill="F7F9FB"/>
          </w:tcPr>
          <w:p>
            <w:pPr>
              <w:spacing w:after="30"/>
            </w:pPr>
            <w:r>
              <w:rPr>
                <w:rFonts w:ascii="Aptos" w:hAnsi="Aptos"/>
                <w:color w:val="232D38"/>
                <w:sz w:val="14"/>
              </w:rPr>
              <w:t>Named automated tests passed against identified fixtures/mocks.</w:t>
            </w:r>
          </w:p>
        </w:tc>
        <w:tc>
          <w:tcPr>
            <w:tcW w:type="dxa" w:w="3331"/>
            <w:tcMar>
              <w:top w:w="80" w:type="dxa"/>
              <w:start w:w="90" w:type="dxa"/>
              <w:bottom w:w="80" w:type="dxa"/>
              <w:end w:w="90" w:type="dxa"/>
            </w:tcMar>
            <w:vAlign w:val="top"/>
            <w:shd w:fill="F7F9FB"/>
          </w:tcPr>
          <w:p>
            <w:pPr>
              <w:spacing w:after="30"/>
            </w:pPr>
            <w:r>
              <w:rPr>
                <w:rFonts w:ascii="Aptos" w:hAnsi="Aptos"/>
                <w:color w:val="232D38"/>
                <w:sz w:val="14"/>
              </w:rPr>
              <w:t>Automated tests passed for named suite, commit and time.</w:t>
            </w:r>
          </w:p>
        </w:tc>
      </w:tr>
      <w:tr>
        <w:trPr>
          <w:cantSplit/>
        </w:trPr>
        <w:tc>
          <w:tcPr>
            <w:tcW w:type="dxa" w:w="3331"/>
            <w:tcMar>
              <w:top w:w="80" w:type="dxa"/>
              <w:start w:w="90" w:type="dxa"/>
              <w:bottom w:w="80" w:type="dxa"/>
              <w:end w:w="90" w:type="dxa"/>
            </w:tcMar>
            <w:vAlign w:val="top"/>
          </w:tcPr>
          <w:p>
            <w:pPr>
              <w:spacing w:after="30"/>
            </w:pPr>
            <w:r>
              <w:rPr>
                <w:rFonts w:ascii="Aptos" w:hAnsi="Aptos"/>
                <w:color w:val="232D38"/>
                <w:sz w:val="14"/>
              </w:rPr>
              <w:t>L3 — SIMULATED</w:t>
            </w:r>
          </w:p>
        </w:tc>
        <w:tc>
          <w:tcPr>
            <w:tcW w:type="dxa" w:w="3331"/>
            <w:tcMar>
              <w:top w:w="80" w:type="dxa"/>
              <w:start w:w="90" w:type="dxa"/>
              <w:bottom w:w="80" w:type="dxa"/>
              <w:end w:w="90" w:type="dxa"/>
            </w:tcMar>
            <w:vAlign w:val="top"/>
          </w:tcPr>
          <w:p>
            <w:pPr>
              <w:spacing w:after="30"/>
            </w:pPr>
            <w:r>
              <w:rPr>
                <w:rFonts w:ascii="Aptos" w:hAnsi="Aptos"/>
                <w:color w:val="232D38"/>
                <w:sz w:val="14"/>
              </w:rPr>
              <w:t>Synthetic or modeled flow produced results; no real institutional value path is implied.</w:t>
            </w:r>
          </w:p>
        </w:tc>
        <w:tc>
          <w:tcPr>
            <w:tcW w:type="dxa" w:w="3331"/>
            <w:tcMar>
              <w:top w:w="80" w:type="dxa"/>
              <w:start w:w="90" w:type="dxa"/>
              <w:bottom w:w="80" w:type="dxa"/>
              <w:end w:w="90" w:type="dxa"/>
            </w:tcMar>
            <w:vAlign w:val="top"/>
          </w:tcPr>
          <w:p>
            <w:pPr>
              <w:spacing w:after="30"/>
            </w:pPr>
            <w:r>
              <w:rPr>
                <w:rFonts w:ascii="Aptos" w:hAnsi="Aptos"/>
                <w:color w:val="232D38"/>
                <w:sz w:val="14"/>
              </w:rPr>
              <w:t>Simulated in environment X, with limitations.</w:t>
            </w:r>
          </w:p>
        </w:tc>
      </w:tr>
      <w:tr>
        <w:trPr>
          <w:cantSplit/>
        </w:trPr>
        <w:tc>
          <w:tcPr>
            <w:tcW w:type="dxa" w:w="3331"/>
            <w:tcMar>
              <w:top w:w="80" w:type="dxa"/>
              <w:start w:w="90" w:type="dxa"/>
              <w:bottom w:w="80" w:type="dxa"/>
              <w:end w:w="90" w:type="dxa"/>
            </w:tcMar>
            <w:vAlign w:val="top"/>
            <w:shd w:fill="F7F9FB"/>
          </w:tcPr>
          <w:p>
            <w:pPr>
              <w:spacing w:after="30"/>
            </w:pPr>
            <w:r>
              <w:rPr>
                <w:rFonts w:ascii="Aptos" w:hAnsi="Aptos"/>
                <w:color w:val="232D38"/>
                <w:sz w:val="14"/>
              </w:rPr>
              <w:t>L4 — DEPLOYED_UNVERIFIED</w:t>
            </w:r>
          </w:p>
        </w:tc>
        <w:tc>
          <w:tcPr>
            <w:tcW w:type="dxa" w:w="3331"/>
            <w:tcMar>
              <w:top w:w="80" w:type="dxa"/>
              <w:start w:w="90" w:type="dxa"/>
              <w:bottom w:w="80" w:type="dxa"/>
              <w:end w:w="90" w:type="dxa"/>
            </w:tcMar>
            <w:vAlign w:val="top"/>
            <w:shd w:fill="F7F9FB"/>
          </w:tcPr>
          <w:p>
            <w:pPr>
              <w:spacing w:after="30"/>
            </w:pPr>
            <w:r>
              <w:rPr>
                <w:rFonts w:ascii="Aptos" w:hAnsi="Aptos"/>
                <w:color w:val="232D38"/>
                <w:sz w:val="14"/>
              </w:rPr>
              <w:t>Deployment exists but end-to-end behavior/provider controls are unproven.</w:t>
            </w:r>
          </w:p>
        </w:tc>
        <w:tc>
          <w:tcPr>
            <w:tcW w:type="dxa" w:w="3331"/>
            <w:tcMar>
              <w:top w:w="80" w:type="dxa"/>
              <w:start w:w="90" w:type="dxa"/>
              <w:bottom w:w="80" w:type="dxa"/>
              <w:end w:w="90" w:type="dxa"/>
            </w:tcMar>
            <w:vAlign w:val="top"/>
            <w:shd w:fill="F7F9FB"/>
          </w:tcPr>
          <w:p>
            <w:pPr>
              <w:spacing w:after="30"/>
            </w:pPr>
            <w:r>
              <w:rPr>
                <w:rFonts w:ascii="Aptos" w:hAnsi="Aptos"/>
                <w:color w:val="232D38"/>
                <w:sz w:val="14"/>
              </w:rPr>
              <w:t>Deployment observed; not validated.</w:t>
            </w:r>
          </w:p>
        </w:tc>
      </w:tr>
      <w:tr>
        <w:trPr>
          <w:cantSplit/>
        </w:trPr>
        <w:tc>
          <w:tcPr>
            <w:tcW w:type="dxa" w:w="3331"/>
            <w:tcMar>
              <w:top w:w="80" w:type="dxa"/>
              <w:start w:w="90" w:type="dxa"/>
              <w:bottom w:w="80" w:type="dxa"/>
              <w:end w:w="90" w:type="dxa"/>
            </w:tcMar>
            <w:vAlign w:val="top"/>
          </w:tcPr>
          <w:p>
            <w:pPr>
              <w:spacing w:after="30"/>
            </w:pPr>
            <w:r>
              <w:rPr>
                <w:rFonts w:ascii="Aptos" w:hAnsi="Aptos"/>
                <w:color w:val="232D38"/>
                <w:sz w:val="14"/>
              </w:rPr>
              <w:t>L5 — LIVE_OBSERVED</w:t>
            </w:r>
          </w:p>
        </w:tc>
        <w:tc>
          <w:tcPr>
            <w:tcW w:type="dxa" w:w="3331"/>
            <w:tcMar>
              <w:top w:w="80" w:type="dxa"/>
              <w:start w:w="90" w:type="dxa"/>
              <w:bottom w:w="80" w:type="dxa"/>
              <w:end w:w="90" w:type="dxa"/>
            </w:tcMar>
            <w:vAlign w:val="top"/>
          </w:tcPr>
          <w:p>
            <w:pPr>
              <w:spacing w:after="30"/>
            </w:pPr>
            <w:r>
              <w:rPr>
                <w:rFonts w:ascii="Aptos" w:hAnsi="Aptos"/>
                <w:color w:val="232D38"/>
                <w:sz w:val="14"/>
              </w:rPr>
              <w:t>Authorized runtime/provider evidence proves a narrowly defined behavior at a time.</w:t>
            </w:r>
          </w:p>
        </w:tc>
        <w:tc>
          <w:tcPr>
            <w:tcW w:type="dxa" w:w="3331"/>
            <w:tcMar>
              <w:top w:w="80" w:type="dxa"/>
              <w:start w:w="90" w:type="dxa"/>
              <w:bottom w:w="80" w:type="dxa"/>
              <w:end w:w="90" w:type="dxa"/>
            </w:tcMar>
            <w:vAlign w:val="top"/>
          </w:tcPr>
          <w:p>
            <w:pPr>
              <w:spacing w:after="30"/>
            </w:pPr>
            <w:r>
              <w:rPr>
                <w:rFonts w:ascii="Aptos" w:hAnsi="Aptos"/>
                <w:color w:val="232D38"/>
                <w:sz w:val="14"/>
              </w:rPr>
              <w:t>State exactly what behavior was observed.</w:t>
            </w:r>
          </w:p>
        </w:tc>
      </w:tr>
      <w:tr>
        <w:trPr>
          <w:cantSplit/>
        </w:trPr>
        <w:tc>
          <w:tcPr>
            <w:tcW w:type="dxa" w:w="3331"/>
            <w:tcMar>
              <w:top w:w="80" w:type="dxa"/>
              <w:start w:w="90" w:type="dxa"/>
              <w:bottom w:w="80" w:type="dxa"/>
              <w:end w:w="90" w:type="dxa"/>
            </w:tcMar>
            <w:vAlign w:val="top"/>
            <w:shd w:fill="F7F9FB"/>
          </w:tcPr>
          <w:p>
            <w:pPr>
              <w:spacing w:after="30"/>
            </w:pPr>
            <w:r>
              <w:rPr>
                <w:rFonts w:ascii="Aptos" w:hAnsi="Aptos"/>
                <w:color w:val="232D38"/>
                <w:sz w:val="14"/>
              </w:rPr>
              <w:t>L6 — EXTERNALLY_VALIDATED</w:t>
            </w:r>
          </w:p>
        </w:tc>
        <w:tc>
          <w:tcPr>
            <w:tcW w:type="dxa" w:w="3331"/>
            <w:tcMar>
              <w:top w:w="80" w:type="dxa"/>
              <w:start w:w="90" w:type="dxa"/>
              <w:bottom w:w="80" w:type="dxa"/>
              <w:end w:w="90" w:type="dxa"/>
            </w:tcMar>
            <w:vAlign w:val="top"/>
            <w:shd w:fill="F7F9FB"/>
          </w:tcPr>
          <w:p>
            <w:pPr>
              <w:spacing w:after="30"/>
            </w:pPr>
            <w:r>
              <w:rPr>
                <w:rFonts w:ascii="Aptos" w:hAnsi="Aptos"/>
                <w:color w:val="232D38"/>
                <w:sz w:val="14"/>
              </w:rPr>
              <w:t>Independent/counterparty assurance verifies a defined scope.</w:t>
            </w:r>
          </w:p>
        </w:tc>
        <w:tc>
          <w:tcPr>
            <w:tcW w:type="dxa" w:w="3331"/>
            <w:tcMar>
              <w:top w:w="80" w:type="dxa"/>
              <w:start w:w="90" w:type="dxa"/>
              <w:bottom w:w="80" w:type="dxa"/>
              <w:end w:w="90" w:type="dxa"/>
            </w:tcMar>
            <w:vAlign w:val="top"/>
            <w:shd w:fill="F7F9FB"/>
          </w:tcPr>
          <w:p>
            <w:pPr>
              <w:spacing w:after="30"/>
            </w:pPr>
            <w:r>
              <w:rPr>
                <w:rFonts w:ascii="Aptos" w:hAnsi="Aptos"/>
                <w:color w:val="232D38"/>
                <w:sz w:val="14"/>
              </w:rPr>
              <w:t>Name scope, method, date, exclusions and reviewer.</w:t>
            </w:r>
          </w:p>
        </w:tc>
      </w:tr>
      <w:tr>
        <w:trPr>
          <w:cantSplit/>
        </w:trPr>
        <w:tc>
          <w:tcPr>
            <w:tcW w:type="dxa" w:w="3331"/>
            <w:tcMar>
              <w:top w:w="80" w:type="dxa"/>
              <w:start w:w="90" w:type="dxa"/>
              <w:bottom w:w="80" w:type="dxa"/>
              <w:end w:w="90" w:type="dxa"/>
            </w:tcMar>
            <w:vAlign w:val="top"/>
          </w:tcPr>
          <w:p>
            <w:pPr>
              <w:spacing w:after="30"/>
            </w:pPr>
            <w:r>
              <w:rPr>
                <w:rFonts w:ascii="Aptos" w:hAnsi="Aptos"/>
                <w:color w:val="232D38"/>
                <w:sz w:val="14"/>
              </w:rPr>
              <w:t>L7 — LEGALLY/INSTITUTIONALLY_APPROVED</w:t>
            </w:r>
          </w:p>
        </w:tc>
        <w:tc>
          <w:tcPr>
            <w:tcW w:type="dxa" w:w="3331"/>
            <w:tcMar>
              <w:top w:w="80" w:type="dxa"/>
              <w:start w:w="90" w:type="dxa"/>
              <w:bottom w:w="80" w:type="dxa"/>
              <w:end w:w="90" w:type="dxa"/>
            </w:tcMar>
            <w:vAlign w:val="top"/>
          </w:tcPr>
          <w:p>
            <w:pPr>
              <w:spacing w:after="30"/>
            </w:pPr>
            <w:r>
              <w:rPr>
                <w:rFonts w:ascii="Aptos" w:hAnsi="Aptos"/>
                <w:color w:val="232D38"/>
                <w:sz w:val="14"/>
              </w:rPr>
              <w:t>Relevant counsel, regulator, bank, custodian or authority approved a specific activity.</w:t>
            </w:r>
          </w:p>
        </w:tc>
        <w:tc>
          <w:tcPr>
            <w:tcW w:type="dxa" w:w="3331"/>
            <w:tcMar>
              <w:top w:w="80" w:type="dxa"/>
              <w:start w:w="90" w:type="dxa"/>
              <w:bottom w:w="80" w:type="dxa"/>
              <w:end w:w="90" w:type="dxa"/>
            </w:tcMar>
            <w:vAlign w:val="top"/>
          </w:tcPr>
          <w:p>
            <w:pPr>
              <w:spacing w:after="30"/>
            </w:pPr>
            <w:r>
              <w:rPr>
                <w:rFonts w:ascii="Aptos" w:hAnsi="Aptos"/>
                <w:color w:val="232D38"/>
                <w:sz w:val="14"/>
              </w:rPr>
              <w:t>State instrument, institution, jurisdiction and scope.</w:t>
            </w:r>
          </w:p>
        </w:tc>
      </w:tr>
      <w:tr>
        <w:trPr>
          <w:cantSplit/>
        </w:trPr>
        <w:tc>
          <w:tcPr>
            <w:tcW w:type="dxa" w:w="3331"/>
            <w:tcMar>
              <w:top w:w="80" w:type="dxa"/>
              <w:start w:w="90" w:type="dxa"/>
              <w:bottom w:w="80" w:type="dxa"/>
              <w:end w:w="90" w:type="dxa"/>
            </w:tcMar>
            <w:vAlign w:val="top"/>
            <w:shd w:fill="F7F9FB"/>
          </w:tcPr>
          <w:p>
            <w:pPr>
              <w:spacing w:after="30"/>
            </w:pPr>
            <w:r>
              <w:rPr>
                <w:rFonts w:ascii="Aptos" w:hAnsi="Aptos"/>
                <w:color w:val="232D38"/>
                <w:sz w:val="14"/>
              </w:rPr>
              <w:t>L8 — PRODUCTION_AUTHORIZED</w:t>
            </w:r>
          </w:p>
        </w:tc>
        <w:tc>
          <w:tcPr>
            <w:tcW w:type="dxa" w:w="3331"/>
            <w:tcMar>
              <w:top w:w="80" w:type="dxa"/>
              <w:start w:w="90" w:type="dxa"/>
              <w:bottom w:w="80" w:type="dxa"/>
              <w:end w:w="90" w:type="dxa"/>
            </w:tcMar>
            <w:vAlign w:val="top"/>
            <w:shd w:fill="F7F9FB"/>
          </w:tcPr>
          <w:p>
            <w:pPr>
              <w:spacing w:after="30"/>
            </w:pPr>
            <w:r>
              <w:rPr>
                <w:rFonts w:ascii="Aptos" w:hAnsi="Aptos"/>
                <w:color w:val="232D38"/>
                <w:sz w:val="14"/>
              </w:rPr>
              <w:t>Applicable gates passed and authorized governance body recorded a release decision.</w:t>
            </w:r>
          </w:p>
        </w:tc>
        <w:tc>
          <w:tcPr>
            <w:tcW w:type="dxa" w:w="3331"/>
            <w:tcMar>
              <w:top w:w="80" w:type="dxa"/>
              <w:start w:w="90" w:type="dxa"/>
              <w:bottom w:w="80" w:type="dxa"/>
              <w:end w:w="90" w:type="dxa"/>
            </w:tcMar>
            <w:vAlign w:val="top"/>
            <w:shd w:fill="F7F9FB"/>
          </w:tcPr>
          <w:p>
            <w:pPr>
              <w:spacing w:after="30"/>
            </w:pPr>
            <w:r>
              <w:rPr>
                <w:rFonts w:ascii="Aptos" w:hAnsi="Aptos"/>
                <w:color w:val="232D38"/>
                <w:sz w:val="14"/>
              </w:rPr>
              <w:t>Only the approved live scope may be called production-authorized.</w:t>
            </w:r>
          </w:p>
        </w:tc>
      </w:tr>
    </w:tbl>
    <w:p>
      <w:pPr>
        <w:spacing w:after="0"/>
      </w:pPr>
    </w:p>
    <w:p>
      <w:r>
        <w:rPr>
          <w:i w:val="0"/>
        </w:rPr>
        <w:t>Maturity is tracked per capability, not as one global badge. The UI may be deployed while legal classification is UNKNOWN and production authorization remains FALSE.</w:t>
      </w:r>
    </w:p>
    <w:p>
      <w:pPr>
        <w:pStyle w:val="Heading2"/>
      </w:pPr>
      <w:r>
        <w:t>1.4 Normative authority hierarchy</w:t>
      </w:r>
    </w:p>
    <w:p>
      <w:r>
        <w:rPr>
          <w:i w:val="0"/>
        </w:rPr>
        <w:t>Keep normative design authority separate from empirical truth. This hierarchy is not permission to change law or rewrite the state of a deployed system.</w:t>
      </w:r>
    </w:p>
    <w:tbl>
      <w:tblPr>
        <w:tblStyle w:val="TableGrid"/>
        <w:tblW w:type="auto" w:w="0"/>
        <w:jc w:val="center"/>
        <w:tblLook w:firstColumn="1" w:firstRow="1" w:lastColumn="0" w:lastRow="0" w:noHBand="0" w:noVBand="1" w:val="04A0"/>
      </w:tblPr>
      <w:tblGrid>
        <w:gridCol w:w="3331"/>
        <w:gridCol w:w="3331"/>
        <w:gridCol w:w="3331"/>
      </w:tblGrid>
      <w:tr>
        <w:trPr>
          <w:tblHeader w:val="true"/>
          <w:cantSplit/>
        </w:trPr>
        <w:tc>
          <w:tcPr>
            <w:tcW w:type="dxa" w:w="1944"/>
            <w:shd w:fill="07111F"/>
            <w:tcMar>
              <w:top w:w="80" w:type="dxa"/>
              <w:start w:w="90" w:type="dxa"/>
              <w:bottom w:w="80" w:type="dxa"/>
              <w:end w:w="90" w:type="dxa"/>
            </w:tcMar>
            <w:vAlign w:val="center"/>
          </w:tcPr>
          <w:p>
            <w:r>
              <w:rPr>
                <w:rFonts w:ascii="Aptos" w:hAnsi="Aptos"/>
                <w:b/>
                <w:color w:val="FFFFFF"/>
                <w:sz w:val="14"/>
              </w:rPr>
              <w:t>Priority/domain</w:t>
            </w:r>
          </w:p>
        </w:tc>
        <w:tc>
          <w:tcPr>
            <w:tcW w:type="dxa" w:w="4320"/>
            <w:shd w:fill="07111F"/>
            <w:tcMar>
              <w:top w:w="80" w:type="dxa"/>
              <w:start w:w="90" w:type="dxa"/>
              <w:bottom w:w="80" w:type="dxa"/>
              <w:end w:w="90" w:type="dxa"/>
            </w:tcMar>
            <w:vAlign w:val="center"/>
          </w:tcPr>
          <w:p>
            <w:r>
              <w:rPr>
                <w:rFonts w:ascii="Aptos" w:hAnsi="Aptos"/>
                <w:b/>
                <w:color w:val="FFFFFF"/>
                <w:sz w:val="14"/>
              </w:rPr>
              <w:t>Authority</w:t>
            </w:r>
          </w:p>
        </w:tc>
        <w:tc>
          <w:tcPr>
            <w:tcW w:type="dxa" w:w="3672"/>
            <w:shd w:fill="07111F"/>
            <w:tcMar>
              <w:top w:w="80" w:type="dxa"/>
              <w:start w:w="90" w:type="dxa"/>
              <w:bottom w:w="80" w:type="dxa"/>
              <w:end w:w="90" w:type="dxa"/>
            </w:tcMar>
            <w:vAlign w:val="center"/>
          </w:tcPr>
          <w:p>
            <w:r>
              <w:rPr>
                <w:rFonts w:ascii="Aptos" w:hAnsi="Aptos"/>
                <w:b/>
                <w:color w:val="FFFFFF"/>
                <w:sz w:val="14"/>
              </w:rPr>
              <w:t>Conflict treatment</w:t>
            </w:r>
          </w:p>
        </w:tc>
      </w:tr>
      <w:tr>
        <w:trPr>
          <w:cantSplit/>
        </w:trPr>
        <w:tc>
          <w:tcPr>
            <w:tcW w:type="dxa" w:w="3331"/>
            <w:tcMar>
              <w:top w:w="80" w:type="dxa"/>
              <w:start w:w="90" w:type="dxa"/>
              <w:bottom w:w="80" w:type="dxa"/>
              <w:end w:w="90" w:type="dxa"/>
            </w:tcMar>
            <w:vAlign w:val="top"/>
            <w:shd w:fill="F7F9FB"/>
          </w:tcPr>
          <w:p>
            <w:pPr>
              <w:spacing w:after="30"/>
            </w:pPr>
            <w:r>
              <w:rPr>
                <w:rFonts w:ascii="Aptos" w:hAnsi="Aptos"/>
                <w:color w:val="232D38"/>
                <w:sz w:val="14"/>
              </w:rPr>
              <w:t>A — Legal/contract facts</w:t>
            </w:r>
          </w:p>
        </w:tc>
        <w:tc>
          <w:tcPr>
            <w:tcW w:type="dxa" w:w="3331"/>
            <w:tcMar>
              <w:top w:w="80" w:type="dxa"/>
              <w:start w:w="90" w:type="dxa"/>
              <w:bottom w:w="80" w:type="dxa"/>
              <w:end w:w="90" w:type="dxa"/>
            </w:tcMar>
            <w:vAlign w:val="top"/>
            <w:shd w:fill="F7F9FB"/>
          </w:tcPr>
          <w:p>
            <w:pPr>
              <w:spacing w:after="30"/>
            </w:pPr>
            <w:r>
              <w:rPr>
                <w:rFonts w:ascii="Aptos" w:hAnsi="Aptos"/>
                <w:color w:val="232D38"/>
                <w:sz w:val="14"/>
              </w:rPr>
              <w:t>Applicable law and current executed instruments verified for authenticity, authority, jurisdiction and effective date; qualified counsel opinion for scope.</w:t>
            </w:r>
          </w:p>
        </w:tc>
        <w:tc>
          <w:tcPr>
            <w:tcW w:type="dxa" w:w="3331"/>
            <w:tcMar>
              <w:top w:w="80" w:type="dxa"/>
              <w:start w:w="90" w:type="dxa"/>
              <w:bottom w:w="80" w:type="dxa"/>
              <w:end w:w="90" w:type="dxa"/>
            </w:tcMar>
            <w:vAlign w:val="top"/>
            <w:shd w:fill="F7F9FB"/>
          </w:tcPr>
          <w:p>
            <w:pPr>
              <w:spacing w:after="30"/>
            </w:pPr>
            <w:r>
              <w:rPr>
                <w:rFonts w:ascii="Aptos" w:hAnsi="Aptos"/>
                <w:color w:val="232D38"/>
                <w:sz w:val="14"/>
              </w:rPr>
              <w:t>Do not alter legal meaning in code/blueprint. Block affected activity and seek counsel/ratification for conflict.</w:t>
            </w:r>
          </w:p>
        </w:tc>
      </w:tr>
      <w:tr>
        <w:trPr>
          <w:cantSplit/>
        </w:trPr>
        <w:tc>
          <w:tcPr>
            <w:tcW w:type="dxa" w:w="3331"/>
            <w:tcMar>
              <w:top w:w="80" w:type="dxa"/>
              <w:start w:w="90" w:type="dxa"/>
              <w:bottom w:w="80" w:type="dxa"/>
              <w:end w:w="90" w:type="dxa"/>
            </w:tcMar>
            <w:vAlign w:val="top"/>
          </w:tcPr>
          <w:p>
            <w:pPr>
              <w:spacing w:after="30"/>
            </w:pPr>
            <w:r>
              <w:rPr>
                <w:rFonts w:ascii="Aptos" w:hAnsi="Aptos"/>
                <w:color w:val="232D38"/>
                <w:sz w:val="14"/>
              </w:rPr>
              <w:t>B — Deployed/runtime facts</w:t>
            </w:r>
          </w:p>
        </w:tc>
        <w:tc>
          <w:tcPr>
            <w:tcW w:type="dxa" w:w="3331"/>
            <w:tcMar>
              <w:top w:w="80" w:type="dxa"/>
              <w:start w:w="90" w:type="dxa"/>
              <w:bottom w:w="80" w:type="dxa"/>
              <w:end w:w="90" w:type="dxa"/>
            </w:tcMar>
            <w:vAlign w:val="top"/>
          </w:tcPr>
          <w:p>
            <w:pPr>
              <w:spacing w:after="30"/>
            </w:pPr>
            <w:r>
              <w:rPr>
                <w:rFonts w:ascii="Aptos" w:hAnsi="Aptos"/>
                <w:color w:val="232D38"/>
                <w:sz w:val="14"/>
              </w:rPr>
              <w:t>Authorized observations from provider-native systems, immutable deployment identity, telemetry, database/runtime evidence and signed release manifest.</w:t>
            </w:r>
          </w:p>
        </w:tc>
        <w:tc>
          <w:tcPr>
            <w:tcW w:type="dxa" w:w="3331"/>
            <w:tcMar>
              <w:top w:w="80" w:type="dxa"/>
              <w:start w:w="90" w:type="dxa"/>
              <w:bottom w:w="80" w:type="dxa"/>
              <w:end w:w="90" w:type="dxa"/>
            </w:tcMar>
            <w:vAlign w:val="top"/>
          </w:tcPr>
          <w:p>
            <w:pPr>
              <w:spacing w:after="30"/>
            </w:pPr>
            <w:r>
              <w:rPr>
                <w:rFonts w:ascii="Aptos" w:hAnsi="Aptos"/>
                <w:color w:val="232D38"/>
                <w:sz w:val="14"/>
              </w:rPr>
              <w:t>Describes what is running; does not make the design correct or legally authorized.</w:t>
            </w:r>
          </w:p>
        </w:tc>
      </w:tr>
      <w:tr>
        <w:trPr>
          <w:cantSplit/>
        </w:trPr>
        <w:tc>
          <w:tcPr>
            <w:tcW w:type="dxa" w:w="3331"/>
            <w:tcMar>
              <w:top w:w="80" w:type="dxa"/>
              <w:start w:w="90" w:type="dxa"/>
              <w:bottom w:w="80" w:type="dxa"/>
              <w:end w:w="90" w:type="dxa"/>
            </w:tcMar>
            <w:vAlign w:val="top"/>
            <w:shd w:fill="F7F9FB"/>
          </w:tcPr>
          <w:p>
            <w:pPr>
              <w:spacing w:after="30"/>
            </w:pPr>
            <w:r>
              <w:rPr>
                <w:rFonts w:ascii="Aptos" w:hAnsi="Aptos"/>
                <w:color w:val="232D38"/>
                <w:sz w:val="14"/>
              </w:rPr>
              <w:t>C — Normative product design</w:t>
            </w:r>
          </w:p>
        </w:tc>
        <w:tc>
          <w:tcPr>
            <w:tcW w:type="dxa" w:w="3331"/>
            <w:tcMar>
              <w:top w:w="80" w:type="dxa"/>
              <w:start w:w="90" w:type="dxa"/>
              <w:bottom w:w="80" w:type="dxa"/>
              <w:end w:w="90" w:type="dxa"/>
            </w:tcMar>
            <w:vAlign w:val="top"/>
            <w:shd w:fill="F7F9FB"/>
          </w:tcPr>
          <w:p>
            <w:pPr>
              <w:spacing w:after="30"/>
            </w:pPr>
            <w:r>
              <w:rPr>
                <w:rFonts w:ascii="Aptos" w:hAnsi="Aptos"/>
                <w:color w:val="232D38"/>
                <w:sz w:val="14"/>
              </w:rPr>
              <w:t>This blueprint after the owner adopts a specific version/hash.</w:t>
            </w:r>
          </w:p>
        </w:tc>
        <w:tc>
          <w:tcPr>
            <w:tcW w:type="dxa" w:w="3331"/>
            <w:tcMar>
              <w:top w:w="80" w:type="dxa"/>
              <w:start w:w="90" w:type="dxa"/>
              <w:bottom w:w="80" w:type="dxa"/>
              <w:end w:w="90" w:type="dxa"/>
            </w:tcMar>
            <w:vAlign w:val="top"/>
            <w:shd w:fill="F7F9FB"/>
          </w:tcPr>
          <w:p>
            <w:pPr>
              <w:spacing w:after="30"/>
            </w:pPr>
            <w:r>
              <w:rPr>
                <w:rFonts w:ascii="Aptos" w:hAnsi="Aptos"/>
                <w:color w:val="232D38"/>
                <w:sz w:val="14"/>
              </w:rPr>
              <w:t>Controls desired development except where A applies or B shows drift. Drift is recorded; code never silently overrides design.</w:t>
            </w:r>
          </w:p>
        </w:tc>
      </w:tr>
      <w:tr>
        <w:trPr>
          <w:cantSplit/>
        </w:trPr>
        <w:tc>
          <w:tcPr>
            <w:tcW w:type="dxa" w:w="3331"/>
            <w:tcMar>
              <w:top w:w="80" w:type="dxa"/>
              <w:start w:w="90" w:type="dxa"/>
              <w:bottom w:w="80" w:type="dxa"/>
              <w:end w:w="90" w:type="dxa"/>
            </w:tcMar>
            <w:vAlign w:val="top"/>
          </w:tcPr>
          <w:p>
            <w:pPr>
              <w:spacing w:after="30"/>
            </w:pPr>
            <w:r>
              <w:rPr>
                <w:rFonts w:ascii="Aptos" w:hAnsi="Aptos"/>
                <w:color w:val="232D38"/>
                <w:sz w:val="14"/>
              </w:rPr>
              <w:t>D — Machine-readable policies</w:t>
            </w:r>
          </w:p>
        </w:tc>
        <w:tc>
          <w:tcPr>
            <w:tcW w:type="dxa" w:w="3331"/>
            <w:tcMar>
              <w:top w:w="80" w:type="dxa"/>
              <w:start w:w="90" w:type="dxa"/>
              <w:bottom w:w="80" w:type="dxa"/>
              <w:end w:w="90" w:type="dxa"/>
            </w:tcMar>
            <w:vAlign w:val="top"/>
          </w:tcPr>
          <w:p>
            <w:pPr>
              <w:spacing w:after="30"/>
            </w:pPr>
            <w:r>
              <w:rPr>
                <w:rFonts w:ascii="Aptos" w:hAnsi="Aptos"/>
                <w:color w:val="232D38"/>
                <w:sz w:val="14"/>
              </w:rPr>
              <w:t>Versioned schemas/policies derived from blueprint and tied to its version/hash/approval.</w:t>
            </w:r>
          </w:p>
        </w:tc>
        <w:tc>
          <w:tcPr>
            <w:tcW w:type="dxa" w:w="3331"/>
            <w:tcMar>
              <w:top w:w="80" w:type="dxa"/>
              <w:start w:w="90" w:type="dxa"/>
              <w:bottom w:w="80" w:type="dxa"/>
              <w:end w:w="90" w:type="dxa"/>
            </w:tcMar>
            <w:vAlign w:val="top"/>
          </w:tcPr>
          <w:p>
            <w:pPr>
              <w:spacing w:after="30"/>
            </w:pPr>
            <w:r>
              <w:rPr>
                <w:rFonts w:ascii="Aptos" w:hAnsi="Aptos"/>
                <w:color w:val="232D38"/>
                <w:sz w:val="14"/>
              </w:rPr>
              <w:t>Must conform to C. Generated files are not a competing authority. Unapproved policies cannot go live.</w:t>
            </w:r>
          </w:p>
        </w:tc>
      </w:tr>
      <w:tr>
        <w:trPr>
          <w:cantSplit/>
        </w:trPr>
        <w:tc>
          <w:tcPr>
            <w:tcW w:type="dxa" w:w="3331"/>
            <w:tcMar>
              <w:top w:w="80" w:type="dxa"/>
              <w:start w:w="90" w:type="dxa"/>
              <w:bottom w:w="80" w:type="dxa"/>
              <w:end w:w="90" w:type="dxa"/>
            </w:tcMar>
            <w:vAlign w:val="top"/>
            <w:shd w:fill="F7F9FB"/>
          </w:tcPr>
          <w:p>
            <w:pPr>
              <w:spacing w:after="30"/>
            </w:pPr>
            <w:r>
              <w:rPr>
                <w:rFonts w:ascii="Aptos" w:hAnsi="Aptos"/>
                <w:color w:val="232D38"/>
                <w:sz w:val="14"/>
              </w:rPr>
              <w:t>E — Approved release code</w:t>
            </w:r>
          </w:p>
        </w:tc>
        <w:tc>
          <w:tcPr>
            <w:tcW w:type="dxa" w:w="3331"/>
            <w:tcMar>
              <w:top w:w="80" w:type="dxa"/>
              <w:start w:w="90" w:type="dxa"/>
              <w:bottom w:w="80" w:type="dxa"/>
              <w:end w:w="90" w:type="dxa"/>
            </w:tcMar>
            <w:vAlign w:val="top"/>
            <w:shd w:fill="F7F9FB"/>
          </w:tcPr>
          <w:p>
            <w:pPr>
              <w:spacing w:after="30"/>
            </w:pPr>
            <w:r>
              <w:rPr>
                <w:rFonts w:ascii="Aptos" w:hAnsi="Aptos"/>
                <w:color w:val="232D38"/>
                <w:sz w:val="14"/>
              </w:rPr>
              <w:t>Source, migrations, configuration and build artifacts at immutable commit with tests/provenance.</w:t>
            </w:r>
          </w:p>
        </w:tc>
        <w:tc>
          <w:tcPr>
            <w:tcW w:type="dxa" w:w="3331"/>
            <w:tcMar>
              <w:top w:w="80" w:type="dxa"/>
              <w:start w:w="90" w:type="dxa"/>
              <w:bottom w:w="80" w:type="dxa"/>
              <w:end w:w="90" w:type="dxa"/>
            </w:tcMar>
            <w:vAlign w:val="top"/>
            <w:shd w:fill="F7F9FB"/>
          </w:tcPr>
          <w:p>
            <w:pPr>
              <w:spacing w:after="30"/>
            </w:pPr>
            <w:r>
              <w:rPr>
                <w:rFonts w:ascii="Aptos" w:hAnsi="Aptos"/>
                <w:color w:val="232D38"/>
                <w:sz w:val="14"/>
              </w:rPr>
              <w:t>Shows implementation, not authority. If behavior differs, record deviation and stop affected flow.</w:t>
            </w:r>
          </w:p>
        </w:tc>
      </w:tr>
      <w:tr>
        <w:trPr>
          <w:cantSplit/>
        </w:trPr>
        <w:tc>
          <w:tcPr>
            <w:tcW w:type="dxa" w:w="3331"/>
            <w:tcMar>
              <w:top w:w="80" w:type="dxa"/>
              <w:start w:w="90" w:type="dxa"/>
              <w:bottom w:w="80" w:type="dxa"/>
              <w:end w:w="90" w:type="dxa"/>
            </w:tcMar>
            <w:vAlign w:val="top"/>
          </w:tcPr>
          <w:p>
            <w:pPr>
              <w:spacing w:after="30"/>
            </w:pPr>
            <w:r>
              <w:rPr>
                <w:rFonts w:ascii="Aptos" w:hAnsi="Aptos"/>
                <w:color w:val="232D38"/>
                <w:sz w:val="14"/>
              </w:rPr>
              <w:t>F — Historical material</w:t>
            </w:r>
          </w:p>
        </w:tc>
        <w:tc>
          <w:tcPr>
            <w:tcW w:type="dxa" w:w="3331"/>
            <w:tcMar>
              <w:top w:w="80" w:type="dxa"/>
              <w:start w:w="90" w:type="dxa"/>
              <w:bottom w:w="80" w:type="dxa"/>
              <w:end w:w="90" w:type="dxa"/>
            </w:tcMar>
            <w:vAlign w:val="top"/>
          </w:tcPr>
          <w:p>
            <w:pPr>
              <w:spacing w:after="30"/>
            </w:pPr>
            <w:r>
              <w:rPr>
                <w:rFonts w:ascii="Aptos" w:hAnsi="Aptos"/>
                <w:color w:val="232D38"/>
                <w:sz w:val="14"/>
              </w:rPr>
              <w:t>Older blueprints, prompts, comments, diagrams, simulation examples and generated summaries.</w:t>
            </w:r>
          </w:p>
        </w:tc>
        <w:tc>
          <w:tcPr>
            <w:tcW w:type="dxa" w:w="3331"/>
            <w:tcMar>
              <w:top w:w="80" w:type="dxa"/>
              <w:start w:w="90" w:type="dxa"/>
              <w:bottom w:w="80" w:type="dxa"/>
              <w:end w:w="90" w:type="dxa"/>
            </w:tcMar>
            <w:vAlign w:val="top"/>
          </w:tcPr>
          <w:p>
            <w:pPr>
              <w:spacing w:after="30"/>
            </w:pPr>
            <w:r>
              <w:rPr>
                <w:rFonts w:ascii="Aptos" w:hAnsi="Aptos"/>
                <w:color w:val="232D38"/>
                <w:sz w:val="14"/>
              </w:rPr>
              <w:t>Reference only; must not activate policy just because it appears in an older/newer file.</w:t>
            </w:r>
          </w:p>
        </w:tc>
      </w:tr>
    </w:tbl>
    <w:p>
      <w:pPr>
        <w:spacing w:after="0"/>
      </w:pPr>
    </w:p>
    <w:p>
      <w:pPr>
        <w:keepLines/>
        <w:spacing w:before="100" w:after="120"/>
        <w:ind w:left="144" w:right="144"/>
        <w:shd w:fill="F7EDEB"/>
        <w:ind w:left="120" w:right="120"/>
        <w:pBdr>
          <w:top w:val="single" w:sz="5" w:space="5" w:color="CCD5DF"/>
          <w:left w:val="single" w:sz="5" w:space="5" w:color="CCD5DF"/>
          <w:bottom w:val="single" w:sz="5" w:space="5" w:color="CCD5DF"/>
          <w:right w:val="single" w:sz="5" w:space="5" w:color="CCD5DF"/>
        </w:pBdr>
      </w:pPr>
      <w:r>
        <w:rPr>
          <w:b/>
          <w:color w:val="07111F"/>
          <w:sz w:val="20"/>
        </w:rPr>
        <w:t>OWNER ADOPTION REQUIRED</w:t>
        <w:br/>
      </w:r>
      <w:r>
        <w:rPr>
          <w:color w:val="334155"/>
          <w:sz w:val="18"/>
        </w:rPr>
        <w:t>The owner or delegate must approve this blueprint version and record its hash in the repository/release registry. Until that is recorded, treat it as the proposed canonical baseline and report conflicts rather than silently assuming adoption occurred.</w:t>
      </w:r>
    </w:p>
    <w:p>
      <w:pPr>
        <w:pStyle w:val="Heading2"/>
      </w:pPr>
      <w:r>
        <w:t>1.5 Contradiction-management process</w:t>
      </w:r>
    </w:p>
    <w:p>
      <w:pPr>
        <w:spacing w:after="50"/>
        <w:ind w:left="403" w:hanging="403"/>
      </w:pPr>
      <w:r>
        <w:t>1. Detect conflict; assign ID; retain both source locations; record severity, scope and affected action.</w:t>
      </w:r>
    </w:p>
    <w:p>
      <w:pPr>
        <w:spacing w:after="50"/>
        <w:ind w:left="403" w:hanging="403"/>
      </w:pPr>
      <w:r>
        <w:t>2. Classify as legal contradiction, policy contradiction, implementation drift, data inconsistency, documentation drift or evidence gap.</w:t>
      </w:r>
    </w:p>
    <w:p>
      <w:pPr>
        <w:spacing w:after="50"/>
        <w:ind w:left="403" w:hanging="403"/>
      </w:pPr>
      <w:r>
        <w:t>3. Block or safe-halt affected execution when identity, authorization, backing, sanctions, finality, material reconciliation or data integrity is affected.</w:t>
      </w:r>
    </w:p>
    <w:p>
      <w:pPr>
        <w:spacing w:after="50"/>
        <w:ind w:left="403" w:hanging="403"/>
      </w:pPr>
      <w:r>
        <w:t>4. Propose minimal change and assess impacts across code, schemas, workflows, docs, tests, contracts, costs and migration.</w:t>
      </w:r>
    </w:p>
    <w:p>
      <w:pPr>
        <w:spacing w:after="50"/>
        <w:ind w:left="403" w:hanging="403"/>
      </w:pPr>
      <w:r>
        <w:t>5. Obtain approval from the authorized human role. The AI developer cannot approve its own legal/risk/production exceptions.</w:t>
      </w:r>
    </w:p>
    <w:p>
      <w:pPr>
        <w:spacing w:after="50"/>
        <w:ind w:left="403" w:hanging="403"/>
      </w:pPr>
      <w:r>
        <w:t>6. Implement, run tests, create before/after diff and evidence manifest, define rollback, and publish new version/hash.</w:t>
      </w:r>
    </w:p>
    <w:p>
      <w:pPr>
        <w:pStyle w:val="Heading2"/>
      </w:pPr>
      <w:r>
        <w:t>1.6 Canonical truth/status vocabularies</w:t>
      </w:r>
    </w:p>
    <w:tbl>
      <w:tblPr>
        <w:tblStyle w:val="TableGrid"/>
        <w:tblW w:type="auto" w:w="0"/>
        <w:jc w:val="center"/>
        <w:tblLook w:firstColumn="1" w:firstRow="1" w:lastColumn="0" w:lastRow="0" w:noHBand="0" w:noVBand="1" w:val="04A0"/>
      </w:tblPr>
      <w:tblGrid>
        <w:gridCol w:w="3331"/>
        <w:gridCol w:w="3331"/>
        <w:gridCol w:w="3331"/>
      </w:tblGrid>
      <w:tr>
        <w:trPr>
          <w:tblHeader w:val="true"/>
          <w:cantSplit/>
        </w:trPr>
        <w:tc>
          <w:tcPr>
            <w:tcW w:type="dxa" w:w="2016"/>
            <w:shd w:fill="07111F"/>
            <w:tcMar>
              <w:top w:w="80" w:type="dxa"/>
              <w:start w:w="90" w:type="dxa"/>
              <w:bottom w:w="80" w:type="dxa"/>
              <w:end w:w="90" w:type="dxa"/>
            </w:tcMar>
            <w:vAlign w:val="center"/>
          </w:tcPr>
          <w:p>
            <w:r>
              <w:rPr>
                <w:rFonts w:ascii="Aptos" w:hAnsi="Aptos"/>
                <w:b/>
                <w:color w:val="FFFFFF"/>
                <w:sz w:val="14"/>
              </w:rPr>
              <w:t>Status family</w:t>
            </w:r>
          </w:p>
        </w:tc>
        <w:tc>
          <w:tcPr>
            <w:tcW w:type="dxa" w:w="4608"/>
            <w:shd w:fill="07111F"/>
            <w:tcMar>
              <w:top w:w="80" w:type="dxa"/>
              <w:start w:w="90" w:type="dxa"/>
              <w:bottom w:w="80" w:type="dxa"/>
              <w:end w:w="90" w:type="dxa"/>
            </w:tcMar>
            <w:vAlign w:val="center"/>
          </w:tcPr>
          <w:p>
            <w:r>
              <w:rPr>
                <w:rFonts w:ascii="Aptos" w:hAnsi="Aptos"/>
                <w:b/>
                <w:color w:val="FFFFFF"/>
                <w:sz w:val="14"/>
              </w:rPr>
              <w:t>Values</w:t>
            </w:r>
          </w:p>
        </w:tc>
        <w:tc>
          <w:tcPr>
            <w:tcW w:type="dxa" w:w="3312"/>
            <w:shd w:fill="07111F"/>
            <w:tcMar>
              <w:top w:w="80" w:type="dxa"/>
              <w:start w:w="90" w:type="dxa"/>
              <w:bottom w:w="80" w:type="dxa"/>
              <w:end w:w="90" w:type="dxa"/>
            </w:tcMar>
            <w:vAlign w:val="center"/>
          </w:tcPr>
          <w:p>
            <w:r>
              <w:rPr>
                <w:rFonts w:ascii="Aptos" w:hAnsi="Aptos"/>
                <w:b/>
                <w:color w:val="FFFFFF"/>
                <w:sz w:val="14"/>
              </w:rPr>
              <w:t>Meaning</w:t>
            </w:r>
          </w:p>
        </w:tc>
      </w:tr>
      <w:tr>
        <w:trPr>
          <w:cantSplit/>
        </w:trPr>
        <w:tc>
          <w:tcPr>
            <w:tcW w:type="dxa" w:w="3331"/>
            <w:tcMar>
              <w:top w:w="80" w:type="dxa"/>
              <w:start w:w="90" w:type="dxa"/>
              <w:bottom w:w="80" w:type="dxa"/>
              <w:end w:w="90" w:type="dxa"/>
            </w:tcMar>
            <w:vAlign w:val="top"/>
            <w:shd w:fill="F7F9FB"/>
          </w:tcPr>
          <w:p>
            <w:pPr>
              <w:spacing w:after="30"/>
            </w:pPr>
            <w:r>
              <w:rPr>
                <w:rFonts w:ascii="Aptos" w:hAnsi="Aptos"/>
                <w:color w:val="232D38"/>
                <w:sz w:val="14"/>
              </w:rPr>
              <w:t>Evidence provenance</w:t>
            </w:r>
          </w:p>
        </w:tc>
        <w:tc>
          <w:tcPr>
            <w:tcW w:type="dxa" w:w="3331"/>
            <w:tcMar>
              <w:top w:w="80" w:type="dxa"/>
              <w:start w:w="90" w:type="dxa"/>
              <w:bottom w:w="80" w:type="dxa"/>
              <w:end w:w="90" w:type="dxa"/>
            </w:tcMar>
            <w:vAlign w:val="top"/>
            <w:shd w:fill="F7F9FB"/>
          </w:tcPr>
          <w:p>
            <w:pPr>
              <w:spacing w:after="30"/>
            </w:pPr>
            <w:r>
              <w:rPr>
                <w:rFonts w:ascii="Aptos" w:hAnsi="Aptos"/>
                <w:color w:val="232D38"/>
                <w:sz w:val="14"/>
              </w:rPr>
              <w:t>VERIFIED_PRIMARY_DOCUMENT; EXECUTED_EXTERNAL_DOCUMENT; INTERNAL_DESIGN; PENDING_PRIMARY_DOCUMENT; PENDING_LEGAL_REVIEW; UNKNOWN</w:t>
            </w:r>
          </w:p>
        </w:tc>
        <w:tc>
          <w:tcPr>
            <w:tcW w:type="dxa" w:w="3331"/>
            <w:tcMar>
              <w:top w:w="80" w:type="dxa"/>
              <w:start w:w="90" w:type="dxa"/>
              <w:bottom w:w="80" w:type="dxa"/>
              <w:end w:w="90" w:type="dxa"/>
            </w:tcMar>
            <w:vAlign w:val="top"/>
            <w:shd w:fill="F7F9FB"/>
          </w:tcPr>
          <w:p>
            <w:pPr>
              <w:spacing w:after="30"/>
            </w:pPr>
            <w:r>
              <w:rPr>
                <w:rFonts w:ascii="Aptos" w:hAnsi="Aptos"/>
                <w:color w:val="232D38"/>
                <w:sz w:val="14"/>
              </w:rPr>
              <w:t>Primary facts are distinct from design.</w:t>
            </w:r>
          </w:p>
        </w:tc>
      </w:tr>
      <w:tr>
        <w:trPr>
          <w:cantSplit/>
        </w:trPr>
        <w:tc>
          <w:tcPr>
            <w:tcW w:type="dxa" w:w="3331"/>
            <w:tcMar>
              <w:top w:w="80" w:type="dxa"/>
              <w:start w:w="90" w:type="dxa"/>
              <w:bottom w:w="80" w:type="dxa"/>
              <w:end w:w="90" w:type="dxa"/>
            </w:tcMar>
            <w:vAlign w:val="top"/>
          </w:tcPr>
          <w:p>
            <w:pPr>
              <w:spacing w:after="30"/>
            </w:pPr>
            <w:r>
              <w:rPr>
                <w:rFonts w:ascii="Aptos" w:hAnsi="Aptos"/>
                <w:color w:val="232D38"/>
                <w:sz w:val="14"/>
              </w:rPr>
              <w:t>Execution state</w:t>
            </w:r>
          </w:p>
        </w:tc>
        <w:tc>
          <w:tcPr>
            <w:tcW w:type="dxa" w:w="3331"/>
            <w:tcMar>
              <w:top w:w="80" w:type="dxa"/>
              <w:start w:w="90" w:type="dxa"/>
              <w:bottom w:w="80" w:type="dxa"/>
              <w:end w:w="90" w:type="dxa"/>
            </w:tcMar>
            <w:vAlign w:val="top"/>
          </w:tcPr>
          <w:p>
            <w:pPr>
              <w:spacing w:after="30"/>
            </w:pPr>
            <w:r>
              <w:rPr>
                <w:rFonts w:ascii="Aptos" w:hAnsi="Aptos"/>
                <w:color w:val="232D38"/>
                <w:sz w:val="14"/>
              </w:rPr>
              <w:t>NOT_STARTED; BLOCKED; IN_PROGRESS; IMPLEMENTED; TESTED; SIMULATED; OBSERVED; FAILED; EXPIRED</w:t>
            </w:r>
          </w:p>
        </w:tc>
        <w:tc>
          <w:tcPr>
            <w:tcW w:type="dxa" w:w="3331"/>
            <w:tcMar>
              <w:top w:w="80" w:type="dxa"/>
              <w:start w:w="90" w:type="dxa"/>
              <w:bottom w:w="80" w:type="dxa"/>
              <w:end w:w="90" w:type="dxa"/>
            </w:tcMar>
            <w:vAlign w:val="top"/>
          </w:tcPr>
          <w:p>
            <w:pPr>
              <w:spacing w:after="30"/>
            </w:pPr>
            <w:r>
              <w:rPr>
                <w:rFonts w:ascii="Aptos" w:hAnsi="Aptos"/>
                <w:color w:val="232D38"/>
                <w:sz w:val="14"/>
              </w:rPr>
              <w:t>Always include time, scope and evidence links.</w:t>
            </w:r>
          </w:p>
        </w:tc>
      </w:tr>
      <w:tr>
        <w:trPr>
          <w:cantSplit/>
        </w:trPr>
        <w:tc>
          <w:tcPr>
            <w:tcW w:type="dxa" w:w="3331"/>
            <w:tcMar>
              <w:top w:w="80" w:type="dxa"/>
              <w:start w:w="90" w:type="dxa"/>
              <w:bottom w:w="80" w:type="dxa"/>
              <w:end w:w="90" w:type="dxa"/>
            </w:tcMar>
            <w:vAlign w:val="top"/>
            <w:shd w:fill="F7F9FB"/>
          </w:tcPr>
          <w:p>
            <w:pPr>
              <w:spacing w:after="30"/>
            </w:pPr>
            <w:r>
              <w:rPr>
                <w:rFonts w:ascii="Aptos" w:hAnsi="Aptos"/>
                <w:color w:val="232D38"/>
                <w:sz w:val="14"/>
              </w:rPr>
              <w:t>Provider integration</w:t>
            </w:r>
          </w:p>
        </w:tc>
        <w:tc>
          <w:tcPr>
            <w:tcW w:type="dxa" w:w="3331"/>
            <w:tcMar>
              <w:top w:w="80" w:type="dxa"/>
              <w:start w:w="90" w:type="dxa"/>
              <w:bottom w:w="80" w:type="dxa"/>
              <w:end w:w="90" w:type="dxa"/>
            </w:tcMar>
            <w:vAlign w:val="top"/>
            <w:shd w:fill="F7F9FB"/>
          </w:tcPr>
          <w:p>
            <w:pPr>
              <w:spacing w:after="30"/>
            </w:pPr>
            <w:r>
              <w:rPr>
                <w:rFonts w:ascii="Aptos" w:hAnsi="Aptos"/>
                <w:color w:val="232D38"/>
                <w:sz w:val="14"/>
              </w:rPr>
              <w:t>VERIFIED; UNVERIFIABLE; BLOCKED; FAILED; DEGRADED</w:t>
            </w:r>
          </w:p>
        </w:tc>
        <w:tc>
          <w:tcPr>
            <w:tcW w:type="dxa" w:w="3331"/>
            <w:tcMar>
              <w:top w:w="80" w:type="dxa"/>
              <w:start w:w="90" w:type="dxa"/>
              <w:bottom w:w="80" w:type="dxa"/>
              <w:end w:w="90" w:type="dxa"/>
            </w:tcMar>
            <w:vAlign w:val="top"/>
            <w:shd w:fill="F7F9FB"/>
          </w:tcPr>
          <w:p>
            <w:pPr>
              <w:spacing w:after="30"/>
            </w:pPr>
            <w:r>
              <w:rPr>
                <w:rFonts w:ascii="Aptos" w:hAnsi="Aptos"/>
                <w:color w:val="232D38"/>
                <w:sz w:val="14"/>
              </w:rPr>
              <w:t>Requires direct probes and an end-to-end path.</w:t>
            </w:r>
          </w:p>
        </w:tc>
      </w:tr>
      <w:tr>
        <w:trPr>
          <w:cantSplit/>
        </w:trPr>
        <w:tc>
          <w:tcPr>
            <w:tcW w:type="dxa" w:w="3331"/>
            <w:tcMar>
              <w:top w:w="80" w:type="dxa"/>
              <w:start w:w="90" w:type="dxa"/>
              <w:bottom w:w="80" w:type="dxa"/>
              <w:end w:w="90" w:type="dxa"/>
            </w:tcMar>
            <w:vAlign w:val="top"/>
          </w:tcPr>
          <w:p>
            <w:pPr>
              <w:spacing w:after="30"/>
            </w:pPr>
            <w:r>
              <w:rPr>
                <w:rFonts w:ascii="Aptos" w:hAnsi="Aptos"/>
                <w:color w:val="232D38"/>
                <w:sz w:val="14"/>
              </w:rPr>
              <w:t>Gate decision</w:t>
            </w:r>
          </w:p>
        </w:tc>
        <w:tc>
          <w:tcPr>
            <w:tcW w:type="dxa" w:w="3331"/>
            <w:tcMar>
              <w:top w:w="80" w:type="dxa"/>
              <w:start w:w="90" w:type="dxa"/>
              <w:bottom w:w="80" w:type="dxa"/>
              <w:end w:w="90" w:type="dxa"/>
            </w:tcMar>
            <w:vAlign w:val="top"/>
          </w:tcPr>
          <w:p>
            <w:pPr>
              <w:spacing w:after="30"/>
            </w:pPr>
            <w:r>
              <w:rPr>
                <w:rFonts w:ascii="Aptos" w:hAnsi="Aptos"/>
                <w:color w:val="232D38"/>
                <w:sz w:val="14"/>
              </w:rPr>
              <w:t>PASS; CONDITIONAL_PASS; FAIL; NOT_EVALUATED</w:t>
            </w:r>
          </w:p>
        </w:tc>
        <w:tc>
          <w:tcPr>
            <w:tcW w:type="dxa" w:w="3331"/>
            <w:tcMar>
              <w:top w:w="80" w:type="dxa"/>
              <w:start w:w="90" w:type="dxa"/>
              <w:bottom w:w="80" w:type="dxa"/>
              <w:end w:w="90" w:type="dxa"/>
            </w:tcMar>
            <w:vAlign w:val="top"/>
          </w:tcPr>
          <w:p>
            <w:pPr>
              <w:spacing w:after="30"/>
            </w:pPr>
            <w:r>
              <w:rPr>
                <w:rFonts w:ascii="Aptos" w:hAnsi="Aptos"/>
                <w:color w:val="232D38"/>
                <w:sz w:val="14"/>
              </w:rPr>
              <w:t>Conditional pass has scope, conditions, expiration, owner and approval; not a blanket pass.</w:t>
            </w:r>
          </w:p>
        </w:tc>
      </w:tr>
      <w:tr>
        <w:trPr>
          <w:cantSplit/>
        </w:trPr>
        <w:tc>
          <w:tcPr>
            <w:tcW w:type="dxa" w:w="3331"/>
            <w:tcMar>
              <w:top w:w="80" w:type="dxa"/>
              <w:start w:w="90" w:type="dxa"/>
              <w:bottom w:w="80" w:type="dxa"/>
              <w:end w:w="90" w:type="dxa"/>
            </w:tcMar>
            <w:vAlign w:val="top"/>
            <w:shd w:fill="F7F9FB"/>
          </w:tcPr>
          <w:p>
            <w:pPr>
              <w:spacing w:after="30"/>
            </w:pPr>
            <w:r>
              <w:rPr>
                <w:rFonts w:ascii="Aptos" w:hAnsi="Aptos"/>
                <w:color w:val="232D38"/>
                <w:sz w:val="14"/>
              </w:rPr>
              <w:t>Jurisdiction state</w:t>
            </w:r>
          </w:p>
        </w:tc>
        <w:tc>
          <w:tcPr>
            <w:tcW w:type="dxa" w:w="3331"/>
            <w:tcMar>
              <w:top w:w="80" w:type="dxa"/>
              <w:start w:w="90" w:type="dxa"/>
              <w:bottom w:w="80" w:type="dxa"/>
              <w:end w:w="90" w:type="dxa"/>
            </w:tcMar>
            <w:vAlign w:val="top"/>
            <w:shd w:fill="F7F9FB"/>
          </w:tcPr>
          <w:p>
            <w:pPr>
              <w:spacing w:after="30"/>
            </w:pPr>
            <w:r>
              <w:rPr>
                <w:rFonts w:ascii="Aptos" w:hAnsi="Aptos"/>
                <w:color w:val="232D38"/>
                <w:sz w:val="14"/>
              </w:rPr>
              <w:t>JURISDICTION_PENDING; COUNSEL_REVIEW; COUNSEL_VALIDATED_FOR_SCOPE; REGULATOR_APPROVAL_REQUIRED; REGULATOR_APPROVED_FOR_SCOPE; PROHIBITED</w:t>
            </w:r>
          </w:p>
        </w:tc>
        <w:tc>
          <w:tcPr>
            <w:tcW w:type="dxa" w:w="3331"/>
            <w:tcMar>
              <w:top w:w="80" w:type="dxa"/>
              <w:start w:w="90" w:type="dxa"/>
              <w:bottom w:w="80" w:type="dxa"/>
              <w:end w:w="90" w:type="dxa"/>
            </w:tcMar>
            <w:vAlign w:val="top"/>
            <w:shd w:fill="F7F9FB"/>
          </w:tcPr>
          <w:p>
            <w:pPr>
              <w:spacing w:after="30"/>
            </w:pPr>
            <w:r>
              <w:rPr>
                <w:rFonts w:ascii="Aptos" w:hAnsi="Aptos"/>
                <w:color w:val="232D38"/>
                <w:sz w:val="14"/>
              </w:rPr>
              <w:t>Never infer approval from registry seed or engineering research.</w:t>
            </w:r>
          </w:p>
        </w:tc>
      </w:tr>
      <w:tr>
        <w:trPr>
          <w:cantSplit/>
        </w:trPr>
        <w:tc>
          <w:tcPr>
            <w:tcW w:type="dxa" w:w="3331"/>
            <w:tcMar>
              <w:top w:w="80" w:type="dxa"/>
              <w:start w:w="90" w:type="dxa"/>
              <w:bottom w:w="80" w:type="dxa"/>
              <w:end w:w="90" w:type="dxa"/>
            </w:tcMar>
            <w:vAlign w:val="top"/>
          </w:tcPr>
          <w:p>
            <w:pPr>
              <w:spacing w:after="30"/>
            </w:pPr>
            <w:r>
              <w:rPr>
                <w:rFonts w:ascii="Aptos" w:hAnsi="Aptos"/>
                <w:color w:val="232D38"/>
                <w:sz w:val="14"/>
              </w:rPr>
              <w:t>Production authorization</w:t>
            </w:r>
          </w:p>
        </w:tc>
        <w:tc>
          <w:tcPr>
            <w:tcW w:type="dxa" w:w="3331"/>
            <w:tcMar>
              <w:top w:w="80" w:type="dxa"/>
              <w:start w:w="90" w:type="dxa"/>
              <w:bottom w:w="80" w:type="dxa"/>
              <w:end w:w="90" w:type="dxa"/>
            </w:tcMar>
            <w:vAlign w:val="top"/>
          </w:tcPr>
          <w:p>
            <w:pPr>
              <w:spacing w:after="30"/>
            </w:pPr>
            <w:r>
              <w:rPr>
                <w:rFonts w:ascii="Aptos" w:hAnsi="Aptos"/>
                <w:color w:val="232D38"/>
                <w:sz w:val="14"/>
              </w:rPr>
              <w:t>FALSE; REVIEW_PENDING; APPROVED_FOR_EXPLICIT_SCOPE; SUSPENDED; REVOKED</w:t>
            </w:r>
          </w:p>
        </w:tc>
        <w:tc>
          <w:tcPr>
            <w:tcW w:type="dxa" w:w="3331"/>
            <w:tcMar>
              <w:top w:w="80" w:type="dxa"/>
              <w:start w:w="90" w:type="dxa"/>
              <w:bottom w:w="80" w:type="dxa"/>
              <w:end w:w="90" w:type="dxa"/>
            </w:tcMar>
            <w:vAlign w:val="top"/>
          </w:tcPr>
          <w:p>
            <w:pPr>
              <w:spacing w:after="30"/>
            </w:pPr>
            <w:r>
              <w:rPr>
                <w:rFonts w:ascii="Aptos" w:hAnsi="Aptos"/>
                <w:color w:val="232D38"/>
                <w:sz w:val="14"/>
              </w:rPr>
              <w:t>Defaults FALSE; is scoped and revocable.</w:t>
            </w:r>
          </w:p>
        </w:tc>
      </w:tr>
    </w:tbl>
    <w:p>
      <w:pPr>
        <w:spacing w:after="0"/>
      </w:pPr>
    </w:p>
    <w:p>
      <w:pPr>
        <w:pStyle w:val="Heading2"/>
      </w:pPr>
      <w:r>
        <w:t>1.7 Canonical vocabulary</w:t>
      </w:r>
    </w:p>
    <w:tbl>
      <w:tblPr>
        <w:tblStyle w:val="TableGrid"/>
        <w:tblW w:type="auto" w:w="0"/>
        <w:jc w:val="center"/>
        <w:tblLook w:firstColumn="1" w:firstRow="1" w:lastColumn="0" w:lastRow="0" w:noHBand="0" w:noVBand="1" w:val="04A0"/>
      </w:tblPr>
      <w:tblGrid>
        <w:gridCol w:w="4997"/>
        <w:gridCol w:w="4997"/>
      </w:tblGrid>
      <w:tr>
        <w:trPr>
          <w:tblHeader w:val="true"/>
          <w:cantSplit/>
        </w:trPr>
        <w:tc>
          <w:tcPr>
            <w:tcW w:type="dxa" w:w="2448"/>
            <w:shd w:fill="07111F"/>
            <w:tcMar>
              <w:top w:w="80" w:type="dxa"/>
              <w:start w:w="90" w:type="dxa"/>
              <w:bottom w:w="80" w:type="dxa"/>
              <w:end w:w="90" w:type="dxa"/>
            </w:tcMar>
            <w:vAlign w:val="center"/>
          </w:tcPr>
          <w:p>
            <w:r>
              <w:rPr>
                <w:rFonts w:ascii="Aptos" w:hAnsi="Aptos"/>
                <w:b/>
                <w:color w:val="FFFFFF"/>
                <w:sz w:val="15"/>
              </w:rPr>
              <w:t>Term</w:t>
            </w:r>
          </w:p>
        </w:tc>
        <w:tc>
          <w:tcPr>
            <w:tcW w:type="dxa" w:w="7488"/>
            <w:shd w:fill="07111F"/>
            <w:tcMar>
              <w:top w:w="80" w:type="dxa"/>
              <w:start w:w="90" w:type="dxa"/>
              <w:bottom w:w="80" w:type="dxa"/>
              <w:end w:w="90" w:type="dxa"/>
            </w:tcMar>
            <w:vAlign w:val="center"/>
          </w:tcPr>
          <w:p>
            <w:r>
              <w:rPr>
                <w:rFonts w:ascii="Aptos" w:hAnsi="Aptos"/>
                <w:b/>
                <w:color w:val="FFFFFF"/>
                <w:sz w:val="15"/>
              </w:rPr>
              <w:t>Canonical meaning</w:t>
            </w:r>
          </w:p>
        </w:tc>
      </w:tr>
      <w:tr>
        <w:trPr>
          <w:cantSplit/>
        </w:trPr>
        <w:tc>
          <w:tcPr>
            <w:tcW w:type="dxa" w:w="4997"/>
            <w:tcMar>
              <w:top w:w="80" w:type="dxa"/>
              <w:start w:w="90" w:type="dxa"/>
              <w:bottom w:w="80" w:type="dxa"/>
              <w:end w:w="90" w:type="dxa"/>
            </w:tcMar>
            <w:vAlign w:val="top"/>
            <w:shd w:fill="F7F9FB"/>
          </w:tcPr>
          <w:p>
            <w:pPr>
              <w:spacing w:after="30"/>
            </w:pPr>
            <w:r>
              <w:rPr>
                <w:rFonts w:ascii="Aptos" w:hAnsi="Aptos"/>
                <w:color w:val="232D38"/>
                <w:sz w:val="15"/>
              </w:rPr>
              <w:t>MITHQAL</w:t>
            </w:r>
          </w:p>
        </w:tc>
        <w:tc>
          <w:tcPr>
            <w:tcW w:type="dxa" w:w="4997"/>
            <w:tcMar>
              <w:top w:w="80" w:type="dxa"/>
              <w:start w:w="90" w:type="dxa"/>
              <w:bottom w:w="80" w:type="dxa"/>
              <w:end w:w="90" w:type="dxa"/>
            </w:tcMar>
            <w:vAlign w:val="top"/>
            <w:shd w:fill="F7F9FB"/>
          </w:tcPr>
          <w:p>
            <w:pPr>
              <w:spacing w:after="30"/>
            </w:pPr>
            <w:r>
              <w:rPr>
                <w:rFonts w:ascii="Aptos" w:hAnsi="Aptos"/>
                <w:color w:val="232D38"/>
                <w:sz w:val="15"/>
              </w:rPr>
              <w:t>The institutional settlement control-plane product and governed technical/evidence infrastructure.</w:t>
            </w:r>
          </w:p>
        </w:tc>
      </w:tr>
      <w:tr>
        <w:trPr>
          <w:cantSplit/>
        </w:trPr>
        <w:tc>
          <w:tcPr>
            <w:tcW w:type="dxa" w:w="4997"/>
            <w:tcMar>
              <w:top w:w="80" w:type="dxa"/>
              <w:start w:w="90" w:type="dxa"/>
              <w:bottom w:w="80" w:type="dxa"/>
              <w:end w:w="90" w:type="dxa"/>
            </w:tcMar>
            <w:vAlign w:val="top"/>
          </w:tcPr>
          <w:p>
            <w:pPr>
              <w:spacing w:after="30"/>
            </w:pPr>
            <w:r>
              <w:rPr>
                <w:rFonts w:ascii="Aptos" w:hAnsi="Aptos"/>
                <w:color w:val="232D38"/>
                <w:sz w:val="15"/>
              </w:rPr>
              <w:t>Control plane</w:t>
            </w:r>
          </w:p>
        </w:tc>
        <w:tc>
          <w:tcPr>
            <w:tcW w:type="dxa" w:w="4997"/>
            <w:tcMar>
              <w:top w:w="80" w:type="dxa"/>
              <w:start w:w="90" w:type="dxa"/>
              <w:bottom w:w="80" w:type="dxa"/>
              <w:end w:w="90" w:type="dxa"/>
            </w:tcMar>
            <w:vAlign w:val="top"/>
          </w:tcPr>
          <w:p>
            <w:pPr>
              <w:spacing w:after="30"/>
            </w:pPr>
            <w:r>
              <w:rPr>
                <w:rFonts w:ascii="Aptos" w:hAnsi="Aptos"/>
                <w:color w:val="232D38"/>
                <w:sz w:val="15"/>
              </w:rPr>
              <w:t>Policy, eligibility, routing, orchestration, status, reconciliation, evidence, exception and continuity.</w:t>
            </w:r>
          </w:p>
        </w:tc>
      </w:tr>
      <w:tr>
        <w:trPr>
          <w:cantSplit/>
        </w:trPr>
        <w:tc>
          <w:tcPr>
            <w:tcW w:type="dxa" w:w="4997"/>
            <w:tcMar>
              <w:top w:w="80" w:type="dxa"/>
              <w:start w:w="90" w:type="dxa"/>
              <w:bottom w:w="80" w:type="dxa"/>
              <w:end w:w="90" w:type="dxa"/>
            </w:tcMar>
            <w:vAlign w:val="top"/>
            <w:shd w:fill="F7F9FB"/>
          </w:tcPr>
          <w:p>
            <w:pPr>
              <w:spacing w:after="30"/>
            </w:pPr>
            <w:r>
              <w:rPr>
                <w:rFonts w:ascii="Aptos" w:hAnsi="Aptos"/>
                <w:color w:val="232D38"/>
                <w:sz w:val="15"/>
              </w:rPr>
              <w:t>MTQ</w:t>
            </w:r>
          </w:p>
        </w:tc>
        <w:tc>
          <w:tcPr>
            <w:tcW w:type="dxa" w:w="4997"/>
            <w:tcMar>
              <w:top w:w="80" w:type="dxa"/>
              <w:start w:w="90" w:type="dxa"/>
              <w:bottom w:w="80" w:type="dxa"/>
              <w:end w:w="90" w:type="dxa"/>
            </w:tcMar>
            <w:vAlign w:val="top"/>
            <w:shd w:fill="F7F9FB"/>
          </w:tcPr>
          <w:p>
            <w:pPr>
              <w:spacing w:after="30"/>
            </w:pPr>
            <w:r>
              <w:rPr>
                <w:rFonts w:ascii="Aptos" w:hAnsi="Aptos"/>
                <w:color w:val="232D38"/>
                <w:sz w:val="15"/>
              </w:rPr>
              <w:t>Proposed optional, permissioned wholesale institutional settlement unit subject to law, contracts, backing and authorization.</w:t>
            </w:r>
          </w:p>
        </w:tc>
      </w:tr>
      <w:tr>
        <w:trPr>
          <w:cantSplit/>
        </w:trPr>
        <w:tc>
          <w:tcPr>
            <w:tcW w:type="dxa" w:w="4997"/>
            <w:tcMar>
              <w:top w:w="80" w:type="dxa"/>
              <w:start w:w="90" w:type="dxa"/>
              <w:bottom w:w="80" w:type="dxa"/>
              <w:end w:w="90" w:type="dxa"/>
            </w:tcMar>
            <w:vAlign w:val="top"/>
          </w:tcPr>
          <w:p>
            <w:pPr>
              <w:spacing w:after="30"/>
            </w:pPr>
            <w:r>
              <w:rPr>
                <w:rFonts w:ascii="Aptos" w:hAnsi="Aptos"/>
                <w:color w:val="232D38"/>
                <w:sz w:val="15"/>
              </w:rPr>
              <w:t>PAR</w:t>
            </w:r>
          </w:p>
        </w:tc>
        <w:tc>
          <w:tcPr>
            <w:tcW w:type="dxa" w:w="4997"/>
            <w:tcMar>
              <w:top w:w="80" w:type="dxa"/>
              <w:start w:w="90" w:type="dxa"/>
              <w:bottom w:w="80" w:type="dxa"/>
              <w:end w:w="90" w:type="dxa"/>
            </w:tcMar>
            <w:vAlign w:val="top"/>
          </w:tcPr>
          <w:p>
            <w:pPr>
              <w:spacing w:after="30"/>
            </w:pPr>
            <w:r>
              <w:rPr>
                <w:rFonts w:ascii="Aptos" w:hAnsi="Aptos"/>
                <w:color w:val="232D38"/>
                <w:sz w:val="15"/>
              </w:rPr>
              <w:t>Accounting reference only unless valid external terms explicitly establish more; not inherently a USD peg or redemption promise.</w:t>
            </w:r>
          </w:p>
        </w:tc>
      </w:tr>
      <w:tr>
        <w:trPr>
          <w:cantSplit/>
        </w:trPr>
        <w:tc>
          <w:tcPr>
            <w:tcW w:type="dxa" w:w="4997"/>
            <w:tcMar>
              <w:top w:w="80" w:type="dxa"/>
              <w:start w:w="90" w:type="dxa"/>
              <w:bottom w:w="80" w:type="dxa"/>
              <w:end w:w="90" w:type="dxa"/>
            </w:tcMar>
            <w:vAlign w:val="top"/>
            <w:shd w:fill="F7F9FB"/>
          </w:tcPr>
          <w:p>
            <w:pPr>
              <w:spacing w:after="30"/>
            </w:pPr>
            <w:r>
              <w:rPr>
                <w:rFonts w:ascii="Aptos" w:hAnsi="Aptos"/>
                <w:color w:val="232D38"/>
                <w:sz w:val="15"/>
              </w:rPr>
              <w:t>PBC / Protected Backing Cell</w:t>
            </w:r>
          </w:p>
        </w:tc>
        <w:tc>
          <w:tcPr>
            <w:tcW w:type="dxa" w:w="4997"/>
            <w:tcMar>
              <w:top w:w="80" w:type="dxa"/>
              <w:start w:w="90" w:type="dxa"/>
              <w:bottom w:w="80" w:type="dxa"/>
              <w:end w:w="90" w:type="dxa"/>
            </w:tcMar>
            <w:vAlign w:val="top"/>
            <w:shd w:fill="F7F9FB"/>
          </w:tcPr>
          <w:p>
            <w:pPr>
              <w:spacing w:after="30"/>
            </w:pPr>
            <w:r>
              <w:rPr>
                <w:rFonts w:ascii="Aptos" w:hAnsi="Aptos"/>
                <w:color w:val="232D38"/>
                <w:sz w:val="15"/>
              </w:rPr>
              <w:t>Traceable backing pool with evidence for existence, legal control, liquidity, settlement availability and anti-double-count.</w:t>
            </w:r>
          </w:p>
        </w:tc>
      </w:tr>
      <w:tr>
        <w:trPr>
          <w:cantSplit/>
        </w:trPr>
        <w:tc>
          <w:tcPr>
            <w:tcW w:type="dxa" w:w="4997"/>
            <w:tcMar>
              <w:top w:w="80" w:type="dxa"/>
              <w:start w:w="90" w:type="dxa"/>
              <w:bottom w:w="80" w:type="dxa"/>
              <w:end w:w="90" w:type="dxa"/>
            </w:tcMar>
            <w:vAlign w:val="top"/>
          </w:tcPr>
          <w:p>
            <w:pPr>
              <w:spacing w:after="30"/>
            </w:pPr>
            <w:r>
              <w:rPr>
                <w:rFonts w:ascii="Aptos" w:hAnsi="Aptos"/>
                <w:color w:val="232D38"/>
                <w:sz w:val="15"/>
              </w:rPr>
              <w:t>Settlement domain</w:t>
            </w:r>
          </w:p>
        </w:tc>
        <w:tc>
          <w:tcPr>
            <w:tcW w:type="dxa" w:w="4997"/>
            <w:tcMar>
              <w:top w:w="80" w:type="dxa"/>
              <w:start w:w="90" w:type="dxa"/>
              <w:bottom w:w="80" w:type="dxa"/>
              <w:end w:w="90" w:type="dxa"/>
            </w:tcMar>
            <w:vAlign w:val="top"/>
          </w:tcPr>
          <w:p>
            <w:pPr>
              <w:spacing w:after="30"/>
            </w:pPr>
            <w:r>
              <w:rPr>
                <w:rFonts w:ascii="Aptos" w:hAnsi="Aptos"/>
                <w:color w:val="232D38"/>
                <w:sz w:val="15"/>
              </w:rPr>
              <w:t>Legal/operational domain defining the settlement mechanism and finality rules.</w:t>
            </w:r>
          </w:p>
        </w:tc>
      </w:tr>
      <w:tr>
        <w:trPr>
          <w:cantSplit/>
        </w:trPr>
        <w:tc>
          <w:tcPr>
            <w:tcW w:type="dxa" w:w="4997"/>
            <w:tcMar>
              <w:top w:w="80" w:type="dxa"/>
              <w:start w:w="90" w:type="dxa"/>
              <w:bottom w:w="80" w:type="dxa"/>
              <w:end w:w="90" w:type="dxa"/>
            </w:tcMar>
            <w:vAlign w:val="top"/>
            <w:shd w:fill="F7F9FB"/>
          </w:tcPr>
          <w:p>
            <w:pPr>
              <w:spacing w:after="30"/>
            </w:pPr>
            <w:r>
              <w:rPr>
                <w:rFonts w:ascii="Aptos" w:hAnsi="Aptos"/>
                <w:color w:val="232D38"/>
                <w:sz w:val="15"/>
              </w:rPr>
              <w:t>Technical finality</w:t>
            </w:r>
          </w:p>
        </w:tc>
        <w:tc>
          <w:tcPr>
            <w:tcW w:type="dxa" w:w="4997"/>
            <w:tcMar>
              <w:top w:w="80" w:type="dxa"/>
              <w:start w:w="90" w:type="dxa"/>
              <w:bottom w:w="80" w:type="dxa"/>
              <w:end w:w="90" w:type="dxa"/>
            </w:tcMar>
            <w:vAlign w:val="top"/>
            <w:shd w:fill="F7F9FB"/>
          </w:tcPr>
          <w:p>
            <w:pPr>
              <w:spacing w:after="30"/>
            </w:pPr>
            <w:r>
              <w:rPr>
                <w:rFonts w:ascii="Aptos" w:hAnsi="Aptos"/>
                <w:color w:val="232D38"/>
                <w:sz w:val="15"/>
              </w:rPr>
              <w:t>System-level event/commit, not automatically legal finality.</w:t>
            </w:r>
          </w:p>
        </w:tc>
      </w:tr>
      <w:tr>
        <w:trPr>
          <w:cantSplit/>
        </w:trPr>
        <w:tc>
          <w:tcPr>
            <w:tcW w:type="dxa" w:w="4997"/>
            <w:tcMar>
              <w:top w:w="80" w:type="dxa"/>
              <w:start w:w="90" w:type="dxa"/>
              <w:bottom w:w="80" w:type="dxa"/>
              <w:end w:w="90" w:type="dxa"/>
            </w:tcMar>
            <w:vAlign w:val="top"/>
          </w:tcPr>
          <w:p>
            <w:pPr>
              <w:spacing w:after="30"/>
            </w:pPr>
            <w:r>
              <w:rPr>
                <w:rFonts w:ascii="Aptos" w:hAnsi="Aptos"/>
                <w:color w:val="232D38"/>
                <w:sz w:val="15"/>
              </w:rPr>
              <w:t>Legal settlement finality</w:t>
            </w:r>
          </w:p>
        </w:tc>
        <w:tc>
          <w:tcPr>
            <w:tcW w:type="dxa" w:w="4997"/>
            <w:tcMar>
              <w:top w:w="80" w:type="dxa"/>
              <w:start w:w="90" w:type="dxa"/>
              <w:bottom w:w="80" w:type="dxa"/>
              <w:end w:w="90" w:type="dxa"/>
            </w:tcMar>
            <w:vAlign w:val="top"/>
          </w:tcPr>
          <w:p>
            <w:pPr>
              <w:spacing w:after="30"/>
            </w:pPr>
            <w:r>
              <w:rPr>
                <w:rFonts w:ascii="Aptos" w:hAnsi="Aptos"/>
                <w:color w:val="232D38"/>
                <w:sz w:val="15"/>
              </w:rPr>
              <w:t>Recognized completed state under applicable law, governing rules and enforceable arrangements.</w:t>
            </w:r>
          </w:p>
        </w:tc>
      </w:tr>
      <w:tr>
        <w:trPr>
          <w:cantSplit/>
        </w:trPr>
        <w:tc>
          <w:tcPr>
            <w:tcW w:type="dxa" w:w="4997"/>
            <w:tcMar>
              <w:top w:w="80" w:type="dxa"/>
              <w:start w:w="90" w:type="dxa"/>
              <w:bottom w:w="80" w:type="dxa"/>
              <w:end w:w="90" w:type="dxa"/>
            </w:tcMar>
            <w:vAlign w:val="top"/>
            <w:shd w:fill="F7F9FB"/>
          </w:tcPr>
          <w:p>
            <w:pPr>
              <w:spacing w:after="30"/>
            </w:pPr>
            <w:r>
              <w:rPr>
                <w:rFonts w:ascii="Aptos" w:hAnsi="Aptos"/>
                <w:color w:val="232D38"/>
                <w:sz w:val="15"/>
              </w:rPr>
              <w:t>Evidence Fabric</w:t>
            </w:r>
          </w:p>
        </w:tc>
        <w:tc>
          <w:tcPr>
            <w:tcW w:type="dxa" w:w="4997"/>
            <w:tcMar>
              <w:top w:w="80" w:type="dxa"/>
              <w:start w:w="90" w:type="dxa"/>
              <w:bottom w:w="80" w:type="dxa"/>
              <w:end w:w="90" w:type="dxa"/>
            </w:tcMar>
            <w:vAlign w:val="top"/>
            <w:shd w:fill="F7F9FB"/>
          </w:tcPr>
          <w:p>
            <w:pPr>
              <w:spacing w:after="30"/>
            </w:pPr>
            <w:r>
              <w:rPr>
                <w:rFonts w:ascii="Aptos" w:hAnsi="Aptos"/>
                <w:color w:val="232D38"/>
                <w:sz w:val="15"/>
              </w:rPr>
              <w:t>Provenance-linked artifacts/observations supporting claims, transitions and gates.</w:t>
            </w:r>
          </w:p>
        </w:tc>
      </w:tr>
      <w:tr>
        <w:trPr>
          <w:cantSplit/>
        </w:trPr>
        <w:tc>
          <w:tcPr>
            <w:tcW w:type="dxa" w:w="4997"/>
            <w:tcMar>
              <w:top w:w="80" w:type="dxa"/>
              <w:start w:w="90" w:type="dxa"/>
              <w:bottom w:w="80" w:type="dxa"/>
              <w:end w:w="90" w:type="dxa"/>
            </w:tcMar>
            <w:vAlign w:val="top"/>
          </w:tcPr>
          <w:p>
            <w:pPr>
              <w:spacing w:after="30"/>
            </w:pPr>
            <w:r>
              <w:rPr>
                <w:rFonts w:ascii="Aptos" w:hAnsi="Aptos"/>
                <w:color w:val="232D38"/>
                <w:sz w:val="15"/>
              </w:rPr>
              <w:t>Pilot A</w:t>
            </w:r>
          </w:p>
        </w:tc>
        <w:tc>
          <w:tcPr>
            <w:tcW w:type="dxa" w:w="4997"/>
            <w:tcMar>
              <w:top w:w="80" w:type="dxa"/>
              <w:start w:w="90" w:type="dxa"/>
              <w:bottom w:w="80" w:type="dxa"/>
              <w:end w:w="90" w:type="dxa"/>
            </w:tcMar>
            <w:vAlign w:val="top"/>
          </w:tcPr>
          <w:p>
            <w:pPr>
              <w:spacing w:after="30"/>
            </w:pPr>
            <w:r>
              <w:rPr>
                <w:rFonts w:ascii="Aptos" w:hAnsi="Aptos"/>
                <w:color w:val="232D38"/>
                <w:sz w:val="15"/>
              </w:rPr>
              <w:t>Control-plane demonstration with MTQ disabled and no unauthorized real-value movement.</w:t>
            </w:r>
          </w:p>
        </w:tc>
      </w:tr>
      <w:tr>
        <w:trPr>
          <w:cantSplit/>
        </w:trPr>
        <w:tc>
          <w:tcPr>
            <w:tcW w:type="dxa" w:w="4997"/>
            <w:tcMar>
              <w:top w:w="80" w:type="dxa"/>
              <w:start w:w="90" w:type="dxa"/>
              <w:bottom w:w="80" w:type="dxa"/>
              <w:end w:w="90" w:type="dxa"/>
            </w:tcMar>
            <w:vAlign w:val="top"/>
            <w:shd w:fill="F7F9FB"/>
          </w:tcPr>
          <w:p>
            <w:pPr>
              <w:spacing w:after="30"/>
            </w:pPr>
            <w:r>
              <w:rPr>
                <w:rFonts w:ascii="Aptos" w:hAnsi="Aptos"/>
                <w:color w:val="232D38"/>
                <w:sz w:val="15"/>
              </w:rPr>
              <w:t>Pilot B</w:t>
            </w:r>
          </w:p>
        </w:tc>
        <w:tc>
          <w:tcPr>
            <w:tcW w:type="dxa" w:w="4997"/>
            <w:tcMar>
              <w:top w:w="80" w:type="dxa"/>
              <w:start w:w="90" w:type="dxa"/>
              <w:bottom w:w="80" w:type="dxa"/>
              <w:end w:w="90" w:type="dxa"/>
            </w:tcMar>
            <w:vAlign w:val="top"/>
            <w:shd w:fill="F7F9FB"/>
          </w:tcPr>
          <w:p>
            <w:pPr>
              <w:spacing w:after="30"/>
            </w:pPr>
            <w:r>
              <w:rPr>
                <w:rFonts w:ascii="Aptos" w:hAnsi="Aptos"/>
                <w:color w:val="232D38"/>
                <w:sz w:val="15"/>
              </w:rPr>
              <w:t>Potential MTQ-enabled extension after additional legal/accounting/custody/bank/regulatory gates.</w:t>
            </w:r>
          </w:p>
        </w:tc>
      </w:tr>
      <w:tr>
        <w:trPr>
          <w:cantSplit/>
        </w:trPr>
        <w:tc>
          <w:tcPr>
            <w:tcW w:type="dxa" w:w="4997"/>
            <w:tcMar>
              <w:top w:w="80" w:type="dxa"/>
              <w:start w:w="90" w:type="dxa"/>
              <w:bottom w:w="80" w:type="dxa"/>
              <w:end w:w="90" w:type="dxa"/>
            </w:tcMar>
            <w:vAlign w:val="top"/>
          </w:tcPr>
          <w:p>
            <w:pPr>
              <w:spacing w:after="30"/>
            </w:pPr>
            <w:r>
              <w:rPr>
                <w:rFonts w:ascii="Aptos" w:hAnsi="Aptos"/>
                <w:color w:val="232D38"/>
                <w:sz w:val="15"/>
              </w:rPr>
              <w:t>G0–G11</w:t>
            </w:r>
          </w:p>
        </w:tc>
        <w:tc>
          <w:tcPr>
            <w:tcW w:type="dxa" w:w="4997"/>
            <w:tcMar>
              <w:top w:w="80" w:type="dxa"/>
              <w:start w:w="90" w:type="dxa"/>
              <w:bottom w:w="80" w:type="dxa"/>
              <w:end w:w="90" w:type="dxa"/>
            </w:tcMar>
            <w:vAlign w:val="top"/>
          </w:tcPr>
          <w:p>
            <w:pPr>
              <w:spacing w:after="30"/>
            </w:pPr>
            <w:r>
              <w:rPr>
                <w:rFonts w:ascii="Aptos" w:hAnsi="Aptos"/>
                <w:color w:val="232D38"/>
                <w:sz w:val="15"/>
              </w:rPr>
              <w:t>Institutional critical-path gates from corporate/contractual integrity to production review.</w:t>
            </w:r>
          </w:p>
        </w:tc>
      </w:tr>
    </w:tbl>
    <w:p>
      <w:pPr>
        <w:spacing w:after="0"/>
      </w:pPr>
    </w:p>
    <w:p>
      <w:pPr>
        <w:pStyle w:val="Heading2"/>
      </w:pPr>
      <w:r>
        <w:t>1.8 Three trust domains and seven functional layers</w:t>
      </w:r>
    </w:p>
    <w:p>
      <w:r>
        <w:rPr>
          <w:i w:val="0"/>
        </w:rPr>
        <w:t>The system is decomposed into functional layers for manageability, but function boundaries are not automatically independent trust boundaries. Separation is real only when identity, privileges, deploy authority, secrets, data access, operational ownership and audit paths are independently controlled and tested.</w:t>
      </w:r>
    </w:p>
    <w:tbl>
      <w:tblPr>
        <w:tblStyle w:val="TableGrid"/>
        <w:tblW w:type="auto" w:w="0"/>
        <w:jc w:val="center"/>
        <w:tblLook w:firstColumn="1" w:firstRow="1" w:lastColumn="0" w:lastRow="0" w:noHBand="0" w:noVBand="1" w:val="04A0"/>
      </w:tblPr>
      <w:tblGrid>
        <w:gridCol w:w="2498"/>
        <w:gridCol w:w="2498"/>
        <w:gridCol w:w="2498"/>
        <w:gridCol w:w="2498"/>
      </w:tblGrid>
      <w:tr>
        <w:trPr>
          <w:tblHeader w:val="true"/>
          <w:cantSplit/>
        </w:trPr>
        <w:tc>
          <w:tcPr>
            <w:tcW w:type="dxa" w:w="2088"/>
            <w:shd w:fill="07111F"/>
            <w:tcMar>
              <w:top w:w="80" w:type="dxa"/>
              <w:start w:w="90" w:type="dxa"/>
              <w:bottom w:w="80" w:type="dxa"/>
              <w:end w:w="90" w:type="dxa"/>
            </w:tcMar>
            <w:vAlign w:val="center"/>
          </w:tcPr>
          <w:p>
            <w:r>
              <w:rPr>
                <w:rFonts w:ascii="Aptos" w:hAnsi="Aptos"/>
                <w:b/>
                <w:color w:val="FFFFFF"/>
                <w:sz w:val="14"/>
              </w:rPr>
              <w:t>Trust domain</w:t>
            </w:r>
          </w:p>
        </w:tc>
        <w:tc>
          <w:tcPr>
            <w:tcW w:type="dxa" w:w="2520"/>
            <w:shd w:fill="07111F"/>
            <w:tcMar>
              <w:top w:w="80" w:type="dxa"/>
              <w:start w:w="90" w:type="dxa"/>
              <w:bottom w:w="80" w:type="dxa"/>
              <w:end w:w="90" w:type="dxa"/>
            </w:tcMar>
            <w:vAlign w:val="center"/>
          </w:tcPr>
          <w:p>
            <w:r>
              <w:rPr>
                <w:rFonts w:ascii="Aptos" w:hAnsi="Aptos"/>
                <w:b/>
                <w:color w:val="FFFFFF"/>
                <w:sz w:val="14"/>
              </w:rPr>
              <w:t>Authority it controls</w:t>
            </w:r>
          </w:p>
        </w:tc>
        <w:tc>
          <w:tcPr>
            <w:tcW w:type="dxa" w:w="3096"/>
            <w:shd w:fill="07111F"/>
            <w:tcMar>
              <w:top w:w="80" w:type="dxa"/>
              <w:start w:w="90" w:type="dxa"/>
              <w:bottom w:w="80" w:type="dxa"/>
              <w:end w:w="90" w:type="dxa"/>
            </w:tcMar>
            <w:vAlign w:val="center"/>
          </w:tcPr>
          <w:p>
            <w:r>
              <w:rPr>
                <w:rFonts w:ascii="Aptos" w:hAnsi="Aptos"/>
                <w:b/>
                <w:color w:val="FFFFFF"/>
                <w:sz w:val="14"/>
              </w:rPr>
              <w:t>Representative controls</w:t>
            </w:r>
          </w:p>
        </w:tc>
        <w:tc>
          <w:tcPr>
            <w:tcW w:type="dxa" w:w="2232"/>
            <w:shd w:fill="07111F"/>
            <w:tcMar>
              <w:top w:w="80" w:type="dxa"/>
              <w:start w:w="90" w:type="dxa"/>
              <w:bottom w:w="80" w:type="dxa"/>
              <w:end w:w="90" w:type="dxa"/>
            </w:tcMar>
            <w:vAlign w:val="center"/>
          </w:tcPr>
          <w:p>
            <w:r>
              <w:rPr>
                <w:rFonts w:ascii="Aptos" w:hAnsi="Aptos"/>
                <w:b/>
                <w:color w:val="FFFFFF"/>
                <w:sz w:val="14"/>
              </w:rPr>
              <w:t>Failure if incorrectly collapsed</w:t>
            </w:r>
          </w:p>
        </w:tc>
      </w:tr>
      <w:tr>
        <w:trPr>
          <w:cantSplit/>
        </w:trPr>
        <w:tc>
          <w:tcPr>
            <w:tcW w:type="dxa" w:w="2498"/>
            <w:tcMar>
              <w:top w:w="80" w:type="dxa"/>
              <w:start w:w="90" w:type="dxa"/>
              <w:bottom w:w="80" w:type="dxa"/>
              <w:end w:w="90" w:type="dxa"/>
            </w:tcMar>
            <w:vAlign w:val="top"/>
            <w:shd w:fill="F7F9FB"/>
          </w:tcPr>
          <w:p>
            <w:pPr>
              <w:spacing w:after="30"/>
            </w:pPr>
            <w:r>
              <w:rPr>
                <w:rFonts w:ascii="Aptos" w:hAnsi="Aptos"/>
                <w:color w:val="232D38"/>
                <w:sz w:val="14"/>
              </w:rPr>
              <w:t>TD-A — Institutional / legal authority</w:t>
            </w:r>
          </w:p>
        </w:tc>
        <w:tc>
          <w:tcPr>
            <w:tcW w:type="dxa" w:w="2498"/>
            <w:tcMar>
              <w:top w:w="80" w:type="dxa"/>
              <w:start w:w="90" w:type="dxa"/>
              <w:bottom w:w="80" w:type="dxa"/>
              <w:end w:w="90" w:type="dxa"/>
            </w:tcMar>
            <w:vAlign w:val="top"/>
            <w:shd w:fill="F7F9FB"/>
          </w:tcPr>
          <w:p>
            <w:pPr>
              <w:spacing w:after="30"/>
            </w:pPr>
            <w:r>
              <w:rPr>
                <w:rFonts w:ascii="Aptos" w:hAnsi="Aptos"/>
                <w:color w:val="232D38"/>
                <w:sz w:val="14"/>
              </w:rPr>
              <w:t>Which entity may instruct, approve, owe, accept, custody, redeem or terminate; contract/jurisdiction scope.</w:t>
            </w:r>
          </w:p>
        </w:tc>
        <w:tc>
          <w:tcPr>
            <w:tcW w:type="dxa" w:w="2498"/>
            <w:tcMar>
              <w:top w:w="80" w:type="dxa"/>
              <w:start w:w="90" w:type="dxa"/>
              <w:bottom w:w="80" w:type="dxa"/>
              <w:end w:w="90" w:type="dxa"/>
            </w:tcMar>
            <w:vAlign w:val="top"/>
            <w:shd w:fill="F7F9FB"/>
          </w:tcPr>
          <w:p>
            <w:pPr>
              <w:spacing w:after="30"/>
            </w:pPr>
            <w:r>
              <w:rPr>
                <w:rFonts w:ascii="Aptos" w:hAnsi="Aptos"/>
                <w:color w:val="232D38"/>
                <w:sz w:val="14"/>
              </w:rPr>
              <w:t>Executed instruments, entity/role registry, signed approvals, scoped policy, dual control, counsel evidence.</w:t>
            </w:r>
          </w:p>
        </w:tc>
        <w:tc>
          <w:tcPr>
            <w:tcW w:type="dxa" w:w="2498"/>
            <w:tcMar>
              <w:top w:w="80" w:type="dxa"/>
              <w:start w:w="90" w:type="dxa"/>
              <w:bottom w:w="80" w:type="dxa"/>
              <w:end w:w="90" w:type="dxa"/>
            </w:tcMar>
            <w:vAlign w:val="top"/>
            <w:shd w:fill="F7F9FB"/>
          </w:tcPr>
          <w:p>
            <w:pPr>
              <w:spacing w:after="30"/>
            </w:pPr>
            <w:r>
              <w:rPr>
                <w:rFonts w:ascii="Aptos" w:hAnsi="Aptos"/>
                <w:color w:val="232D38"/>
                <w:sz w:val="14"/>
              </w:rPr>
              <w:t>Software or one operator appears to confer legal rights that do not exist.</w:t>
            </w:r>
          </w:p>
        </w:tc>
      </w:tr>
      <w:tr>
        <w:trPr>
          <w:cantSplit/>
        </w:trPr>
        <w:tc>
          <w:tcPr>
            <w:tcW w:type="dxa" w:w="2498"/>
            <w:tcMar>
              <w:top w:w="80" w:type="dxa"/>
              <w:start w:w="90" w:type="dxa"/>
              <w:bottom w:w="80" w:type="dxa"/>
              <w:end w:w="90" w:type="dxa"/>
            </w:tcMar>
            <w:vAlign w:val="top"/>
          </w:tcPr>
          <w:p>
            <w:pPr>
              <w:spacing w:after="30"/>
            </w:pPr>
            <w:r>
              <w:rPr>
                <w:rFonts w:ascii="Aptos" w:hAnsi="Aptos"/>
                <w:color w:val="232D38"/>
                <w:sz w:val="14"/>
              </w:rPr>
              <w:t>TD-B — Asset / settlement control</w:t>
            </w:r>
          </w:p>
        </w:tc>
        <w:tc>
          <w:tcPr>
            <w:tcW w:type="dxa" w:w="2498"/>
            <w:tcMar>
              <w:top w:w="80" w:type="dxa"/>
              <w:start w:w="90" w:type="dxa"/>
              <w:bottom w:w="80" w:type="dxa"/>
              <w:end w:w="90" w:type="dxa"/>
            </w:tcMar>
            <w:vAlign w:val="top"/>
          </w:tcPr>
          <w:p>
            <w:pPr>
              <w:spacing w:after="30"/>
            </w:pPr>
            <w:r>
              <w:rPr>
                <w:rFonts w:ascii="Aptos" w:hAnsi="Aptos"/>
                <w:color w:val="232D38"/>
                <w:sz w:val="14"/>
              </w:rPr>
              <w:t>What funds/claims are available, who controls them, which obligations/rails are involved and when a state is final.</w:t>
            </w:r>
          </w:p>
        </w:tc>
        <w:tc>
          <w:tcPr>
            <w:tcW w:type="dxa" w:w="2498"/>
            <w:tcMar>
              <w:top w:w="80" w:type="dxa"/>
              <w:start w:w="90" w:type="dxa"/>
              <w:bottom w:w="80" w:type="dxa"/>
              <w:end w:w="90" w:type="dxa"/>
            </w:tcMar>
            <w:vAlign w:val="top"/>
          </w:tcPr>
          <w:p>
            <w:pPr>
              <w:spacing w:after="30"/>
            </w:pPr>
            <w:r>
              <w:rPr>
                <w:rFonts w:ascii="Aptos" w:hAnsi="Aptos"/>
                <w:color w:val="232D38"/>
                <w:sz w:val="14"/>
              </w:rPr>
              <w:t>Bank/rail source evidence, backing/custody evidence, eligibility predicates, independent reconciliation, domain-specific finality map.</w:t>
            </w:r>
          </w:p>
        </w:tc>
        <w:tc>
          <w:tcPr>
            <w:tcW w:type="dxa" w:w="2498"/>
            <w:tcMar>
              <w:top w:w="80" w:type="dxa"/>
              <w:start w:w="90" w:type="dxa"/>
              <w:bottom w:w="80" w:type="dxa"/>
              <w:end w:w="90" w:type="dxa"/>
            </w:tcMar>
            <w:vAlign w:val="top"/>
          </w:tcPr>
          <w:p>
            <w:pPr>
              <w:spacing w:after="30"/>
            </w:pPr>
            <w:r>
              <w:rPr>
                <w:rFonts w:ascii="Aptos" w:hAnsi="Aptos"/>
                <w:color w:val="232D38"/>
                <w:sz w:val="14"/>
              </w:rPr>
              <w:t>Double-counting, unauthorized use, false finality or unavailable liquidity.</w:t>
            </w:r>
          </w:p>
        </w:tc>
      </w:tr>
      <w:tr>
        <w:trPr>
          <w:cantSplit/>
        </w:trPr>
        <w:tc>
          <w:tcPr>
            <w:tcW w:type="dxa" w:w="2498"/>
            <w:tcMar>
              <w:top w:w="80" w:type="dxa"/>
              <w:start w:w="90" w:type="dxa"/>
              <w:bottom w:w="80" w:type="dxa"/>
              <w:end w:w="90" w:type="dxa"/>
            </w:tcMar>
            <w:vAlign w:val="top"/>
            <w:shd w:fill="F7F9FB"/>
          </w:tcPr>
          <w:p>
            <w:pPr>
              <w:spacing w:after="30"/>
            </w:pPr>
            <w:r>
              <w:rPr>
                <w:rFonts w:ascii="Aptos" w:hAnsi="Aptos"/>
                <w:color w:val="232D38"/>
                <w:sz w:val="14"/>
              </w:rPr>
              <w:t>TD-C — Technical execution / evidence</w:t>
            </w:r>
          </w:p>
        </w:tc>
        <w:tc>
          <w:tcPr>
            <w:tcW w:type="dxa" w:w="2498"/>
            <w:tcMar>
              <w:top w:w="80" w:type="dxa"/>
              <w:start w:w="90" w:type="dxa"/>
              <w:bottom w:w="80" w:type="dxa"/>
              <w:end w:w="90" w:type="dxa"/>
            </w:tcMar>
            <w:vAlign w:val="top"/>
            <w:shd w:fill="F7F9FB"/>
          </w:tcPr>
          <w:p>
            <w:pPr>
              <w:spacing w:after="30"/>
            </w:pPr>
            <w:r>
              <w:rPr>
                <w:rFonts w:ascii="Aptos" w:hAnsi="Aptos"/>
                <w:color w:val="232D38"/>
                <w:sz w:val="14"/>
              </w:rPr>
              <w:t>How commands are authenticated, persisted, orchestrated, observed, replayed and evidenced.</w:t>
            </w:r>
          </w:p>
        </w:tc>
        <w:tc>
          <w:tcPr>
            <w:tcW w:type="dxa" w:w="2498"/>
            <w:tcMar>
              <w:top w:w="80" w:type="dxa"/>
              <w:start w:w="90" w:type="dxa"/>
              <w:bottom w:w="80" w:type="dxa"/>
              <w:end w:w="90" w:type="dxa"/>
            </w:tcMar>
            <w:vAlign w:val="top"/>
            <w:shd w:fill="F7F9FB"/>
          </w:tcPr>
          <w:p>
            <w:pPr>
              <w:spacing w:after="30"/>
            </w:pPr>
            <w:r>
              <w:rPr>
                <w:rFonts w:ascii="Aptos" w:hAnsi="Aptos"/>
                <w:color w:val="232D38"/>
                <w:sz w:val="14"/>
              </w:rPr>
              <w:t>Least-privilege identities, canonical Neon transactions, outbox, idempotent workers, protected logs, evidence hashes, recovery drills.</w:t>
            </w:r>
          </w:p>
        </w:tc>
        <w:tc>
          <w:tcPr>
            <w:tcW w:type="dxa" w:w="2498"/>
            <w:tcMar>
              <w:top w:w="80" w:type="dxa"/>
              <w:start w:w="90" w:type="dxa"/>
              <w:bottom w:w="80" w:type="dxa"/>
              <w:end w:w="90" w:type="dxa"/>
            </w:tcMar>
            <w:vAlign w:val="top"/>
            <w:shd w:fill="F7F9FB"/>
          </w:tcPr>
          <w:p>
            <w:pPr>
              <w:spacing w:after="30"/>
            </w:pPr>
            <w:r>
              <w:rPr>
                <w:rFonts w:ascii="Aptos" w:hAnsi="Aptos"/>
                <w:color w:val="232D38"/>
                <w:sz w:val="14"/>
              </w:rPr>
              <w:t>A technically successful workflow is mistaken for legal permission or settlement completion.</w:t>
            </w:r>
          </w:p>
        </w:tc>
      </w:tr>
    </w:tbl>
    <w:p>
      <w:pPr>
        <w:spacing w:after="0"/>
      </w:pPr>
    </w:p>
    <w:tbl>
      <w:tblPr>
        <w:tblStyle w:val="TableGrid"/>
        <w:tblW w:type="auto" w:w="0"/>
        <w:jc w:val="center"/>
        <w:tblLook w:firstColumn="1" w:firstRow="1" w:lastColumn="0" w:lastRow="0" w:noHBand="0" w:noVBand="1" w:val="04A0"/>
      </w:tblPr>
      <w:tblGrid>
        <w:gridCol w:w="3331"/>
        <w:gridCol w:w="3331"/>
        <w:gridCol w:w="3331"/>
      </w:tblGrid>
      <w:tr>
        <w:trPr>
          <w:tblHeader w:val="true"/>
          <w:cantSplit/>
        </w:trPr>
        <w:tc>
          <w:tcPr>
            <w:tcW w:type="dxa" w:w="2664"/>
            <w:shd w:fill="07111F"/>
            <w:tcMar>
              <w:top w:w="80" w:type="dxa"/>
              <w:start w:w="90" w:type="dxa"/>
              <w:bottom w:w="80" w:type="dxa"/>
              <w:end w:w="90" w:type="dxa"/>
            </w:tcMar>
            <w:vAlign w:val="center"/>
          </w:tcPr>
          <w:p>
            <w:r>
              <w:rPr>
                <w:rFonts w:ascii="Aptos" w:hAnsi="Aptos"/>
                <w:b/>
                <w:color w:val="FFFFFF"/>
                <w:sz w:val="14"/>
              </w:rPr>
              <w:t>Functional layer</w:t>
            </w:r>
          </w:p>
        </w:tc>
        <w:tc>
          <w:tcPr>
            <w:tcW w:type="dxa" w:w="3960"/>
            <w:shd w:fill="07111F"/>
            <w:tcMar>
              <w:top w:w="80" w:type="dxa"/>
              <w:start w:w="90" w:type="dxa"/>
              <w:bottom w:w="80" w:type="dxa"/>
              <w:end w:w="90" w:type="dxa"/>
            </w:tcMar>
            <w:vAlign w:val="center"/>
          </w:tcPr>
          <w:p>
            <w:r>
              <w:rPr>
                <w:rFonts w:ascii="Aptos" w:hAnsi="Aptos"/>
                <w:b/>
                <w:color w:val="FFFFFF"/>
                <w:sz w:val="14"/>
              </w:rPr>
              <w:t>Main responsibility</w:t>
            </w:r>
          </w:p>
        </w:tc>
        <w:tc>
          <w:tcPr>
            <w:tcW w:type="dxa" w:w="3312"/>
            <w:shd w:fill="07111F"/>
            <w:tcMar>
              <w:top w:w="80" w:type="dxa"/>
              <w:start w:w="90" w:type="dxa"/>
              <w:bottom w:w="80" w:type="dxa"/>
              <w:end w:w="90" w:type="dxa"/>
            </w:tcMar>
            <w:vAlign w:val="center"/>
          </w:tcPr>
          <w:p>
            <w:r>
              <w:rPr>
                <w:rFonts w:ascii="Aptos" w:hAnsi="Aptos"/>
                <w:b/>
                <w:color w:val="FFFFFF"/>
                <w:sz w:val="14"/>
              </w:rPr>
              <w:t>Boundary rule</w:t>
            </w:r>
          </w:p>
        </w:tc>
      </w:tr>
      <w:tr>
        <w:trPr>
          <w:cantSplit/>
        </w:trPr>
        <w:tc>
          <w:tcPr>
            <w:tcW w:type="dxa" w:w="3331"/>
            <w:tcMar>
              <w:top w:w="80" w:type="dxa"/>
              <w:start w:w="90" w:type="dxa"/>
              <w:bottom w:w="80" w:type="dxa"/>
              <w:end w:w="90" w:type="dxa"/>
            </w:tcMar>
            <w:vAlign w:val="top"/>
            <w:shd w:fill="F7F9FB"/>
          </w:tcPr>
          <w:p>
            <w:pPr>
              <w:spacing w:after="30"/>
            </w:pPr>
            <w:r>
              <w:rPr>
                <w:rFonts w:ascii="Aptos" w:hAnsi="Aptos"/>
                <w:color w:val="232D38"/>
                <w:sz w:val="14"/>
              </w:rPr>
              <w:t>FL-1 — Institution channel/API</w:t>
            </w:r>
          </w:p>
        </w:tc>
        <w:tc>
          <w:tcPr>
            <w:tcW w:type="dxa" w:w="3331"/>
            <w:tcMar>
              <w:top w:w="80" w:type="dxa"/>
              <w:start w:w="90" w:type="dxa"/>
              <w:bottom w:w="80" w:type="dxa"/>
              <w:end w:w="90" w:type="dxa"/>
            </w:tcMar>
            <w:vAlign w:val="top"/>
            <w:shd w:fill="F7F9FB"/>
          </w:tcPr>
          <w:p>
            <w:pPr>
              <w:spacing w:after="30"/>
            </w:pPr>
            <w:r>
              <w:rPr>
                <w:rFonts w:ascii="Aptos" w:hAnsi="Aptos"/>
                <w:color w:val="232D38"/>
                <w:sz w:val="14"/>
              </w:rPr>
              <w:t>Authenticated intake, UI/API and institution context.</w:t>
            </w:r>
          </w:p>
        </w:tc>
        <w:tc>
          <w:tcPr>
            <w:tcW w:type="dxa" w:w="3331"/>
            <w:tcMar>
              <w:top w:w="80" w:type="dxa"/>
              <w:start w:w="90" w:type="dxa"/>
              <w:bottom w:w="80" w:type="dxa"/>
              <w:end w:w="90" w:type="dxa"/>
            </w:tcMar>
            <w:vAlign w:val="top"/>
            <w:shd w:fill="F7F9FB"/>
          </w:tcPr>
          <w:p>
            <w:pPr>
              <w:spacing w:after="30"/>
            </w:pPr>
            <w:r>
              <w:rPr>
                <w:rFonts w:ascii="Aptos" w:hAnsi="Aptos"/>
                <w:color w:val="232D38"/>
                <w:sz w:val="14"/>
              </w:rPr>
              <w:t>UI cannot decide authority or mutate canonical financial state directly.</w:t>
            </w:r>
          </w:p>
        </w:tc>
      </w:tr>
      <w:tr>
        <w:trPr>
          <w:cantSplit/>
        </w:trPr>
        <w:tc>
          <w:tcPr>
            <w:tcW w:type="dxa" w:w="3331"/>
            <w:tcMar>
              <w:top w:w="80" w:type="dxa"/>
              <w:start w:w="90" w:type="dxa"/>
              <w:bottom w:w="80" w:type="dxa"/>
              <w:end w:w="90" w:type="dxa"/>
            </w:tcMar>
            <w:vAlign w:val="top"/>
          </w:tcPr>
          <w:p>
            <w:pPr>
              <w:spacing w:after="30"/>
            </w:pPr>
            <w:r>
              <w:rPr>
                <w:rFonts w:ascii="Aptos" w:hAnsi="Aptos"/>
                <w:color w:val="232D38"/>
                <w:sz w:val="14"/>
              </w:rPr>
              <w:t>FL-2 — Bank Gateway / translation</w:t>
            </w:r>
          </w:p>
        </w:tc>
        <w:tc>
          <w:tcPr>
            <w:tcW w:type="dxa" w:w="3331"/>
            <w:tcMar>
              <w:top w:w="80" w:type="dxa"/>
              <w:start w:w="90" w:type="dxa"/>
              <w:bottom w:w="80" w:type="dxa"/>
              <w:end w:w="90" w:type="dxa"/>
            </w:tcMar>
            <w:vAlign w:val="top"/>
          </w:tcPr>
          <w:p>
            <w:pPr>
              <w:spacing w:after="30"/>
            </w:pPr>
            <w:r>
              <w:rPr>
                <w:rFonts w:ascii="Aptos" w:hAnsi="Aptos"/>
                <w:color w:val="232D38"/>
                <w:sz w:val="14"/>
              </w:rPr>
              <w:t>Normalize incoming bank/rail instructions and translate responses.</w:t>
            </w:r>
          </w:p>
        </w:tc>
        <w:tc>
          <w:tcPr>
            <w:tcW w:type="dxa" w:w="3331"/>
            <w:tcMar>
              <w:top w:w="80" w:type="dxa"/>
              <w:start w:w="90" w:type="dxa"/>
              <w:bottom w:w="80" w:type="dxa"/>
              <w:end w:w="90" w:type="dxa"/>
            </w:tcMar>
            <w:vAlign w:val="top"/>
          </w:tcPr>
          <w:p>
            <w:pPr>
              <w:spacing w:after="30"/>
            </w:pPr>
            <w:r>
              <w:rPr>
                <w:rFonts w:ascii="Aptos" w:hAnsi="Aptos"/>
                <w:color w:val="232D38"/>
                <w:sz w:val="14"/>
              </w:rPr>
              <w:t>Translation preserves the asset’s original legal classification and source reference.</w:t>
            </w:r>
          </w:p>
        </w:tc>
      </w:tr>
      <w:tr>
        <w:trPr>
          <w:cantSplit/>
        </w:trPr>
        <w:tc>
          <w:tcPr>
            <w:tcW w:type="dxa" w:w="3331"/>
            <w:tcMar>
              <w:top w:w="80" w:type="dxa"/>
              <w:start w:w="90" w:type="dxa"/>
              <w:bottom w:w="80" w:type="dxa"/>
              <w:end w:w="90" w:type="dxa"/>
            </w:tcMar>
            <w:vAlign w:val="top"/>
            <w:shd w:fill="F7F9FB"/>
          </w:tcPr>
          <w:p>
            <w:pPr>
              <w:spacing w:after="30"/>
            </w:pPr>
            <w:r>
              <w:rPr>
                <w:rFonts w:ascii="Aptos" w:hAnsi="Aptos"/>
                <w:color w:val="232D38"/>
                <w:sz w:val="14"/>
              </w:rPr>
              <w:t>FL-3 — Identity, eligibility and policy</w:t>
            </w:r>
          </w:p>
        </w:tc>
        <w:tc>
          <w:tcPr>
            <w:tcW w:type="dxa" w:w="3331"/>
            <w:tcMar>
              <w:top w:w="80" w:type="dxa"/>
              <w:start w:w="90" w:type="dxa"/>
              <w:bottom w:w="80" w:type="dxa"/>
              <w:end w:w="90" w:type="dxa"/>
            </w:tcMar>
            <w:vAlign w:val="top"/>
            <w:shd w:fill="F7F9FB"/>
          </w:tcPr>
          <w:p>
            <w:pPr>
              <w:spacing w:after="30"/>
            </w:pPr>
            <w:r>
              <w:rPr>
                <w:rFonts w:ascii="Aptos" w:hAnsi="Aptos"/>
                <w:color w:val="232D38"/>
                <w:sz w:val="14"/>
              </w:rPr>
              <w:t>Institution, role, jurisdiction, counterparty, asset, limits, compliance prerequisites and policy version.</w:t>
            </w:r>
          </w:p>
        </w:tc>
        <w:tc>
          <w:tcPr>
            <w:tcW w:type="dxa" w:w="3331"/>
            <w:tcMar>
              <w:top w:w="80" w:type="dxa"/>
              <w:start w:w="90" w:type="dxa"/>
              <w:bottom w:w="80" w:type="dxa"/>
              <w:end w:w="90" w:type="dxa"/>
            </w:tcMar>
            <w:vAlign w:val="top"/>
            <w:shd w:fill="F7F9FB"/>
          </w:tcPr>
          <w:p>
            <w:pPr>
              <w:spacing w:after="30"/>
            </w:pPr>
            <w:r>
              <w:rPr>
                <w:rFonts w:ascii="Aptos" w:hAnsi="Aptos"/>
                <w:color w:val="232D38"/>
                <w:sz w:val="14"/>
              </w:rPr>
              <w:t>Hard constraints precede scoring; unknown required conditions block/hold.</w:t>
            </w:r>
          </w:p>
        </w:tc>
      </w:tr>
      <w:tr>
        <w:trPr>
          <w:cantSplit/>
        </w:trPr>
        <w:tc>
          <w:tcPr>
            <w:tcW w:type="dxa" w:w="3331"/>
            <w:tcMar>
              <w:top w:w="80" w:type="dxa"/>
              <w:start w:w="90" w:type="dxa"/>
              <w:bottom w:w="80" w:type="dxa"/>
              <w:end w:w="90" w:type="dxa"/>
            </w:tcMar>
            <w:vAlign w:val="top"/>
          </w:tcPr>
          <w:p>
            <w:pPr>
              <w:spacing w:after="30"/>
            </w:pPr>
            <w:r>
              <w:rPr>
                <w:rFonts w:ascii="Aptos" w:hAnsi="Aptos"/>
                <w:color w:val="232D38"/>
                <w:sz w:val="14"/>
              </w:rPr>
              <w:t>FL-4 — Route/liquidity decision support</w:t>
            </w:r>
          </w:p>
        </w:tc>
        <w:tc>
          <w:tcPr>
            <w:tcW w:type="dxa" w:w="3331"/>
            <w:tcMar>
              <w:top w:w="80" w:type="dxa"/>
              <w:start w:w="90" w:type="dxa"/>
              <w:bottom w:w="80" w:type="dxa"/>
              <w:end w:w="90" w:type="dxa"/>
            </w:tcMar>
            <w:vAlign w:val="top"/>
          </w:tcPr>
          <w:p>
            <w:pPr>
              <w:spacing w:after="30"/>
            </w:pPr>
            <w:r>
              <w:rPr>
                <w:rFonts w:ascii="Aptos" w:hAnsi="Aptos"/>
                <w:color w:val="232D38"/>
                <w:sz w:val="14"/>
              </w:rPr>
              <w:t>Rank eligible routes and disclose cost/time/cutoff/exposure trade-offs.</w:t>
            </w:r>
          </w:p>
        </w:tc>
        <w:tc>
          <w:tcPr>
            <w:tcW w:type="dxa" w:w="3331"/>
            <w:tcMar>
              <w:top w:w="80" w:type="dxa"/>
              <w:start w:w="90" w:type="dxa"/>
              <w:bottom w:w="80" w:type="dxa"/>
              <w:end w:w="90" w:type="dxa"/>
            </w:tcMar>
            <w:vAlign w:val="top"/>
          </w:tcPr>
          <w:p>
            <w:pPr>
              <w:spacing w:after="30"/>
            </w:pPr>
            <w:r>
              <w:rPr>
                <w:rFonts w:ascii="Aptos" w:hAnsi="Aptos"/>
                <w:color w:val="232D38"/>
                <w:sz w:val="14"/>
              </w:rPr>
              <w:t>Optimizer cannot override legal, compliance, finality or backing invariants.</w:t>
            </w:r>
          </w:p>
        </w:tc>
      </w:tr>
      <w:tr>
        <w:trPr>
          <w:cantSplit/>
        </w:trPr>
        <w:tc>
          <w:tcPr>
            <w:tcW w:type="dxa" w:w="3331"/>
            <w:tcMar>
              <w:top w:w="80" w:type="dxa"/>
              <w:start w:w="90" w:type="dxa"/>
              <w:bottom w:w="80" w:type="dxa"/>
              <w:end w:w="90" w:type="dxa"/>
            </w:tcMar>
            <w:vAlign w:val="top"/>
            <w:shd w:fill="F7F9FB"/>
          </w:tcPr>
          <w:p>
            <w:pPr>
              <w:spacing w:after="30"/>
            </w:pPr>
            <w:r>
              <w:rPr>
                <w:rFonts w:ascii="Aptos" w:hAnsi="Aptos"/>
                <w:color w:val="232D38"/>
                <w:sz w:val="14"/>
              </w:rPr>
              <w:t>FL-5 — Workflow and rail adapters</w:t>
            </w:r>
          </w:p>
        </w:tc>
        <w:tc>
          <w:tcPr>
            <w:tcW w:type="dxa" w:w="3331"/>
            <w:tcMar>
              <w:top w:w="80" w:type="dxa"/>
              <w:start w:w="90" w:type="dxa"/>
              <w:bottom w:w="80" w:type="dxa"/>
              <w:end w:w="90" w:type="dxa"/>
            </w:tcMar>
            <w:vAlign w:val="top"/>
            <w:shd w:fill="F7F9FB"/>
          </w:tcPr>
          <w:p>
            <w:pPr>
              <w:spacing w:after="30"/>
            </w:pPr>
            <w:r>
              <w:rPr>
                <w:rFonts w:ascii="Aptos" w:hAnsi="Aptos"/>
                <w:color w:val="232D38"/>
                <w:sz w:val="14"/>
              </w:rPr>
              <w:t>Durable asynchronous coordination and domain-specific rail/provider integration.</w:t>
            </w:r>
          </w:p>
        </w:tc>
        <w:tc>
          <w:tcPr>
            <w:tcW w:type="dxa" w:w="3331"/>
            <w:tcMar>
              <w:top w:w="80" w:type="dxa"/>
              <w:start w:w="90" w:type="dxa"/>
              <w:bottom w:w="80" w:type="dxa"/>
              <w:end w:w="90" w:type="dxa"/>
            </w:tcMar>
            <w:vAlign w:val="top"/>
            <w:shd w:fill="F7F9FB"/>
          </w:tcPr>
          <w:p>
            <w:pPr>
              <w:spacing w:after="30"/>
            </w:pPr>
            <w:r>
              <w:rPr>
                <w:rFonts w:ascii="Aptos" w:hAnsi="Aptos"/>
                <w:color w:val="232D38"/>
                <w:sz w:val="14"/>
              </w:rPr>
              <w:t>At-least-once is expected; each side effect needs idempotency or a documented compensation.</w:t>
            </w:r>
          </w:p>
        </w:tc>
      </w:tr>
      <w:tr>
        <w:trPr>
          <w:cantSplit/>
        </w:trPr>
        <w:tc>
          <w:tcPr>
            <w:tcW w:type="dxa" w:w="3331"/>
            <w:tcMar>
              <w:top w:w="80" w:type="dxa"/>
              <w:start w:w="90" w:type="dxa"/>
              <w:bottom w:w="80" w:type="dxa"/>
              <w:end w:w="90" w:type="dxa"/>
            </w:tcMar>
            <w:vAlign w:val="top"/>
          </w:tcPr>
          <w:p>
            <w:pPr>
              <w:spacing w:after="30"/>
            </w:pPr>
            <w:r>
              <w:rPr>
                <w:rFonts w:ascii="Aptos" w:hAnsi="Aptos"/>
                <w:color w:val="232D38"/>
                <w:sz w:val="14"/>
              </w:rPr>
              <w:t>FL-6 — Canonical state, obligations, evidence and reconciliation</w:t>
            </w:r>
          </w:p>
        </w:tc>
        <w:tc>
          <w:tcPr>
            <w:tcW w:type="dxa" w:w="3331"/>
            <w:tcMar>
              <w:top w:w="80" w:type="dxa"/>
              <w:start w:w="90" w:type="dxa"/>
              <w:bottom w:w="80" w:type="dxa"/>
              <w:end w:w="90" w:type="dxa"/>
            </w:tcMar>
            <w:vAlign w:val="top"/>
          </w:tcPr>
          <w:p>
            <w:pPr>
              <w:spacing w:after="30"/>
            </w:pPr>
            <w:r>
              <w:rPr>
                <w:rFonts w:ascii="Aptos" w:hAnsi="Aptos"/>
                <w:color w:val="232D38"/>
                <w:sz w:val="14"/>
              </w:rPr>
              <w:t>Authoritative transaction state and linked financial/evidence records.</w:t>
            </w:r>
          </w:p>
        </w:tc>
        <w:tc>
          <w:tcPr>
            <w:tcW w:type="dxa" w:w="3331"/>
            <w:tcMar>
              <w:top w:w="80" w:type="dxa"/>
              <w:start w:w="90" w:type="dxa"/>
              <w:bottom w:w="80" w:type="dxa"/>
              <w:end w:w="90" w:type="dxa"/>
            </w:tcMar>
            <w:vAlign w:val="top"/>
          </w:tcPr>
          <w:p>
            <w:pPr>
              <w:spacing w:after="30"/>
            </w:pPr>
            <w:r>
              <w:rPr>
                <w:rFonts w:ascii="Aptos" w:hAnsi="Aptos"/>
                <w:color w:val="232D38"/>
                <w:sz w:val="14"/>
              </w:rPr>
              <w:t>One authoritative financial writer; projections are rebuildable and non-authoritative.</w:t>
            </w:r>
          </w:p>
        </w:tc>
      </w:tr>
      <w:tr>
        <w:trPr>
          <w:cantSplit/>
        </w:trPr>
        <w:tc>
          <w:tcPr>
            <w:tcW w:type="dxa" w:w="3331"/>
            <w:tcMar>
              <w:top w:w="80" w:type="dxa"/>
              <w:start w:w="90" w:type="dxa"/>
              <w:bottom w:w="80" w:type="dxa"/>
              <w:end w:w="90" w:type="dxa"/>
            </w:tcMar>
            <w:vAlign w:val="top"/>
            <w:shd w:fill="F7F9FB"/>
          </w:tcPr>
          <w:p>
            <w:pPr>
              <w:spacing w:after="30"/>
            </w:pPr>
            <w:r>
              <w:rPr>
                <w:rFonts w:ascii="Aptos" w:hAnsi="Aptos"/>
                <w:color w:val="232D38"/>
                <w:sz w:val="14"/>
              </w:rPr>
              <w:t>FL-7 — Governance, continuity, observability and replay</w:t>
            </w:r>
          </w:p>
        </w:tc>
        <w:tc>
          <w:tcPr>
            <w:tcW w:type="dxa" w:w="3331"/>
            <w:tcMar>
              <w:top w:w="80" w:type="dxa"/>
              <w:start w:w="90" w:type="dxa"/>
              <w:bottom w:w="80" w:type="dxa"/>
              <w:end w:w="90" w:type="dxa"/>
            </w:tcMar>
            <w:vAlign w:val="top"/>
            <w:shd w:fill="F7F9FB"/>
          </w:tcPr>
          <w:p>
            <w:pPr>
              <w:spacing w:after="30"/>
            </w:pPr>
            <w:r>
              <w:rPr>
                <w:rFonts w:ascii="Aptos" w:hAnsi="Aptos"/>
                <w:color w:val="232D38"/>
                <w:sz w:val="14"/>
              </w:rPr>
              <w:t>Policy lifecycle, audit, incident response, recovery, reporting and historical replay.</w:t>
            </w:r>
          </w:p>
        </w:tc>
        <w:tc>
          <w:tcPr>
            <w:tcW w:type="dxa" w:w="3331"/>
            <w:tcMar>
              <w:top w:w="80" w:type="dxa"/>
              <w:start w:w="90" w:type="dxa"/>
              <w:bottom w:w="80" w:type="dxa"/>
              <w:end w:w="90" w:type="dxa"/>
            </w:tcMar>
            <w:vAlign w:val="top"/>
            <w:shd w:fill="F7F9FB"/>
          </w:tcPr>
          <w:p>
            <w:pPr>
              <w:spacing w:after="30"/>
            </w:pPr>
            <w:r>
              <w:rPr>
                <w:rFonts w:ascii="Aptos" w:hAnsi="Aptos"/>
                <w:color w:val="232D38"/>
                <w:sz w:val="14"/>
              </w:rPr>
              <w:t>Logs/green dashboards do not replace source evidence or independent assurance.</w:t>
            </w:r>
          </w:p>
        </w:tc>
      </w:tr>
    </w:tbl>
    <w:p>
      <w:pPr>
        <w:spacing w:after="0"/>
      </w:pPr>
    </w:p>
    <w:p>
      <w:r>
        <w:rPr>
          <w:i w:val="0"/>
        </w:rPr>
        <w:t>A seven-layer architecture does not mean seven independent security domains. In security reviews, enumerate shared service accounts, root privileges, database roles, CI/CD deploy permissions, secret access, log administrators and human break-glass pathways. If one identity can approve policy, deploy code, alter evidence and execute a consequential action, segregation is not achieved.</w:t>
      </w:r>
    </w:p>
    <w:p>
      <w:pPr>
        <w:pStyle w:val="Heading1"/>
      </w:pPr>
      <w:r>
        <w:t>PART II — Canonical Domain Model and Legal-Obligation Topology</w:t>
      </w:r>
    </w:p>
    <w:p>
      <w:pPr>
        <w:pStyle w:val="Heading2"/>
      </w:pPr>
      <w:r>
        <w:t>2.1 Participants and roles</w:t>
      </w:r>
    </w:p>
    <w:p>
      <w:r>
        <w:rPr>
          <w:i w:val="0"/>
        </w:rPr>
        <w:t>Model legal and operational roles separately. An organization may perform multiple roles only where permitted, documented and approved. Do not infer role equivalence from a shared name, domain, owner or API credential.</w:t>
      </w:r>
    </w:p>
    <w:tbl>
      <w:tblPr>
        <w:tblStyle w:val="TableGrid"/>
        <w:tblW w:type="auto" w:w="0"/>
        <w:jc w:val="center"/>
        <w:tblLook w:firstColumn="1" w:firstRow="1" w:lastColumn="0" w:lastRow="0" w:noHBand="0" w:noVBand="1" w:val="04A0"/>
      </w:tblPr>
      <w:tblGrid>
        <w:gridCol w:w="3331"/>
        <w:gridCol w:w="3331"/>
        <w:gridCol w:w="3331"/>
      </w:tblGrid>
      <w:tr>
        <w:trPr>
          <w:tblHeader w:val="true"/>
          <w:cantSplit/>
        </w:trPr>
        <w:tc>
          <w:tcPr>
            <w:tcW w:type="dxa" w:w="2160"/>
            <w:shd w:fill="07111F"/>
            <w:tcMar>
              <w:top w:w="80" w:type="dxa"/>
              <w:start w:w="90" w:type="dxa"/>
              <w:bottom w:w="80" w:type="dxa"/>
              <w:end w:w="90" w:type="dxa"/>
            </w:tcMar>
            <w:vAlign w:val="center"/>
          </w:tcPr>
          <w:p>
            <w:r>
              <w:rPr>
                <w:rFonts w:ascii="Aptos" w:hAnsi="Aptos"/>
                <w:b/>
                <w:color w:val="FFFFFF"/>
                <w:sz w:val="14"/>
              </w:rPr>
              <w:t>Role</w:t>
            </w:r>
          </w:p>
        </w:tc>
        <w:tc>
          <w:tcPr>
            <w:tcW w:type="dxa" w:w="3528"/>
            <w:shd w:fill="07111F"/>
            <w:tcMar>
              <w:top w:w="80" w:type="dxa"/>
              <w:start w:w="90" w:type="dxa"/>
              <w:bottom w:w="80" w:type="dxa"/>
              <w:end w:w="90" w:type="dxa"/>
            </w:tcMar>
            <w:vAlign w:val="center"/>
          </w:tcPr>
          <w:p>
            <w:r>
              <w:rPr>
                <w:rFonts w:ascii="Aptos" w:hAnsi="Aptos"/>
                <w:b/>
                <w:color w:val="FFFFFF"/>
                <w:sz w:val="14"/>
              </w:rPr>
              <w:t>Core responsibility</w:t>
            </w:r>
          </w:p>
        </w:tc>
        <w:tc>
          <w:tcPr>
            <w:tcW w:type="dxa" w:w="4248"/>
            <w:shd w:fill="07111F"/>
            <w:tcMar>
              <w:top w:w="80" w:type="dxa"/>
              <w:start w:w="90" w:type="dxa"/>
              <w:bottom w:w="80" w:type="dxa"/>
              <w:end w:w="90" w:type="dxa"/>
            </w:tcMar>
            <w:vAlign w:val="center"/>
          </w:tcPr>
          <w:p>
            <w:r>
              <w:rPr>
                <w:rFonts w:ascii="Aptos" w:hAnsi="Aptos"/>
                <w:b/>
                <w:color w:val="FFFFFF"/>
                <w:sz w:val="14"/>
              </w:rPr>
              <w:t>Evidence needed before relying on role</w:t>
            </w:r>
          </w:p>
        </w:tc>
      </w:tr>
      <w:tr>
        <w:trPr>
          <w:cantSplit/>
        </w:trPr>
        <w:tc>
          <w:tcPr>
            <w:tcW w:type="dxa" w:w="3331"/>
            <w:tcMar>
              <w:top w:w="80" w:type="dxa"/>
              <w:start w:w="90" w:type="dxa"/>
              <w:bottom w:w="80" w:type="dxa"/>
              <w:end w:w="90" w:type="dxa"/>
            </w:tcMar>
            <w:vAlign w:val="top"/>
            <w:shd w:fill="F7F9FB"/>
          </w:tcPr>
          <w:p>
            <w:pPr>
              <w:spacing w:after="30"/>
            </w:pPr>
            <w:r>
              <w:rPr>
                <w:rFonts w:ascii="Aptos" w:hAnsi="Aptos"/>
                <w:color w:val="232D38"/>
                <w:sz w:val="14"/>
              </w:rPr>
              <w:t>Originating institution</w:t>
            </w:r>
          </w:p>
        </w:tc>
        <w:tc>
          <w:tcPr>
            <w:tcW w:type="dxa" w:w="3331"/>
            <w:tcMar>
              <w:top w:w="80" w:type="dxa"/>
              <w:start w:w="90" w:type="dxa"/>
              <w:bottom w:w="80" w:type="dxa"/>
              <w:end w:w="90" w:type="dxa"/>
            </w:tcMar>
            <w:vAlign w:val="top"/>
            <w:shd w:fill="F7F9FB"/>
          </w:tcPr>
          <w:p>
            <w:pPr>
              <w:spacing w:after="30"/>
            </w:pPr>
            <w:r>
              <w:rPr>
                <w:rFonts w:ascii="Aptos" w:hAnsi="Aptos"/>
                <w:color w:val="232D38"/>
                <w:sz w:val="14"/>
              </w:rPr>
              <w:t>Creates/submits an instruction and attests to origin context.</w:t>
            </w:r>
          </w:p>
        </w:tc>
        <w:tc>
          <w:tcPr>
            <w:tcW w:type="dxa" w:w="3331"/>
            <w:tcMar>
              <w:top w:w="80" w:type="dxa"/>
              <w:start w:w="90" w:type="dxa"/>
              <w:bottom w:w="80" w:type="dxa"/>
              <w:end w:w="90" w:type="dxa"/>
            </w:tcMar>
            <w:vAlign w:val="top"/>
            <w:shd w:fill="F7F9FB"/>
          </w:tcPr>
          <w:p>
            <w:pPr>
              <w:spacing w:after="30"/>
            </w:pPr>
            <w:r>
              <w:rPr>
                <w:rFonts w:ascii="Aptos" w:hAnsi="Aptos"/>
                <w:color w:val="232D38"/>
                <w:sz w:val="14"/>
              </w:rPr>
              <w:t>Verified contracted identity, authorized API/client, account/participant scope, signer and source reference.</w:t>
            </w:r>
          </w:p>
        </w:tc>
      </w:tr>
      <w:tr>
        <w:trPr>
          <w:cantSplit/>
        </w:trPr>
        <w:tc>
          <w:tcPr>
            <w:tcW w:type="dxa" w:w="3331"/>
            <w:tcMar>
              <w:top w:w="80" w:type="dxa"/>
              <w:start w:w="90" w:type="dxa"/>
              <w:bottom w:w="80" w:type="dxa"/>
              <w:end w:w="90" w:type="dxa"/>
            </w:tcMar>
            <w:vAlign w:val="top"/>
          </w:tcPr>
          <w:p>
            <w:pPr>
              <w:spacing w:after="30"/>
            </w:pPr>
            <w:r>
              <w:rPr>
                <w:rFonts w:ascii="Aptos" w:hAnsi="Aptos"/>
                <w:color w:val="232D38"/>
                <w:sz w:val="14"/>
              </w:rPr>
              <w:t>Obligor</w:t>
            </w:r>
          </w:p>
        </w:tc>
        <w:tc>
          <w:tcPr>
            <w:tcW w:type="dxa" w:w="3331"/>
            <w:tcMar>
              <w:top w:w="80" w:type="dxa"/>
              <w:start w:w="90" w:type="dxa"/>
              <w:bottom w:w="80" w:type="dxa"/>
              <w:end w:w="90" w:type="dxa"/>
            </w:tcMar>
            <w:vAlign w:val="top"/>
          </w:tcPr>
          <w:p>
            <w:pPr>
              <w:spacing w:after="30"/>
            </w:pPr>
            <w:r>
              <w:rPr>
                <w:rFonts w:ascii="Aptos" w:hAnsi="Aptos"/>
                <w:color w:val="232D38"/>
                <w:sz w:val="14"/>
              </w:rPr>
              <w:t>Legally owes the settlement/MTQ obligation.</w:t>
            </w:r>
          </w:p>
        </w:tc>
        <w:tc>
          <w:tcPr>
            <w:tcW w:type="dxa" w:w="3331"/>
            <w:tcMar>
              <w:top w:w="80" w:type="dxa"/>
              <w:start w:w="90" w:type="dxa"/>
              <w:bottom w:w="80" w:type="dxa"/>
              <w:end w:w="90" w:type="dxa"/>
            </w:tcMar>
            <w:vAlign w:val="top"/>
          </w:tcPr>
          <w:p>
            <w:pPr>
              <w:spacing w:after="30"/>
            </w:pPr>
            <w:r>
              <w:rPr>
                <w:rFonts w:ascii="Aptos" w:hAnsi="Aptos"/>
                <w:color w:val="232D38"/>
                <w:sz w:val="14"/>
              </w:rPr>
              <w:t>Primary legal instrument, counsel-validated classification, obligation terms and insolvency treatment.</w:t>
            </w:r>
          </w:p>
        </w:tc>
      </w:tr>
      <w:tr>
        <w:trPr>
          <w:cantSplit/>
        </w:trPr>
        <w:tc>
          <w:tcPr>
            <w:tcW w:type="dxa" w:w="3331"/>
            <w:tcMar>
              <w:top w:w="80" w:type="dxa"/>
              <w:start w:w="90" w:type="dxa"/>
              <w:bottom w:w="80" w:type="dxa"/>
              <w:end w:w="90" w:type="dxa"/>
            </w:tcMar>
            <w:vAlign w:val="top"/>
            <w:shd w:fill="F7F9FB"/>
          </w:tcPr>
          <w:p>
            <w:pPr>
              <w:spacing w:after="30"/>
            </w:pPr>
            <w:r>
              <w:rPr>
                <w:rFonts w:ascii="Aptos" w:hAnsi="Aptos"/>
                <w:color w:val="232D38"/>
                <w:sz w:val="14"/>
              </w:rPr>
              <w:t>Backing owner</w:t>
            </w:r>
          </w:p>
        </w:tc>
        <w:tc>
          <w:tcPr>
            <w:tcW w:type="dxa" w:w="3331"/>
            <w:tcMar>
              <w:top w:w="80" w:type="dxa"/>
              <w:start w:w="90" w:type="dxa"/>
              <w:bottom w:w="80" w:type="dxa"/>
              <w:end w:w="90" w:type="dxa"/>
            </w:tcMar>
            <w:vAlign w:val="top"/>
            <w:shd w:fill="F7F9FB"/>
          </w:tcPr>
          <w:p>
            <w:pPr>
              <w:spacing w:after="30"/>
            </w:pPr>
            <w:r>
              <w:rPr>
                <w:rFonts w:ascii="Aptos" w:hAnsi="Aptos"/>
                <w:color w:val="232D38"/>
                <w:sz w:val="14"/>
              </w:rPr>
              <w:t>Owns the asset or legally recognized claim used as backing.</w:t>
            </w:r>
          </w:p>
        </w:tc>
        <w:tc>
          <w:tcPr>
            <w:tcW w:type="dxa" w:w="3331"/>
            <w:tcMar>
              <w:top w:w="80" w:type="dxa"/>
              <w:start w:w="90" w:type="dxa"/>
              <w:bottom w:w="80" w:type="dxa"/>
              <w:end w:w="90" w:type="dxa"/>
            </w:tcMar>
            <w:vAlign w:val="top"/>
            <w:shd w:fill="F7F9FB"/>
          </w:tcPr>
          <w:p>
            <w:pPr>
              <w:spacing w:after="30"/>
            </w:pPr>
            <w:r>
              <w:rPr>
                <w:rFonts w:ascii="Aptos" w:hAnsi="Aptos"/>
                <w:color w:val="232D38"/>
                <w:sz w:val="14"/>
              </w:rPr>
              <w:t>Ownership evidence, statements and restrictions.</w:t>
            </w:r>
          </w:p>
        </w:tc>
      </w:tr>
      <w:tr>
        <w:trPr>
          <w:cantSplit/>
        </w:trPr>
        <w:tc>
          <w:tcPr>
            <w:tcW w:type="dxa" w:w="3331"/>
            <w:tcMar>
              <w:top w:w="80" w:type="dxa"/>
              <w:start w:w="90" w:type="dxa"/>
              <w:bottom w:w="80" w:type="dxa"/>
              <w:end w:w="90" w:type="dxa"/>
            </w:tcMar>
            <w:vAlign w:val="top"/>
          </w:tcPr>
          <w:p>
            <w:pPr>
              <w:spacing w:after="30"/>
            </w:pPr>
            <w:r>
              <w:rPr>
                <w:rFonts w:ascii="Aptos" w:hAnsi="Aptos"/>
                <w:color w:val="232D38"/>
                <w:sz w:val="14"/>
              </w:rPr>
              <w:t>Custodian/account bank</w:t>
            </w:r>
          </w:p>
        </w:tc>
        <w:tc>
          <w:tcPr>
            <w:tcW w:type="dxa" w:w="3331"/>
            <w:tcMar>
              <w:top w:w="80" w:type="dxa"/>
              <w:start w:w="90" w:type="dxa"/>
              <w:bottom w:w="80" w:type="dxa"/>
              <w:end w:w="90" w:type="dxa"/>
            </w:tcMar>
            <w:vAlign w:val="top"/>
          </w:tcPr>
          <w:p>
            <w:pPr>
              <w:spacing w:after="30"/>
            </w:pPr>
            <w:r>
              <w:rPr>
                <w:rFonts w:ascii="Aptos" w:hAnsi="Aptos"/>
                <w:color w:val="232D38"/>
                <w:sz w:val="14"/>
              </w:rPr>
              <w:t>Holds or administers backing/accounts.</w:t>
            </w:r>
          </w:p>
        </w:tc>
        <w:tc>
          <w:tcPr>
            <w:tcW w:type="dxa" w:w="3331"/>
            <w:tcMar>
              <w:top w:w="80" w:type="dxa"/>
              <w:start w:w="90" w:type="dxa"/>
              <w:bottom w:w="80" w:type="dxa"/>
              <w:end w:w="90" w:type="dxa"/>
            </w:tcMar>
            <w:vAlign w:val="top"/>
          </w:tcPr>
          <w:p>
            <w:pPr>
              <w:spacing w:after="30"/>
            </w:pPr>
            <w:r>
              <w:rPr>
                <w:rFonts w:ascii="Aptos" w:hAnsi="Aptos"/>
                <w:color w:val="232D38"/>
                <w:sz w:val="14"/>
              </w:rPr>
              <w:t>Executed custody/account agreement, control rights, statements, release/freeze controls and service levels.</w:t>
            </w:r>
          </w:p>
        </w:tc>
      </w:tr>
      <w:tr>
        <w:trPr>
          <w:cantSplit/>
        </w:trPr>
        <w:tc>
          <w:tcPr>
            <w:tcW w:type="dxa" w:w="3331"/>
            <w:tcMar>
              <w:top w:w="80" w:type="dxa"/>
              <w:start w:w="90" w:type="dxa"/>
              <w:bottom w:w="80" w:type="dxa"/>
              <w:end w:w="90" w:type="dxa"/>
            </w:tcMar>
            <w:vAlign w:val="top"/>
            <w:shd w:fill="F7F9FB"/>
          </w:tcPr>
          <w:p>
            <w:pPr>
              <w:spacing w:after="30"/>
            </w:pPr>
            <w:r>
              <w:rPr>
                <w:rFonts w:ascii="Aptos" w:hAnsi="Aptos"/>
                <w:color w:val="232D38"/>
                <w:sz w:val="14"/>
              </w:rPr>
              <w:t>Redemption institution</w:t>
            </w:r>
          </w:p>
        </w:tc>
        <w:tc>
          <w:tcPr>
            <w:tcW w:type="dxa" w:w="3331"/>
            <w:tcMar>
              <w:top w:w="80" w:type="dxa"/>
              <w:start w:w="90" w:type="dxa"/>
              <w:bottom w:w="80" w:type="dxa"/>
              <w:end w:w="90" w:type="dxa"/>
            </w:tcMar>
            <w:vAlign w:val="top"/>
            <w:shd w:fill="F7F9FB"/>
          </w:tcPr>
          <w:p>
            <w:pPr>
              <w:spacing w:after="30"/>
            </w:pPr>
            <w:r>
              <w:rPr>
                <w:rFonts w:ascii="Aptos" w:hAnsi="Aptos"/>
                <w:color w:val="232D38"/>
                <w:sz w:val="14"/>
              </w:rPr>
              <w:t>Has a defined redemption role, if any.</w:t>
            </w:r>
          </w:p>
        </w:tc>
        <w:tc>
          <w:tcPr>
            <w:tcW w:type="dxa" w:w="3331"/>
            <w:tcMar>
              <w:top w:w="80" w:type="dxa"/>
              <w:start w:w="90" w:type="dxa"/>
              <w:bottom w:w="80" w:type="dxa"/>
              <w:end w:w="90" w:type="dxa"/>
            </w:tcMar>
            <w:vAlign w:val="top"/>
            <w:shd w:fill="F7F9FB"/>
          </w:tcPr>
          <w:p>
            <w:pPr>
              <w:spacing w:after="30"/>
            </w:pPr>
            <w:r>
              <w:rPr>
                <w:rFonts w:ascii="Aptos" w:hAnsi="Aptos"/>
                <w:color w:val="232D38"/>
                <w:sz w:val="14"/>
              </w:rPr>
              <w:t>Executed terms for eligible holders, asset/formula, timing, fees, limits, suspension, dispute and resolution.</w:t>
            </w:r>
          </w:p>
        </w:tc>
      </w:tr>
      <w:tr>
        <w:trPr>
          <w:cantSplit/>
        </w:trPr>
        <w:tc>
          <w:tcPr>
            <w:tcW w:type="dxa" w:w="3331"/>
            <w:tcMar>
              <w:top w:w="80" w:type="dxa"/>
              <w:start w:w="90" w:type="dxa"/>
              <w:bottom w:w="80" w:type="dxa"/>
              <w:end w:w="90" w:type="dxa"/>
            </w:tcMar>
            <w:vAlign w:val="top"/>
          </w:tcPr>
          <w:p>
            <w:pPr>
              <w:spacing w:after="30"/>
            </w:pPr>
            <w:r>
              <w:rPr>
                <w:rFonts w:ascii="Aptos" w:hAnsi="Aptos"/>
                <w:color w:val="232D38"/>
                <w:sz w:val="14"/>
              </w:rPr>
              <w:t>Settlement rail/network</w:t>
            </w:r>
          </w:p>
        </w:tc>
        <w:tc>
          <w:tcPr>
            <w:tcW w:type="dxa" w:w="3331"/>
            <w:tcMar>
              <w:top w:w="80" w:type="dxa"/>
              <w:start w:w="90" w:type="dxa"/>
              <w:bottom w:w="80" w:type="dxa"/>
              <w:end w:w="90" w:type="dxa"/>
            </w:tcMar>
            <w:vAlign w:val="top"/>
          </w:tcPr>
          <w:p>
            <w:pPr>
              <w:spacing w:after="30"/>
            </w:pPr>
            <w:r>
              <w:rPr>
                <w:rFonts w:ascii="Aptos" w:hAnsi="Aptos"/>
                <w:color w:val="232D38"/>
                <w:sz w:val="14"/>
              </w:rPr>
              <w:t>Executes or records settlement under its rules.</w:t>
            </w:r>
          </w:p>
        </w:tc>
        <w:tc>
          <w:tcPr>
            <w:tcW w:type="dxa" w:w="3331"/>
            <w:tcMar>
              <w:top w:w="80" w:type="dxa"/>
              <w:start w:w="90" w:type="dxa"/>
              <w:bottom w:w="80" w:type="dxa"/>
              <w:end w:w="90" w:type="dxa"/>
            </w:tcMar>
            <w:vAlign w:val="top"/>
          </w:tcPr>
          <w:p>
            <w:pPr>
              <w:spacing w:after="30"/>
            </w:pPr>
            <w:r>
              <w:rPr>
                <w:rFonts w:ascii="Aptos" w:hAnsi="Aptos"/>
                <w:color w:val="232D38"/>
                <w:sz w:val="14"/>
              </w:rPr>
              <w:t>Participant relationship, rail rules, API certification, finality evidence and outage/return procedures.</w:t>
            </w:r>
          </w:p>
        </w:tc>
      </w:tr>
      <w:tr>
        <w:trPr>
          <w:cantSplit/>
        </w:trPr>
        <w:tc>
          <w:tcPr>
            <w:tcW w:type="dxa" w:w="3331"/>
            <w:tcMar>
              <w:top w:w="80" w:type="dxa"/>
              <w:start w:w="90" w:type="dxa"/>
              <w:bottom w:w="80" w:type="dxa"/>
              <w:end w:w="90" w:type="dxa"/>
            </w:tcMar>
            <w:vAlign w:val="top"/>
            <w:shd w:fill="F7F9FB"/>
          </w:tcPr>
          <w:p>
            <w:pPr>
              <w:spacing w:after="30"/>
            </w:pPr>
            <w:r>
              <w:rPr>
                <w:rFonts w:ascii="Aptos" w:hAnsi="Aptos"/>
                <w:color w:val="232D38"/>
                <w:sz w:val="14"/>
              </w:rPr>
              <w:t>Receiving institution</w:t>
            </w:r>
          </w:p>
        </w:tc>
        <w:tc>
          <w:tcPr>
            <w:tcW w:type="dxa" w:w="3331"/>
            <w:tcMar>
              <w:top w:w="80" w:type="dxa"/>
              <w:start w:w="90" w:type="dxa"/>
              <w:bottom w:w="80" w:type="dxa"/>
              <w:end w:w="90" w:type="dxa"/>
            </w:tcMar>
            <w:vAlign w:val="top"/>
            <w:shd w:fill="F7F9FB"/>
          </w:tcPr>
          <w:p>
            <w:pPr>
              <w:spacing w:after="30"/>
            </w:pPr>
            <w:r>
              <w:rPr>
                <w:rFonts w:ascii="Aptos" w:hAnsi="Aptos"/>
                <w:color w:val="232D38"/>
                <w:sz w:val="14"/>
              </w:rPr>
              <w:t>Accepts/rejects according to its participant policy/legal domain.</w:t>
            </w:r>
          </w:p>
        </w:tc>
        <w:tc>
          <w:tcPr>
            <w:tcW w:type="dxa" w:w="3331"/>
            <w:tcMar>
              <w:top w:w="80" w:type="dxa"/>
              <w:start w:w="90" w:type="dxa"/>
              <w:bottom w:w="80" w:type="dxa"/>
              <w:end w:w="90" w:type="dxa"/>
            </w:tcMar>
            <w:vAlign w:val="top"/>
            <w:shd w:fill="F7F9FB"/>
          </w:tcPr>
          <w:p>
            <w:pPr>
              <w:spacing w:after="30"/>
            </w:pPr>
            <w:r>
              <w:rPr>
                <w:rFonts w:ascii="Aptos" w:hAnsi="Aptos"/>
                <w:color w:val="232D38"/>
                <w:sz w:val="14"/>
              </w:rPr>
              <w:t>Participant identity, acceptance policy, technical acknowledgement and applicable legal rule.</w:t>
            </w:r>
          </w:p>
        </w:tc>
      </w:tr>
      <w:tr>
        <w:trPr>
          <w:cantSplit/>
        </w:trPr>
        <w:tc>
          <w:tcPr>
            <w:tcW w:type="dxa" w:w="3331"/>
            <w:tcMar>
              <w:top w:w="80" w:type="dxa"/>
              <w:start w:w="90" w:type="dxa"/>
              <w:bottom w:w="80" w:type="dxa"/>
              <w:end w:w="90" w:type="dxa"/>
            </w:tcMar>
            <w:vAlign w:val="top"/>
          </w:tcPr>
          <w:p>
            <w:pPr>
              <w:spacing w:after="30"/>
            </w:pPr>
            <w:r>
              <w:rPr>
                <w:rFonts w:ascii="Aptos" w:hAnsi="Aptos"/>
                <w:color w:val="232D38"/>
                <w:sz w:val="14"/>
              </w:rPr>
              <w:t>MITHQAL operator</w:t>
            </w:r>
          </w:p>
        </w:tc>
        <w:tc>
          <w:tcPr>
            <w:tcW w:type="dxa" w:w="3331"/>
            <w:tcMar>
              <w:top w:w="80" w:type="dxa"/>
              <w:start w:w="90" w:type="dxa"/>
              <w:bottom w:w="80" w:type="dxa"/>
              <w:end w:w="90" w:type="dxa"/>
            </w:tcMar>
            <w:vAlign w:val="top"/>
          </w:tcPr>
          <w:p>
            <w:pPr>
              <w:spacing w:after="30"/>
            </w:pPr>
            <w:r>
              <w:rPr>
                <w:rFonts w:ascii="Aptos" w:hAnsi="Aptos"/>
                <w:color w:val="232D38"/>
                <w:sz w:val="14"/>
              </w:rPr>
              <w:t>Operates control-plane software and contracted functions.</w:t>
            </w:r>
          </w:p>
        </w:tc>
        <w:tc>
          <w:tcPr>
            <w:tcW w:type="dxa" w:w="3331"/>
            <w:tcMar>
              <w:top w:w="80" w:type="dxa"/>
              <w:start w:w="90" w:type="dxa"/>
              <w:bottom w:w="80" w:type="dxa"/>
              <w:end w:w="90" w:type="dxa"/>
            </w:tcMar>
            <w:vAlign w:val="top"/>
          </w:tcPr>
          <w:p>
            <w:pPr>
              <w:spacing w:after="30"/>
            </w:pPr>
            <w:r>
              <w:rPr>
                <w:rFonts w:ascii="Aptos" w:hAnsi="Aptos"/>
                <w:color w:val="232D38"/>
                <w:sz w:val="14"/>
              </w:rPr>
              <w:t>Entity authority, service contract, RACI, security controls and risk/insurance assessment.</w:t>
            </w:r>
          </w:p>
        </w:tc>
      </w:tr>
      <w:tr>
        <w:trPr>
          <w:cantSplit/>
        </w:trPr>
        <w:tc>
          <w:tcPr>
            <w:tcW w:type="dxa" w:w="3331"/>
            <w:tcMar>
              <w:top w:w="80" w:type="dxa"/>
              <w:start w:w="90" w:type="dxa"/>
              <w:bottom w:w="80" w:type="dxa"/>
              <w:end w:w="90" w:type="dxa"/>
            </w:tcMar>
            <w:vAlign w:val="top"/>
            <w:shd w:fill="F7F9FB"/>
          </w:tcPr>
          <w:p>
            <w:pPr>
              <w:spacing w:after="30"/>
            </w:pPr>
            <w:r>
              <w:rPr>
                <w:rFonts w:ascii="Aptos" w:hAnsi="Aptos"/>
                <w:color w:val="232D38"/>
                <w:sz w:val="14"/>
              </w:rPr>
              <w:t>Independent reconciler/assurance</w:t>
            </w:r>
          </w:p>
        </w:tc>
        <w:tc>
          <w:tcPr>
            <w:tcW w:type="dxa" w:w="3331"/>
            <w:tcMar>
              <w:top w:w="80" w:type="dxa"/>
              <w:start w:w="90" w:type="dxa"/>
              <w:bottom w:w="80" w:type="dxa"/>
              <w:end w:w="90" w:type="dxa"/>
            </w:tcMar>
            <w:vAlign w:val="top"/>
            <w:shd w:fill="F7F9FB"/>
          </w:tcPr>
          <w:p>
            <w:pPr>
              <w:spacing w:after="30"/>
            </w:pPr>
            <w:r>
              <w:rPr>
                <w:rFonts w:ascii="Aptos" w:hAnsi="Aptos"/>
                <w:color w:val="232D38"/>
                <w:sz w:val="14"/>
              </w:rPr>
              <w:t>Checks consistency and control evidence independently of execution.</w:t>
            </w:r>
          </w:p>
        </w:tc>
        <w:tc>
          <w:tcPr>
            <w:tcW w:type="dxa" w:w="3331"/>
            <w:tcMar>
              <w:top w:w="80" w:type="dxa"/>
              <w:start w:w="90" w:type="dxa"/>
              <w:bottom w:w="80" w:type="dxa"/>
              <w:end w:w="90" w:type="dxa"/>
            </w:tcMar>
            <w:vAlign w:val="top"/>
            <w:shd w:fill="F7F9FB"/>
          </w:tcPr>
          <w:p>
            <w:pPr>
              <w:spacing w:after="30"/>
            </w:pPr>
            <w:r>
              <w:rPr>
                <w:rFonts w:ascii="Aptos" w:hAnsi="Aptos"/>
                <w:color w:val="232D38"/>
                <w:sz w:val="14"/>
              </w:rPr>
              <w:t>Defined independence, access scope, procedures, conflict disclosure and report.</w:t>
            </w:r>
          </w:p>
        </w:tc>
      </w:tr>
    </w:tbl>
    <w:p>
      <w:pPr>
        <w:spacing w:after="0"/>
      </w:pPr>
    </w:p>
    <w:p>
      <w:pPr>
        <w:pStyle w:val="Heading2"/>
      </w:pPr>
      <w:r>
        <w:t>2.2 One bank-facing counterparty; internal separation remains explicit</w:t>
      </w:r>
    </w:p>
    <w:p>
      <w:r>
        <w:rPr>
          <w:i w:val="0"/>
        </w:rPr>
        <w:t>The target operating model provides the bank one clearly accountable contracting counterparty for the defined pilot service. This is a target, not a statement that a particular current entity is authorized. Foundation, holding, operating, technology, reserve/control or yield functions may remain separate where legally and operationally appropriate. Identity, legal form, ownership, authority and relationships must be confirmed from primary documents.</w:t>
      </w:r>
    </w:p>
    <w:p>
      <w:pPr>
        <w:pStyle w:val="ListBullet"/>
        <w:spacing w:after="50"/>
      </w:pPr>
      <w:r>
        <w:t>Maintain an entity register: exact legal name, jurisdiction, entity number, status, directors/managers, owners/controllers, signatories and source/date.</w:t>
      </w:r>
    </w:p>
    <w:p>
      <w:pPr>
        <w:pStyle w:val="ListBullet"/>
        <w:spacing w:after="50"/>
      </w:pPr>
      <w:r>
        <w:t>Maintain a role-to-entity matrix for contracting, technology, data controller/processor, assets, custody, MTQ obligations, redemption, compliance and incident reporting.</w:t>
      </w:r>
    </w:p>
    <w:p>
      <w:pPr>
        <w:pStyle w:val="ListBullet"/>
        <w:spacing w:after="50"/>
      </w:pPr>
      <w:r>
        <w:t>Maintain an instrument register: agreement/resolution/amendment, parties, dates, signature/authenticity, effective/superseded status, authority, governing law and conflicts.</w:t>
      </w:r>
    </w:p>
    <w:p>
      <w:pPr>
        <w:pStyle w:val="ListBullet"/>
        <w:spacing w:after="50"/>
      </w:pPr>
      <w:r>
        <w:t>If primary instruments cannot be found, label PRIMARY_DOCUMENT_MISSING. Never reconstruct a legal fact/signature from audit prose.</w:t>
      </w:r>
    </w:p>
    <w:p>
      <w:pPr>
        <w:pStyle w:val="ListBullet"/>
        <w:spacing w:after="50"/>
      </w:pPr>
      <w:r>
        <w:t>If audit-reported Jozour instrument conflicts are confirmed, obtain counsel-directed reconciliation/ratification before institutional onboarding.</w:t>
      </w:r>
    </w:p>
    <w:p>
      <w:pPr>
        <w:pStyle w:val="ListBullet"/>
        <w:spacing w:after="50"/>
      </w:pPr>
      <w:r>
        <w:t>Software entity IDs never substitute for actual legal counterparty records.</w:t>
      </w:r>
    </w:p>
    <w:p>
      <w:pPr>
        <w:pStyle w:val="Heading2"/>
      </w:pPr>
      <w:r>
        <w:t>2.3 Obligation topology and core object model</w:t>
      </w:r>
    </w:p>
    <w:p>
      <w:r>
        <w:rPr>
          <w:i w:val="0"/>
        </w:rPr>
        <w:t>Every financial instruction must resolve who owes what, to whom, under which asset/rules, supported by evidence. A missing obligor, invalid legal domain or uncertain redemption duty blocks MTQ-related state progression.</w:t>
      </w:r>
    </w:p>
    <w:tbl>
      <w:tblPr>
        <w:tblStyle w:val="TableGrid"/>
        <w:tblW w:type="auto" w:w="0"/>
        <w:jc w:val="center"/>
        <w:tblLook w:firstColumn="1" w:firstRow="1" w:lastColumn="0" w:lastRow="0" w:noHBand="0" w:noVBand="1" w:val="04A0"/>
      </w:tblPr>
      <w:tblGrid>
        <w:gridCol w:w="3331"/>
        <w:gridCol w:w="3331"/>
        <w:gridCol w:w="3331"/>
      </w:tblGrid>
      <w:tr>
        <w:trPr>
          <w:tblHeader w:val="true"/>
          <w:cantSplit/>
        </w:trPr>
        <w:tc>
          <w:tcPr>
            <w:tcW w:type="dxa" w:w="1800"/>
            <w:shd w:fill="07111F"/>
            <w:tcMar>
              <w:top w:w="80" w:type="dxa"/>
              <w:start w:w="90" w:type="dxa"/>
              <w:bottom w:w="80" w:type="dxa"/>
              <w:end w:w="90" w:type="dxa"/>
            </w:tcMar>
            <w:vAlign w:val="center"/>
          </w:tcPr>
          <w:p>
            <w:r>
              <w:rPr>
                <w:rFonts w:ascii="Aptos" w:hAnsi="Aptos"/>
                <w:b/>
                <w:color w:val="FFFFFF"/>
                <w:sz w:val="14"/>
              </w:rPr>
              <w:t>Object</w:t>
            </w:r>
          </w:p>
        </w:tc>
        <w:tc>
          <w:tcPr>
            <w:tcW w:type="dxa" w:w="4536"/>
            <w:shd w:fill="07111F"/>
            <w:tcMar>
              <w:top w:w="80" w:type="dxa"/>
              <w:start w:w="90" w:type="dxa"/>
              <w:bottom w:w="80" w:type="dxa"/>
              <w:end w:w="90" w:type="dxa"/>
            </w:tcMar>
            <w:vAlign w:val="center"/>
          </w:tcPr>
          <w:p>
            <w:r>
              <w:rPr>
                <w:rFonts w:ascii="Aptos" w:hAnsi="Aptos"/>
                <w:b/>
                <w:color w:val="FFFFFF"/>
                <w:sz w:val="14"/>
              </w:rPr>
              <w:t>Minimum fields</w:t>
            </w:r>
          </w:p>
        </w:tc>
        <w:tc>
          <w:tcPr>
            <w:tcW w:type="dxa" w:w="3600"/>
            <w:shd w:fill="07111F"/>
            <w:tcMar>
              <w:top w:w="80" w:type="dxa"/>
              <w:start w:w="90" w:type="dxa"/>
              <w:bottom w:w="80" w:type="dxa"/>
              <w:end w:w="90" w:type="dxa"/>
            </w:tcMar>
            <w:vAlign w:val="center"/>
          </w:tcPr>
          <w:p>
            <w:r>
              <w:rPr>
                <w:rFonts w:ascii="Aptos" w:hAnsi="Aptos"/>
                <w:b/>
                <w:color w:val="FFFFFF"/>
                <w:sz w:val="14"/>
              </w:rPr>
              <w:t>Integrity requirements</w:t>
            </w:r>
          </w:p>
        </w:tc>
      </w:tr>
      <w:tr>
        <w:trPr>
          <w:cantSplit/>
        </w:trPr>
        <w:tc>
          <w:tcPr>
            <w:tcW w:type="dxa" w:w="3331"/>
            <w:tcMar>
              <w:top w:w="80" w:type="dxa"/>
              <w:start w:w="90" w:type="dxa"/>
              <w:bottom w:w="80" w:type="dxa"/>
              <w:end w:w="90" w:type="dxa"/>
            </w:tcMar>
            <w:vAlign w:val="top"/>
            <w:shd w:fill="F7F9FB"/>
          </w:tcPr>
          <w:p>
            <w:pPr>
              <w:spacing w:after="30"/>
            </w:pPr>
            <w:r>
              <w:rPr>
                <w:rFonts w:ascii="Aptos" w:hAnsi="Aptos"/>
                <w:color w:val="232D38"/>
                <w:sz w:val="14"/>
              </w:rPr>
              <w:t>Institution</w:t>
            </w:r>
          </w:p>
        </w:tc>
        <w:tc>
          <w:tcPr>
            <w:tcW w:type="dxa" w:w="3331"/>
            <w:tcMar>
              <w:top w:w="80" w:type="dxa"/>
              <w:start w:w="90" w:type="dxa"/>
              <w:bottom w:w="80" w:type="dxa"/>
              <w:end w:w="90" w:type="dxa"/>
            </w:tcMar>
            <w:vAlign w:val="top"/>
            <w:shd w:fill="F7F9FB"/>
          </w:tcPr>
          <w:p>
            <w:pPr>
              <w:spacing w:after="30"/>
            </w:pPr>
            <w:r>
              <w:rPr>
                <w:rFonts w:ascii="Aptos" w:hAnsi="Aptos"/>
                <w:color w:val="232D38"/>
                <w:sz w:val="14"/>
              </w:rPr>
              <w:t>institutionId, legalEntityId, verifiedName, jurisdiction, status, participantType, authProfileId, permittedAssets, permittedCorridors, evidenceRefs</w:t>
            </w:r>
          </w:p>
        </w:tc>
        <w:tc>
          <w:tcPr>
            <w:tcW w:type="dxa" w:w="3331"/>
            <w:tcMar>
              <w:top w:w="80" w:type="dxa"/>
              <w:start w:w="90" w:type="dxa"/>
              <w:bottom w:w="80" w:type="dxa"/>
              <w:end w:w="90" w:type="dxa"/>
            </w:tcMar>
            <w:vAlign w:val="top"/>
            <w:shd w:fill="F7F9FB"/>
          </w:tcPr>
          <w:p>
            <w:pPr>
              <w:spacing w:after="30"/>
            </w:pPr>
            <w:r>
              <w:rPr>
                <w:rFonts w:ascii="Aptos" w:hAnsi="Aptos"/>
                <w:color w:val="232D38"/>
                <w:sz w:val="14"/>
              </w:rPr>
              <w:t>Maps to verified legal/participant record; disable on expiry, revocation or mismatch.</w:t>
            </w:r>
          </w:p>
        </w:tc>
      </w:tr>
      <w:tr>
        <w:trPr>
          <w:cantSplit/>
        </w:trPr>
        <w:tc>
          <w:tcPr>
            <w:tcW w:type="dxa" w:w="3331"/>
            <w:tcMar>
              <w:top w:w="80" w:type="dxa"/>
              <w:start w:w="90" w:type="dxa"/>
              <w:bottom w:w="80" w:type="dxa"/>
              <w:end w:w="90" w:type="dxa"/>
            </w:tcMar>
            <w:vAlign w:val="top"/>
          </w:tcPr>
          <w:p>
            <w:pPr>
              <w:spacing w:after="30"/>
            </w:pPr>
            <w:r>
              <w:rPr>
                <w:rFonts w:ascii="Aptos" w:hAnsi="Aptos"/>
                <w:color w:val="232D38"/>
                <w:sz w:val="14"/>
              </w:rPr>
              <w:t>SettlementObligation</w:t>
            </w:r>
          </w:p>
        </w:tc>
        <w:tc>
          <w:tcPr>
            <w:tcW w:type="dxa" w:w="3331"/>
            <w:tcMar>
              <w:top w:w="80" w:type="dxa"/>
              <w:start w:w="90" w:type="dxa"/>
              <w:bottom w:w="80" w:type="dxa"/>
              <w:end w:w="90" w:type="dxa"/>
            </w:tcMar>
            <w:vAlign w:val="top"/>
          </w:tcPr>
          <w:p>
            <w:pPr>
              <w:spacing w:after="30"/>
            </w:pPr>
            <w:r>
              <w:rPr>
                <w:rFonts w:ascii="Aptos" w:hAnsi="Aptos"/>
                <w:color w:val="232D38"/>
                <w:sz w:val="14"/>
              </w:rPr>
              <w:t>obligationId, debtor/obligorId, creditor/beneficiaryId, assetId, amount, currency, createdAt, dueAt, applicableLawId, settlementDomainId, legalTermsRef, status</w:t>
            </w:r>
          </w:p>
        </w:tc>
        <w:tc>
          <w:tcPr>
            <w:tcW w:type="dxa" w:w="3331"/>
            <w:tcMar>
              <w:top w:w="80" w:type="dxa"/>
              <w:start w:w="90" w:type="dxa"/>
              <w:bottom w:w="80" w:type="dxa"/>
              <w:end w:w="90" w:type="dxa"/>
            </w:tcMar>
            <w:vAlign w:val="top"/>
          </w:tcPr>
          <w:p>
            <w:pPr>
              <w:spacing w:after="30"/>
            </w:pPr>
            <w:r>
              <w:rPr>
                <w:rFonts w:ascii="Aptos" w:hAnsi="Aptos"/>
                <w:color w:val="232D38"/>
                <w:sz w:val="14"/>
              </w:rPr>
              <w:t>Immutable identity; amendments linked/versioned; no hidden overwrite of principal, beneficiary or obligor.</w:t>
            </w:r>
          </w:p>
        </w:tc>
      </w:tr>
      <w:tr>
        <w:trPr>
          <w:cantSplit/>
        </w:trPr>
        <w:tc>
          <w:tcPr>
            <w:tcW w:type="dxa" w:w="3331"/>
            <w:tcMar>
              <w:top w:w="80" w:type="dxa"/>
              <w:start w:w="90" w:type="dxa"/>
              <w:bottom w:w="80" w:type="dxa"/>
              <w:end w:w="90" w:type="dxa"/>
            </w:tcMar>
            <w:vAlign w:val="top"/>
            <w:shd w:fill="F7F9FB"/>
          </w:tcPr>
          <w:p>
            <w:pPr>
              <w:spacing w:after="30"/>
            </w:pPr>
            <w:r>
              <w:rPr>
                <w:rFonts w:ascii="Aptos" w:hAnsi="Aptos"/>
                <w:color w:val="232D38"/>
                <w:sz w:val="14"/>
              </w:rPr>
              <w:t>MTQInstrumentPosition</w:t>
            </w:r>
          </w:p>
        </w:tc>
        <w:tc>
          <w:tcPr>
            <w:tcW w:type="dxa" w:w="3331"/>
            <w:tcMar>
              <w:top w:w="80" w:type="dxa"/>
              <w:start w:w="90" w:type="dxa"/>
              <w:bottom w:w="80" w:type="dxa"/>
              <w:end w:w="90" w:type="dxa"/>
            </w:tcMar>
            <w:vAlign w:val="top"/>
            <w:shd w:fill="F7F9FB"/>
          </w:tcPr>
          <w:p>
            <w:pPr>
              <w:spacing w:after="30"/>
            </w:pPr>
            <w:r>
              <w:rPr>
                <w:rFonts w:ascii="Aptos" w:hAnsi="Aptos"/>
                <w:color w:val="232D38"/>
                <w:sz w:val="14"/>
              </w:rPr>
              <w:t>mtqId, obligorId, currentHolderInstitutionId, originJurisdictionId, backingCellId, redemptionInstitutionId, applicableLawId, finalityDomainId, transferStatus, redemptionStatus, acceptanceStatus</w:t>
            </w:r>
          </w:p>
        </w:tc>
        <w:tc>
          <w:tcPr>
            <w:tcW w:type="dxa" w:w="3331"/>
            <w:tcMar>
              <w:top w:w="80" w:type="dxa"/>
              <w:start w:w="90" w:type="dxa"/>
              <w:bottom w:w="80" w:type="dxa"/>
              <w:end w:w="90" w:type="dxa"/>
            </w:tcMar>
            <w:vAlign w:val="top"/>
            <w:shd w:fill="F7F9FB"/>
          </w:tcPr>
          <w:p>
            <w:pPr>
              <w:spacing w:after="30"/>
            </w:pPr>
            <w:r>
              <w:rPr>
                <w:rFonts w:ascii="Aptos" w:hAnsi="Aptos"/>
                <w:color w:val="232D38"/>
                <w:sz w:val="14"/>
              </w:rPr>
              <w:t>No obligor -&gt; no MTQ. No valid backing/custody/legal scope -&gt; no issuance/transfer authorization.</w:t>
            </w:r>
          </w:p>
        </w:tc>
      </w:tr>
      <w:tr>
        <w:trPr>
          <w:cantSplit/>
        </w:trPr>
        <w:tc>
          <w:tcPr>
            <w:tcW w:type="dxa" w:w="3331"/>
            <w:tcMar>
              <w:top w:w="80" w:type="dxa"/>
              <w:start w:w="90" w:type="dxa"/>
              <w:bottom w:w="80" w:type="dxa"/>
              <w:end w:w="90" w:type="dxa"/>
            </w:tcMar>
            <w:vAlign w:val="top"/>
          </w:tcPr>
          <w:p>
            <w:pPr>
              <w:spacing w:after="30"/>
            </w:pPr>
            <w:r>
              <w:rPr>
                <w:rFonts w:ascii="Aptos" w:hAnsi="Aptos"/>
                <w:color w:val="232D38"/>
                <w:sz w:val="14"/>
              </w:rPr>
              <w:t>BackingCell</w:t>
            </w:r>
          </w:p>
        </w:tc>
        <w:tc>
          <w:tcPr>
            <w:tcW w:type="dxa" w:w="3331"/>
            <w:tcMar>
              <w:top w:w="80" w:type="dxa"/>
              <w:start w:w="90" w:type="dxa"/>
              <w:bottom w:w="80" w:type="dxa"/>
              <w:end w:w="90" w:type="dxa"/>
            </w:tcMar>
            <w:vAlign w:val="top"/>
          </w:tcPr>
          <w:p>
            <w:pPr>
              <w:spacing w:after="30"/>
            </w:pPr>
            <w:r>
              <w:rPr>
                <w:rFonts w:ascii="Aptos" w:hAnsi="Aptos"/>
                <w:color w:val="232D38"/>
                <w:sz w:val="14"/>
              </w:rPr>
              <w:t>backingCellId, assetId, ownerId, custodianId, tokenizedAccountRef, quantity/unit, valueSource, legalControlRef, segregationRef, pledge/perfection, encumbrance, liquidity, freeze, asOf</w:t>
            </w:r>
          </w:p>
        </w:tc>
        <w:tc>
          <w:tcPr>
            <w:tcW w:type="dxa" w:w="3331"/>
            <w:tcMar>
              <w:top w:w="80" w:type="dxa"/>
              <w:start w:w="90" w:type="dxa"/>
              <w:bottom w:w="80" w:type="dxa"/>
              <w:end w:w="90" w:type="dxa"/>
            </w:tcMar>
            <w:vAlign w:val="top"/>
          </w:tcPr>
          <w:p>
            <w:pPr>
              <w:spacing w:after="30"/>
            </w:pPr>
            <w:r>
              <w:rPr>
                <w:rFonts w:ascii="Aptos" w:hAnsi="Aptos"/>
                <w:color w:val="232D38"/>
                <w:sz w:val="14"/>
              </w:rPr>
              <w:t>No raw account secret. Require freshness and available-to-settle amount; exclude encumbered/frozen/duplicate/unverified amounts.</w:t>
            </w:r>
          </w:p>
        </w:tc>
      </w:tr>
      <w:tr>
        <w:trPr>
          <w:cantSplit/>
        </w:trPr>
        <w:tc>
          <w:tcPr>
            <w:tcW w:type="dxa" w:w="3331"/>
            <w:tcMar>
              <w:top w:w="80" w:type="dxa"/>
              <w:start w:w="90" w:type="dxa"/>
              <w:bottom w:w="80" w:type="dxa"/>
              <w:end w:w="90" w:type="dxa"/>
            </w:tcMar>
            <w:vAlign w:val="top"/>
            <w:shd w:fill="F7F9FB"/>
          </w:tcPr>
          <w:p>
            <w:pPr>
              <w:spacing w:after="30"/>
            </w:pPr>
            <w:r>
              <w:rPr>
                <w:rFonts w:ascii="Aptos" w:hAnsi="Aptos"/>
                <w:color w:val="232D38"/>
                <w:sz w:val="14"/>
              </w:rPr>
              <w:t>SettlementRoute</w:t>
            </w:r>
          </w:p>
        </w:tc>
        <w:tc>
          <w:tcPr>
            <w:tcW w:type="dxa" w:w="3331"/>
            <w:tcMar>
              <w:top w:w="80" w:type="dxa"/>
              <w:start w:w="90" w:type="dxa"/>
              <w:bottom w:w="80" w:type="dxa"/>
              <w:end w:w="90" w:type="dxa"/>
            </w:tcMar>
            <w:vAlign w:val="top"/>
            <w:shd w:fill="F7F9FB"/>
          </w:tcPr>
          <w:p>
            <w:pPr>
              <w:spacing w:after="30"/>
            </w:pPr>
            <w:r>
              <w:rPr>
                <w:rFonts w:ascii="Aptos" w:hAnsi="Aptos"/>
                <w:color w:val="232D38"/>
                <w:sz w:val="14"/>
              </w:rPr>
              <w:t>routeId, origin, destination, asset, rail, corridor, jurisdictionSet, policyVersion, capabilityStatus, finalityDomain, capacity/limits, cost/latency observations, evidenceRefs</w:t>
            </w:r>
          </w:p>
        </w:tc>
        <w:tc>
          <w:tcPr>
            <w:tcW w:type="dxa" w:w="3331"/>
            <w:tcMar>
              <w:top w:w="80" w:type="dxa"/>
              <w:start w:w="90" w:type="dxa"/>
              <w:bottom w:w="80" w:type="dxa"/>
              <w:end w:w="90" w:type="dxa"/>
            </w:tcMar>
            <w:vAlign w:val="top"/>
            <w:shd w:fill="F7F9FB"/>
          </w:tcPr>
          <w:p>
            <w:pPr>
              <w:spacing w:after="30"/>
            </w:pPr>
            <w:r>
              <w:rPr>
                <w:rFonts w:ascii="Aptos" w:hAnsi="Aptos"/>
                <w:color w:val="232D38"/>
                <w:sz w:val="14"/>
              </w:rPr>
              <w:t>Select only from authorized eligible routes; score cannot override legal/compliance blocks.</w:t>
            </w:r>
          </w:p>
        </w:tc>
      </w:tr>
      <w:tr>
        <w:trPr>
          <w:cantSplit/>
        </w:trPr>
        <w:tc>
          <w:tcPr>
            <w:tcW w:type="dxa" w:w="3331"/>
            <w:tcMar>
              <w:top w:w="80" w:type="dxa"/>
              <w:start w:w="90" w:type="dxa"/>
              <w:bottom w:w="80" w:type="dxa"/>
              <w:end w:w="90" w:type="dxa"/>
            </w:tcMar>
            <w:vAlign w:val="top"/>
          </w:tcPr>
          <w:p>
            <w:pPr>
              <w:spacing w:after="30"/>
            </w:pPr>
            <w:r>
              <w:rPr>
                <w:rFonts w:ascii="Aptos" w:hAnsi="Aptos"/>
                <w:color w:val="232D38"/>
                <w:sz w:val="14"/>
              </w:rPr>
              <w:t>EvidenceArtifact</w:t>
            </w:r>
          </w:p>
        </w:tc>
        <w:tc>
          <w:tcPr>
            <w:tcW w:type="dxa" w:w="3331"/>
            <w:tcMar>
              <w:top w:w="80" w:type="dxa"/>
              <w:start w:w="90" w:type="dxa"/>
              <w:bottom w:w="80" w:type="dxa"/>
              <w:end w:w="90" w:type="dxa"/>
            </w:tcMar>
            <w:vAlign w:val="top"/>
          </w:tcPr>
          <w:p>
            <w:pPr>
              <w:spacing w:after="30"/>
            </w:pPr>
            <w:r>
              <w:rPr>
                <w:rFonts w:ascii="Aptos" w:hAnsi="Aptos"/>
                <w:color w:val="232D38"/>
                <w:sz w:val="14"/>
              </w:rPr>
              <w:t>evidenceId, type, issuer, sourceSystem, observedAt, ingestedAt, hash/signature, scope, expiry, classification, reviewer, status, links</w:t>
            </w:r>
          </w:p>
        </w:tc>
        <w:tc>
          <w:tcPr>
            <w:tcW w:type="dxa" w:w="3331"/>
            <w:tcMar>
              <w:top w:w="80" w:type="dxa"/>
              <w:start w:w="90" w:type="dxa"/>
              <w:bottom w:w="80" w:type="dxa"/>
              <w:end w:w="90" w:type="dxa"/>
            </w:tcMar>
            <w:vAlign w:val="top"/>
          </w:tcPr>
          <w:p>
            <w:pPr>
              <w:spacing w:after="30"/>
            </w:pPr>
            <w:r>
              <w:rPr>
                <w:rFonts w:ascii="Aptos" w:hAnsi="Aptos"/>
                <w:color w:val="232D38"/>
                <w:sz w:val="14"/>
              </w:rPr>
              <w:t>Immutable bytes/hash where possible; source, freshness, reviewer and scope explicit.</w:t>
            </w:r>
          </w:p>
        </w:tc>
      </w:tr>
      <w:tr>
        <w:trPr>
          <w:cantSplit/>
        </w:trPr>
        <w:tc>
          <w:tcPr>
            <w:tcW w:type="dxa" w:w="3331"/>
            <w:tcMar>
              <w:top w:w="80" w:type="dxa"/>
              <w:start w:w="90" w:type="dxa"/>
              <w:bottom w:w="80" w:type="dxa"/>
              <w:end w:w="90" w:type="dxa"/>
            </w:tcMar>
            <w:vAlign w:val="top"/>
            <w:shd w:fill="F7F9FB"/>
          </w:tcPr>
          <w:p>
            <w:pPr>
              <w:spacing w:after="30"/>
            </w:pPr>
            <w:r>
              <w:rPr>
                <w:rFonts w:ascii="Aptos" w:hAnsi="Aptos"/>
                <w:color w:val="232D38"/>
                <w:sz w:val="14"/>
              </w:rPr>
              <w:t>PolicyDecision</w:t>
            </w:r>
          </w:p>
        </w:tc>
        <w:tc>
          <w:tcPr>
            <w:tcW w:type="dxa" w:w="3331"/>
            <w:tcMar>
              <w:top w:w="80" w:type="dxa"/>
              <w:start w:w="90" w:type="dxa"/>
              <w:bottom w:w="80" w:type="dxa"/>
              <w:end w:w="90" w:type="dxa"/>
            </w:tcMar>
            <w:vAlign w:val="top"/>
            <w:shd w:fill="F7F9FB"/>
          </w:tcPr>
          <w:p>
            <w:pPr>
              <w:spacing w:after="30"/>
            </w:pPr>
            <w:r>
              <w:rPr>
                <w:rFonts w:ascii="Aptos" w:hAnsi="Aptos"/>
                <w:color w:val="232D38"/>
                <w:sz w:val="14"/>
              </w:rPr>
              <w:t>decisionId, subject IDs, policyVersion/hash, inputsHash, decision, reasonCodes, evaluatedAt, actor/service, evidenceRefs</w:t>
            </w:r>
          </w:p>
        </w:tc>
        <w:tc>
          <w:tcPr>
            <w:tcW w:type="dxa" w:w="3331"/>
            <w:tcMar>
              <w:top w:w="80" w:type="dxa"/>
              <w:start w:w="90" w:type="dxa"/>
              <w:bottom w:w="80" w:type="dxa"/>
              <w:end w:w="90" w:type="dxa"/>
            </w:tcMar>
            <w:vAlign w:val="top"/>
            <w:shd w:fill="F7F9FB"/>
          </w:tcPr>
          <w:p>
            <w:pPr>
              <w:spacing w:after="30"/>
            </w:pPr>
            <w:r>
              <w:rPr>
                <w:rFonts w:ascii="Aptos" w:hAnsi="Aptos"/>
                <w:color w:val="232D38"/>
                <w:sz w:val="14"/>
              </w:rPr>
              <w:t>Same input and policy snapshot should replay deterministically.</w:t>
            </w:r>
          </w:p>
        </w:tc>
      </w:tr>
      <w:tr>
        <w:trPr>
          <w:cantSplit/>
        </w:trPr>
        <w:tc>
          <w:tcPr>
            <w:tcW w:type="dxa" w:w="3331"/>
            <w:tcMar>
              <w:top w:w="80" w:type="dxa"/>
              <w:start w:w="90" w:type="dxa"/>
              <w:bottom w:w="80" w:type="dxa"/>
              <w:end w:w="90" w:type="dxa"/>
            </w:tcMar>
            <w:vAlign w:val="top"/>
          </w:tcPr>
          <w:p>
            <w:pPr>
              <w:spacing w:after="30"/>
            </w:pPr>
            <w:r>
              <w:rPr>
                <w:rFonts w:ascii="Aptos" w:hAnsi="Aptos"/>
                <w:color w:val="232D38"/>
                <w:sz w:val="14"/>
              </w:rPr>
              <w:t>ReconciliationCase</w:t>
            </w:r>
          </w:p>
        </w:tc>
        <w:tc>
          <w:tcPr>
            <w:tcW w:type="dxa" w:w="3331"/>
            <w:tcMar>
              <w:top w:w="80" w:type="dxa"/>
              <w:start w:w="90" w:type="dxa"/>
              <w:bottom w:w="80" w:type="dxa"/>
              <w:end w:w="90" w:type="dxa"/>
            </w:tcMar>
            <w:vAlign w:val="top"/>
          </w:tcPr>
          <w:p>
            <w:pPr>
              <w:spacing w:after="30"/>
            </w:pPr>
            <w:r>
              <w:rPr>
                <w:rFonts w:ascii="Aptos" w:hAnsi="Aptos"/>
                <w:color w:val="232D38"/>
                <w:sz w:val="14"/>
              </w:rPr>
              <w:t>caseId, sourceSet, scope, openedAt, discrepancyClass, expected, actual, tolerancePolicyVersion, severity, owner, disposition, evidenceRefs, closedAt</w:t>
            </w:r>
          </w:p>
        </w:tc>
        <w:tc>
          <w:tcPr>
            <w:tcW w:type="dxa" w:w="3331"/>
            <w:tcMar>
              <w:top w:w="80" w:type="dxa"/>
              <w:start w:w="90" w:type="dxa"/>
              <w:bottom w:w="80" w:type="dxa"/>
              <w:end w:w="90" w:type="dxa"/>
            </w:tcMar>
            <w:vAlign w:val="top"/>
          </w:tcPr>
          <w:p>
            <w:pPr>
              <w:spacing w:after="30"/>
            </w:pPr>
            <w:r>
              <w:rPr>
                <w:rFonts w:ascii="Aptos" w:hAnsi="Aptos"/>
                <w:color w:val="232D38"/>
                <w:sz w:val="14"/>
              </w:rPr>
              <w:t>A tolerance never hides unexplained discrepancy; closure needs accountable disposition.</w:t>
            </w:r>
          </w:p>
        </w:tc>
      </w:tr>
      <w:tr>
        <w:trPr>
          <w:cantSplit/>
        </w:trPr>
        <w:tc>
          <w:tcPr>
            <w:tcW w:type="dxa" w:w="3331"/>
            <w:tcMar>
              <w:top w:w="80" w:type="dxa"/>
              <w:start w:w="90" w:type="dxa"/>
              <w:bottom w:w="80" w:type="dxa"/>
              <w:end w:w="90" w:type="dxa"/>
            </w:tcMar>
            <w:vAlign w:val="top"/>
            <w:shd w:fill="F7F9FB"/>
          </w:tcPr>
          <w:p>
            <w:pPr>
              <w:spacing w:after="30"/>
            </w:pPr>
            <w:r>
              <w:rPr>
                <w:rFonts w:ascii="Aptos" w:hAnsi="Aptos"/>
                <w:color w:val="232D38"/>
                <w:sz w:val="14"/>
              </w:rPr>
              <w:t>Exception/dispute</w:t>
            </w:r>
          </w:p>
        </w:tc>
        <w:tc>
          <w:tcPr>
            <w:tcW w:type="dxa" w:w="3331"/>
            <w:tcMar>
              <w:top w:w="80" w:type="dxa"/>
              <w:start w:w="90" w:type="dxa"/>
              <w:bottom w:w="80" w:type="dxa"/>
              <w:end w:w="90" w:type="dxa"/>
            </w:tcMar>
            <w:vAlign w:val="top"/>
            <w:shd w:fill="F7F9FB"/>
          </w:tcPr>
          <w:p>
            <w:pPr>
              <w:spacing w:after="30"/>
            </w:pPr>
            <w:r>
              <w:rPr>
                <w:rFonts w:ascii="Aptos" w:hAnsi="Aptos"/>
                <w:color w:val="232D38"/>
                <w:sz w:val="14"/>
              </w:rPr>
              <w:t>caseId, transaction/obligation refs, claimant, category, severity, deadline, hold, owner, communications, decision and evidence</w:t>
            </w:r>
          </w:p>
        </w:tc>
        <w:tc>
          <w:tcPr>
            <w:tcW w:type="dxa" w:w="3331"/>
            <w:tcMar>
              <w:top w:w="80" w:type="dxa"/>
              <w:start w:w="90" w:type="dxa"/>
              <w:bottom w:w="80" w:type="dxa"/>
              <w:end w:w="90" w:type="dxa"/>
            </w:tcMar>
            <w:vAlign w:val="top"/>
            <w:shd w:fill="F7F9FB"/>
          </w:tcPr>
          <w:p>
            <w:pPr>
              <w:spacing w:after="30"/>
            </w:pPr>
            <w:r>
              <w:rPr>
                <w:rFonts w:ascii="Aptos" w:hAnsi="Aptos"/>
                <w:color w:val="232D38"/>
                <w:sz w:val="14"/>
              </w:rPr>
              <w:t>No silent override; separate duties; preserve original state.</w:t>
            </w:r>
          </w:p>
        </w:tc>
      </w:tr>
    </w:tbl>
    <w:p>
      <w:pPr>
        <w:spacing w:after="0"/>
      </w:pPr>
    </w:p>
    <w:p>
      <w:pPr>
        <w:pStyle w:val="Heading2"/>
      </w:pPr>
      <w:r>
        <w:t>2.4 Participant authorization model</w:t>
      </w:r>
    </w:p>
    <w:p>
      <w:r>
        <w:rPr>
          <w:i w:val="0"/>
        </w:rPr>
        <w:t>Authorization is least-privilege, scoped and time-bounded. Evaluate identity, role, institution status, jurisdiction, corridor, asset, amount/velocity limits, purpose, policy version, dual-control requirements, evidence freshness and emergency suspension. Authentication alone does not make an action permitted.</w:t>
      </w:r>
    </w:p>
    <w:p>
      <w:pPr>
        <w:pStyle w:val="ListBullet"/>
        <w:spacing w:after="50"/>
      </w:pPr>
      <w:r>
        <w:t>Separate service identities for deployment, event processing, migrations, runtime reads/writes, monitoring and break-glass.</w:t>
      </w:r>
    </w:p>
    <w:p>
      <w:pPr>
        <w:pStyle w:val="ListBullet"/>
        <w:spacing w:after="50"/>
      </w:pPr>
      <w:r>
        <w:t>Require maker/checker or dual control for high-impact policy changes, key rotation, privileged access, corridor enablement, production flags and MTQ issuance/redemption.</w:t>
      </w:r>
    </w:p>
    <w:p>
      <w:pPr>
        <w:pStyle w:val="ListBullet"/>
        <w:spacing w:after="50"/>
      </w:pPr>
      <w:r>
        <w:t>Maintain access reviews, credential age/rotation state, MFA where supported, approval trails and offboarding evidence.</w:t>
      </w:r>
    </w:p>
    <w:p>
      <w:pPr>
        <w:pStyle w:val="ListBullet"/>
        <w:spacing w:after="50"/>
      </w:pPr>
      <w:r>
        <w:t>Revoked institution, stale legal opinion, expired certificate, unknown entity, prohibited jurisdiction or unresolved sanctions status triggers denial or safe hold.</w:t>
      </w:r>
    </w:p>
    <w:p>
      <w:pPr>
        <w:pStyle w:val="ListBullet"/>
        <w:spacing w:after="50"/>
      </w:pPr>
      <w:r>
        <w:t>No operator may grant themselves a legal or production gate pass by editing a database flag.</w:t>
      </w:r>
    </w:p>
    <w:p>
      <w:pPr>
        <w:pStyle w:val="Heading1"/>
      </w:pPr>
      <w:r>
        <w:t>PART III — MTQ, Backing, Reserve and Accounting Rules</w:t>
      </w:r>
    </w:p>
    <w:p>
      <w:pPr>
        <w:pStyle w:val="Heading2"/>
      </w:pPr>
      <w:r>
        <w:t>3.1 MTQ canonical definition</w:t>
      </w:r>
    </w:p>
    <w:p>
      <w:r>
        <w:rPr>
          <w:i w:val="0"/>
        </w:rPr>
        <w:t>MTQ is a proposed permissioned wholesale institutional settlement unit for specifically authorized institutions within a defined contractual/legal framework. Its legal classification, issuer/obligor, holder rights, transferability, redemption mechanics, insolvency treatment and regulatory requirements remain subject to qualified external review and executed agreements. It is not automatically sovereign money, a central-bank reserve, bank deposit, public stablecoin, bearer instrument, security or investment because software calls it a token.</w:t>
      </w:r>
    </w:p>
    <w:p>
      <w:r>
        <w:rPr>
          <w:i w:val="0"/>
        </w:rPr>
        <w:t>PAR = $1.00 may be used only as the defined accounting reference in formulas where the approved accounting model says so. It must not be described as a guaranteed market price, USD peg, redeemability commitment or holder entitlement unless legally validated external terms expressly create that right. Legacy language saying MTQ “is pegged 1:1 to USD at issuance” is stale and must be removed or quarantined as historical, not active policy.</w:t>
      </w:r>
    </w:p>
    <w:p>
      <w:pPr>
        <w:pStyle w:val="Heading2"/>
      </w:pPr>
      <w:r>
        <w:t>3.2 MTQ activation rules</w:t>
      </w:r>
    </w:p>
    <w:p>
      <w:pPr>
        <w:pStyle w:val="ListBullet"/>
        <w:spacing w:after="50"/>
      </w:pPr>
      <w:r>
        <w:t>MTQ defaults to disabled in every environment except isolated tests designed to exercise the module.</w:t>
      </w:r>
    </w:p>
    <w:p>
      <w:pPr>
        <w:pStyle w:val="ListBullet"/>
        <w:spacing w:after="50"/>
      </w:pPr>
      <w:r>
        <w:t>A production MTQ action requires verified institution, authorized corridor/jurisdiction, approved obligation and legal obligor, valid backing evidence, custody/control evidence, settlement liquidity, redemption/acceptance conditions, current policy, eligible finality domain and all required gate approvals.</w:t>
      </w:r>
    </w:p>
    <w:p>
      <w:pPr>
        <w:pStyle w:val="ListBullet"/>
        <w:spacing w:after="50"/>
      </w:pPr>
      <w:r>
        <w:t>A missing, expired, revoked, contradictory or unverifiable prerequisite returns a stable denial and creates evidence; no best-effort minting.</w:t>
      </w:r>
    </w:p>
    <w:p>
      <w:pPr>
        <w:pStyle w:val="ListBullet"/>
        <w:spacing w:after="50"/>
      </w:pPr>
      <w:r>
        <w:t>A bank funding event, HTTP acknowledgement or internal ledger insert alone never permits minting.</w:t>
      </w:r>
    </w:p>
    <w:p>
      <w:pPr>
        <w:pStyle w:val="ListBullet"/>
        <w:spacing w:after="50"/>
      </w:pPr>
      <w:r>
        <w:t>Revenue, utilization, price, AI recommendation or operator convenience cannot influence issuance authorization.</w:t>
      </w:r>
    </w:p>
    <w:p>
      <w:pPr>
        <w:pStyle w:val="ListBullet"/>
        <w:spacing w:after="50"/>
      </w:pPr>
      <w:r>
        <w:t>Pilot A must prove control-plane value with MTQ fully disabled; tests must show mint/transfer/redemption paths are unreachable or denied.</w:t>
      </w:r>
    </w:p>
    <w:p>
      <w:pPr>
        <w:pStyle w:val="ListBullet"/>
        <w:spacing w:after="50"/>
      </w:pPr>
      <w:r>
        <w:t>Pilot B is a gated option, not an assumed roadmap entitlement.</w:t>
      </w:r>
    </w:p>
    <w:p>
      <w:pPr>
        <w:pStyle w:val="Heading2"/>
      </w:pPr>
      <w:r>
        <w:t>3.3 Backing eligibility formula</w:t>
      </w:r>
    </w:p>
    <w:p>
      <w:r>
        <w:rPr>
          <w:i w:val="0"/>
        </w:rPr>
        <w:t>Eligible backing is the minimum of the amount that exists economically, is legally controlled, is liquid in the relevant window, and is actually available to settle. Use one canonical implementation for dashboards, authorization, reporting and tests:</w:t>
      </w:r>
    </w:p>
    <w:p>
      <w:pPr>
        <w:keepLines/>
        <w:spacing w:before="100" w:after="120"/>
        <w:ind w:left="144" w:right="144"/>
        <w:shd w:fill="EEF2F6"/>
        <w:ind w:left="120" w:right="120"/>
        <w:pBdr>
          <w:top w:val="single" w:sz="5" w:space="5" w:color="CCD5DF"/>
          <w:left w:val="single" w:sz="5" w:space="5" w:color="CCD5DF"/>
          <w:bottom w:val="single" w:sz="5" w:space="5" w:color="CCD5DF"/>
          <w:right w:val="single" w:sz="5" w:space="5" w:color="CCD5DF"/>
        </w:pBdr>
      </w:pPr>
      <w:r>
        <w:rPr>
          <w:b/>
          <w:color w:val="07111F"/>
          <w:sz w:val="20"/>
        </w:rPr>
        <w:t>ELIGIBLE BACKING</w:t>
        <w:br/>
      </w:r>
      <w:r>
        <w:rPr>
          <w:color w:val="334155"/>
          <w:sz w:val="18"/>
        </w:rPr>
        <w:t>EligibleBacking = MIN(EconomicBacking, LegalBacking, LiquidBacking, SettlementAvailableBacking)</w:t>
      </w:r>
    </w:p>
    <w:p>
      <w:r>
        <w:rPr>
          <w:i w:val="0"/>
        </w:rPr>
        <w:t>This is an eligibility cap, not evidence that inputs have been verified. Each input must carry amount, unit/currency, as-of time, evidence reference, freshness/expiry, legal scope and status. Unknown input means not eligible for the affected use; it does not mean business exposure is zero.</w:t>
      </w:r>
    </w:p>
    <w:tbl>
      <w:tblPr>
        <w:tblStyle w:val="TableGrid"/>
        <w:tblW w:type="auto" w:w="0"/>
        <w:jc w:val="center"/>
        <w:tblLook w:firstColumn="1" w:firstRow="1" w:lastColumn="0" w:lastRow="0" w:noHBand="0" w:noVBand="1" w:val="04A0"/>
      </w:tblPr>
      <w:tblGrid>
        <w:gridCol w:w="3331"/>
        <w:gridCol w:w="3331"/>
        <w:gridCol w:w="3331"/>
      </w:tblGrid>
      <w:tr>
        <w:trPr>
          <w:tblHeader w:val="true"/>
          <w:cantSplit/>
        </w:trPr>
        <w:tc>
          <w:tcPr>
            <w:tcW w:type="dxa" w:w="2088"/>
            <w:shd w:fill="07111F"/>
            <w:tcMar>
              <w:top w:w="80" w:type="dxa"/>
              <w:start w:w="90" w:type="dxa"/>
              <w:bottom w:w="80" w:type="dxa"/>
              <w:end w:w="90" w:type="dxa"/>
            </w:tcMar>
            <w:vAlign w:val="center"/>
          </w:tcPr>
          <w:p>
            <w:r>
              <w:rPr>
                <w:rFonts w:ascii="Aptos" w:hAnsi="Aptos"/>
                <w:b/>
                <w:color w:val="FFFFFF"/>
                <w:sz w:val="14"/>
              </w:rPr>
              <w:t>Dimension</w:t>
            </w:r>
          </w:p>
        </w:tc>
        <w:tc>
          <w:tcPr>
            <w:tcW w:type="dxa" w:w="3888"/>
            <w:shd w:fill="07111F"/>
            <w:tcMar>
              <w:top w:w="80" w:type="dxa"/>
              <w:start w:w="90" w:type="dxa"/>
              <w:bottom w:w="80" w:type="dxa"/>
              <w:end w:w="90" w:type="dxa"/>
            </w:tcMar>
            <w:vAlign w:val="center"/>
          </w:tcPr>
          <w:p>
            <w:r>
              <w:rPr>
                <w:rFonts w:ascii="Aptos" w:hAnsi="Aptos"/>
                <w:b/>
                <w:color w:val="FFFFFF"/>
                <w:sz w:val="14"/>
              </w:rPr>
              <w:t>What qualifies</w:t>
            </w:r>
          </w:p>
        </w:tc>
        <w:tc>
          <w:tcPr>
            <w:tcW w:type="dxa" w:w="3960"/>
            <w:shd w:fill="07111F"/>
            <w:tcMar>
              <w:top w:w="80" w:type="dxa"/>
              <w:start w:w="90" w:type="dxa"/>
              <w:bottom w:w="80" w:type="dxa"/>
              <w:end w:w="90" w:type="dxa"/>
            </w:tcMar>
            <w:vAlign w:val="center"/>
          </w:tcPr>
          <w:p>
            <w:r>
              <w:rPr>
                <w:rFonts w:ascii="Aptos" w:hAnsi="Aptos"/>
                <w:b/>
                <w:color w:val="FFFFFF"/>
                <w:sz w:val="14"/>
              </w:rPr>
              <w:t>Exclude/block</w:t>
            </w:r>
          </w:p>
        </w:tc>
      </w:tr>
      <w:tr>
        <w:trPr>
          <w:cantSplit/>
        </w:trPr>
        <w:tc>
          <w:tcPr>
            <w:tcW w:type="dxa" w:w="3331"/>
            <w:tcMar>
              <w:top w:w="80" w:type="dxa"/>
              <w:start w:w="90" w:type="dxa"/>
              <w:bottom w:w="80" w:type="dxa"/>
              <w:end w:w="90" w:type="dxa"/>
            </w:tcMar>
            <w:vAlign w:val="top"/>
            <w:shd w:fill="F7F9FB"/>
          </w:tcPr>
          <w:p>
            <w:pPr>
              <w:spacing w:after="30"/>
            </w:pPr>
            <w:r>
              <w:rPr>
                <w:rFonts w:ascii="Aptos" w:hAnsi="Aptos"/>
                <w:color w:val="232D38"/>
                <w:sz w:val="14"/>
              </w:rPr>
              <w:t>Economic backing</w:t>
            </w:r>
          </w:p>
        </w:tc>
        <w:tc>
          <w:tcPr>
            <w:tcW w:type="dxa" w:w="3331"/>
            <w:tcMar>
              <w:top w:w="80" w:type="dxa"/>
              <w:start w:w="90" w:type="dxa"/>
              <w:bottom w:w="80" w:type="dxa"/>
              <w:end w:w="90" w:type="dxa"/>
            </w:tcMar>
            <w:vAlign w:val="top"/>
            <w:shd w:fill="F7F9FB"/>
          </w:tcPr>
          <w:p>
            <w:pPr>
              <w:spacing w:after="30"/>
            </w:pPr>
            <w:r>
              <w:rPr>
                <w:rFonts w:ascii="Aptos" w:hAnsi="Aptos"/>
                <w:color w:val="232D38"/>
                <w:sz w:val="14"/>
              </w:rPr>
              <w:t>Asset/claim exists and has an approved valuation source at a stated time.</w:t>
            </w:r>
          </w:p>
        </w:tc>
        <w:tc>
          <w:tcPr>
            <w:tcW w:type="dxa" w:w="3331"/>
            <w:tcMar>
              <w:top w:w="80" w:type="dxa"/>
              <w:start w:w="90" w:type="dxa"/>
              <w:bottom w:w="80" w:type="dxa"/>
              <w:end w:w="90" w:type="dxa"/>
            </w:tcMar>
            <w:vAlign w:val="top"/>
            <w:shd w:fill="F7F9FB"/>
          </w:tcPr>
          <w:p>
            <w:pPr>
              <w:spacing w:after="30"/>
            </w:pPr>
            <w:r>
              <w:rPr>
                <w:rFonts w:ascii="Aptos" w:hAnsi="Aptos"/>
                <w:color w:val="232D38"/>
                <w:sz w:val="14"/>
              </w:rPr>
              <w:t>Unsupported valuation, duplicated asset, expired statement or asset that cannot be located/confirmed.</w:t>
            </w:r>
          </w:p>
        </w:tc>
      </w:tr>
      <w:tr>
        <w:trPr>
          <w:cantSplit/>
        </w:trPr>
        <w:tc>
          <w:tcPr>
            <w:tcW w:type="dxa" w:w="3331"/>
            <w:tcMar>
              <w:top w:w="80" w:type="dxa"/>
              <w:start w:w="90" w:type="dxa"/>
              <w:bottom w:w="80" w:type="dxa"/>
              <w:end w:w="90" w:type="dxa"/>
            </w:tcMar>
            <w:vAlign w:val="top"/>
          </w:tcPr>
          <w:p>
            <w:pPr>
              <w:spacing w:after="30"/>
            </w:pPr>
            <w:r>
              <w:rPr>
                <w:rFonts w:ascii="Aptos" w:hAnsi="Aptos"/>
                <w:color w:val="232D38"/>
                <w:sz w:val="14"/>
              </w:rPr>
              <w:t>Legal backing</w:t>
            </w:r>
          </w:p>
        </w:tc>
        <w:tc>
          <w:tcPr>
            <w:tcW w:type="dxa" w:w="3331"/>
            <w:tcMar>
              <w:top w:w="80" w:type="dxa"/>
              <w:start w:w="90" w:type="dxa"/>
              <w:bottom w:w="80" w:type="dxa"/>
              <w:end w:w="90" w:type="dxa"/>
            </w:tcMar>
            <w:vAlign w:val="top"/>
          </w:tcPr>
          <w:p>
            <w:pPr>
              <w:spacing w:after="30"/>
            </w:pPr>
            <w:r>
              <w:rPr>
                <w:rFonts w:ascii="Aptos" w:hAnsi="Aptos"/>
                <w:color w:val="232D38"/>
                <w:sz w:val="14"/>
              </w:rPr>
              <w:t>Ownership/control/pledge/segregation and availability are enforceable for the relevant obligation under relevant law.</w:t>
            </w:r>
          </w:p>
        </w:tc>
        <w:tc>
          <w:tcPr>
            <w:tcW w:type="dxa" w:w="3331"/>
            <w:tcMar>
              <w:top w:w="80" w:type="dxa"/>
              <w:start w:w="90" w:type="dxa"/>
              <w:bottom w:w="80" w:type="dxa"/>
              <w:end w:w="90" w:type="dxa"/>
            </w:tcMar>
            <w:vAlign w:val="top"/>
          </w:tcPr>
          <w:p>
            <w:pPr>
              <w:spacing w:after="30"/>
            </w:pPr>
            <w:r>
              <w:rPr>
                <w:rFonts w:ascii="Aptos" w:hAnsi="Aptos"/>
                <w:color w:val="232D38"/>
                <w:sz w:val="14"/>
              </w:rPr>
              <w:t>Mere attestation, unexecuted agreement, unclear owner, unperfected interest when perfection is required or asserted insolvency remoteness.</w:t>
            </w:r>
          </w:p>
        </w:tc>
      </w:tr>
      <w:tr>
        <w:trPr>
          <w:cantSplit/>
        </w:trPr>
        <w:tc>
          <w:tcPr>
            <w:tcW w:type="dxa" w:w="3331"/>
            <w:tcMar>
              <w:top w:w="80" w:type="dxa"/>
              <w:start w:w="90" w:type="dxa"/>
              <w:bottom w:w="80" w:type="dxa"/>
              <w:end w:w="90" w:type="dxa"/>
            </w:tcMar>
            <w:vAlign w:val="top"/>
            <w:shd w:fill="F7F9FB"/>
          </w:tcPr>
          <w:p>
            <w:pPr>
              <w:spacing w:after="30"/>
            </w:pPr>
            <w:r>
              <w:rPr>
                <w:rFonts w:ascii="Aptos" w:hAnsi="Aptos"/>
                <w:color w:val="232D38"/>
                <w:sz w:val="14"/>
              </w:rPr>
              <w:t>Liquid backing</w:t>
            </w:r>
          </w:p>
        </w:tc>
        <w:tc>
          <w:tcPr>
            <w:tcW w:type="dxa" w:w="3331"/>
            <w:tcMar>
              <w:top w:w="80" w:type="dxa"/>
              <w:start w:w="90" w:type="dxa"/>
              <w:bottom w:w="80" w:type="dxa"/>
              <w:end w:w="90" w:type="dxa"/>
            </w:tcMar>
            <w:vAlign w:val="top"/>
            <w:shd w:fill="F7F9FB"/>
          </w:tcPr>
          <w:p>
            <w:pPr>
              <w:spacing w:after="30"/>
            </w:pPr>
            <w:r>
              <w:rPr>
                <w:rFonts w:ascii="Aptos" w:hAnsi="Aptos"/>
                <w:color w:val="232D38"/>
                <w:sz w:val="14"/>
              </w:rPr>
              <w:t>Asset can be converted into required settlement asset within the relevant jurisdiction/time window under approved assumptions.</w:t>
            </w:r>
          </w:p>
        </w:tc>
        <w:tc>
          <w:tcPr>
            <w:tcW w:type="dxa" w:w="3331"/>
            <w:tcMar>
              <w:top w:w="80" w:type="dxa"/>
              <w:start w:w="90" w:type="dxa"/>
              <w:bottom w:w="80" w:type="dxa"/>
              <w:end w:w="90" w:type="dxa"/>
            </w:tcMar>
            <w:vAlign w:val="top"/>
            <w:shd w:fill="F7F9FB"/>
          </w:tcPr>
          <w:p>
            <w:pPr>
              <w:spacing w:after="30"/>
            </w:pPr>
            <w:r>
              <w:rPr>
                <w:rFonts w:ascii="Aptos" w:hAnsi="Aptos"/>
                <w:color w:val="232D38"/>
                <w:sz w:val="14"/>
              </w:rPr>
              <w:t>Long-duration, encumbered, frozen, restricted, illiquid or delayed assets not usable for due settlement.</w:t>
            </w:r>
          </w:p>
        </w:tc>
      </w:tr>
      <w:tr>
        <w:trPr>
          <w:cantSplit/>
        </w:trPr>
        <w:tc>
          <w:tcPr>
            <w:tcW w:type="dxa" w:w="3331"/>
            <w:tcMar>
              <w:top w:w="80" w:type="dxa"/>
              <w:start w:w="90" w:type="dxa"/>
              <w:bottom w:w="80" w:type="dxa"/>
              <w:end w:w="90" w:type="dxa"/>
            </w:tcMar>
            <w:vAlign w:val="top"/>
          </w:tcPr>
          <w:p>
            <w:pPr>
              <w:spacing w:after="30"/>
            </w:pPr>
            <w:r>
              <w:rPr>
                <w:rFonts w:ascii="Aptos" w:hAnsi="Aptos"/>
                <w:color w:val="232D38"/>
                <w:sz w:val="14"/>
              </w:rPr>
              <w:t>Settlement-available backing</w:t>
            </w:r>
          </w:p>
        </w:tc>
        <w:tc>
          <w:tcPr>
            <w:tcW w:type="dxa" w:w="3331"/>
            <w:tcMar>
              <w:top w:w="80" w:type="dxa"/>
              <w:start w:w="90" w:type="dxa"/>
              <w:bottom w:w="80" w:type="dxa"/>
              <w:end w:w="90" w:type="dxa"/>
            </w:tcMar>
            <w:vAlign w:val="top"/>
          </w:tcPr>
          <w:p>
            <w:pPr>
              <w:spacing w:after="30"/>
            </w:pPr>
            <w:r>
              <w:rPr>
                <w:rFonts w:ascii="Aptos" w:hAnsi="Aptos"/>
                <w:color w:val="232D38"/>
                <w:sz w:val="14"/>
              </w:rPr>
              <w:t>Amount can be applied to target settlement now within account, rail, limits and cutoff rules.</w:t>
            </w:r>
          </w:p>
        </w:tc>
        <w:tc>
          <w:tcPr>
            <w:tcW w:type="dxa" w:w="3331"/>
            <w:tcMar>
              <w:top w:w="80" w:type="dxa"/>
              <w:start w:w="90" w:type="dxa"/>
              <w:bottom w:w="80" w:type="dxa"/>
              <w:end w:w="90" w:type="dxa"/>
            </w:tcMar>
            <w:vAlign w:val="top"/>
          </w:tcPr>
          <w:p>
            <w:pPr>
              <w:spacing w:after="30"/>
            </w:pPr>
            <w:r>
              <w:rPr>
                <w:rFonts w:ascii="Aptos" w:hAnsi="Aptos"/>
                <w:color w:val="232D38"/>
                <w:sz w:val="14"/>
              </w:rPr>
              <w:t>Uncleared/non-transferable/out-of-window funds, wrong entity/account/rail, excess limits or holds.</w:t>
            </w:r>
          </w:p>
        </w:tc>
      </w:tr>
    </w:tbl>
    <w:p>
      <w:pPr>
        <w:spacing w:after="0"/>
      </w:pPr>
    </w:p>
    <w:p>
      <w:pPr>
        <w:pStyle w:val="Heading2"/>
      </w:pPr>
      <w:r>
        <w:t>3.4 Direct matching versus resilience buffer</w:t>
      </w:r>
    </w:p>
    <w:p>
      <w:r>
        <w:rPr>
          <w:i w:val="0"/>
        </w:rPr>
        <w:t>Settlement backing and strategic resilience are distinct. The default Pilot B design target is direct-matched eligible backing for every outstanding obligation, subject to external legal/accounting validation. A separate risk buffer may be based on risk, concentration, timing and stress assumptions. Neither ratio is an independent legal requirement unless adopted by authority or contract.</w:t>
      </w:r>
    </w:p>
    <w:p>
      <w:pPr>
        <w:pStyle w:val="ListBullet"/>
        <w:spacing w:after="50"/>
      </w:pPr>
      <w:r>
        <w:t>Do not use 130% as a universal legal or regulatory rule. It may remain a proposed resilience target only with explicit basis, scope, numerator/denominator, eligible assets and approval.</w:t>
      </w:r>
    </w:p>
    <w:p>
      <w:pPr>
        <w:pStyle w:val="ListBullet"/>
        <w:spacing w:after="50"/>
      </w:pPr>
      <w:r>
        <w:t>Do not infer that 130% mechanically means 30% regulatory capital is locked. Capital, RWA, encumbrance and liquidity consequences require professional analysis for the exact structure.</w:t>
      </w:r>
    </w:p>
    <w:p>
      <w:pPr>
        <w:pStyle w:val="ListBullet"/>
        <w:spacing w:after="50"/>
      </w:pPr>
      <w:r>
        <w:t>Settlement Liquidity is available for due settlement/redemption in the correct currency, legal entity and time window.</w:t>
      </w:r>
    </w:p>
    <w:p>
      <w:pPr>
        <w:pStyle w:val="ListBullet"/>
        <w:spacing w:after="50"/>
      </w:pPr>
      <w:r>
        <w:t>Strategic Resilience Reserve supports stress/continuity and may not be available for routine settlement. Report separately; never double-count.</w:t>
      </w:r>
    </w:p>
    <w:p>
      <w:pPr>
        <w:pStyle w:val="ListBullet"/>
        <w:spacing w:after="50"/>
      </w:pPr>
      <w:r>
        <w:t>A ratio does not substitute for named obligor, enforceable terms, control arrangements, timely custody data or insolvency treatment.</w:t>
      </w:r>
    </w:p>
    <w:p>
      <w:pPr>
        <w:pStyle w:val="ListBullet"/>
        <w:spacing w:after="50"/>
      </w:pPr>
      <w:r>
        <w:t>Use formula-driven amounts. Where components 2.7 + 16.2 + 10.8 + 13 + 5.4 million are listed, the total is 48.1 million; any stated 46 million total is a contradiction to correct, not silently round.</w:t>
      </w:r>
    </w:p>
    <w:p>
      <w:pPr>
        <w:keepLines/>
        <w:spacing w:before="100" w:after="120"/>
        <w:ind w:left="144" w:right="144"/>
        <w:shd w:fill="F7EDEB"/>
        <w:ind w:left="120" w:right="120"/>
        <w:pBdr>
          <w:top w:val="single" w:sz="5" w:space="5" w:color="CCD5DF"/>
          <w:left w:val="single" w:sz="5" w:space="5" w:color="CCD5DF"/>
          <w:bottom w:val="single" w:sz="5" w:space="5" w:color="CCD5DF"/>
          <w:right w:val="single" w:sz="5" w:space="5" w:color="CCD5DF"/>
        </w:pBdr>
      </w:pPr>
      <w:r>
        <w:rPr>
          <w:b/>
          <w:color w:val="07111F"/>
          <w:sz w:val="20"/>
        </w:rPr>
        <w:t>HISTORICAL RESERVE PARAMETERS — DEFERRED, NOT ACTIVE</w:t>
        <w:br/>
      </w:r>
      <w:r>
        <w:rPr>
          <w:color w:val="334155"/>
          <w:sz w:val="18"/>
        </w:rPr>
        <w:t>The older blueprint records a candidate strategic-reserve composition of 80% fiat/monetary assets, 18% bullion and 2% digital assets; a proposed strategic reserve target ratio of 1.30, floor 1.05, absolute floor 1.00 and ceiling 1.50; and an emergency resilience reserve of up to 15% as a separate concept. These are design-time candidate parameters, not evidence of assets held, funding, legal eligibility, a regulatory ratio or an approved runtime policy. Pilot A uses none of these parameters and keeps MTQ disabled. Pilot B must not inherit them by default. Before any future adoption, define exact numerator/denominator, valuation/time, jurisdiction and legal entity, allowed asset classes, liquidity window, encumbrance treatment, double-count controls, stress calibration, approvers, expiry and independent review. Gold and digital assets remain excluded from Pilot 1 by default.</w:t>
      </w:r>
    </w:p>
    <w:p>
      <w:pPr>
        <w:pStyle w:val="Heading2"/>
      </w:pPr>
      <w:r>
        <w:t>3.5 Reserve asset policy by pilot stage</w:t>
      </w:r>
    </w:p>
    <w:tbl>
      <w:tblPr>
        <w:tblStyle w:val="TableGrid"/>
        <w:tblW w:type="auto" w:w="0"/>
        <w:jc w:val="center"/>
        <w:tblLook w:firstColumn="1" w:firstRow="1" w:lastColumn="0" w:lastRow="0" w:noHBand="0" w:noVBand="1" w:val="04A0"/>
      </w:tblPr>
      <w:tblGrid>
        <w:gridCol w:w="3331"/>
        <w:gridCol w:w="3331"/>
        <w:gridCol w:w="3331"/>
      </w:tblGrid>
      <w:tr>
        <w:trPr>
          <w:tblHeader w:val="true"/>
          <w:cantSplit/>
        </w:trPr>
        <w:tc>
          <w:tcPr>
            <w:tcW w:type="dxa" w:w="2088"/>
            <w:shd w:fill="07111F"/>
            <w:tcMar>
              <w:top w:w="80" w:type="dxa"/>
              <w:start w:w="90" w:type="dxa"/>
              <w:bottom w:w="80" w:type="dxa"/>
              <w:end w:w="90" w:type="dxa"/>
            </w:tcMar>
            <w:vAlign w:val="center"/>
          </w:tcPr>
          <w:p>
            <w:r>
              <w:rPr>
                <w:rFonts w:ascii="Aptos" w:hAnsi="Aptos"/>
                <w:b/>
                <w:color w:val="FFFFFF"/>
                <w:sz w:val="14"/>
              </w:rPr>
              <w:t>Stage</w:t>
            </w:r>
          </w:p>
        </w:tc>
        <w:tc>
          <w:tcPr>
            <w:tcW w:type="dxa" w:w="4032"/>
            <w:shd w:fill="07111F"/>
            <w:tcMar>
              <w:top w:w="80" w:type="dxa"/>
              <w:start w:w="90" w:type="dxa"/>
              <w:bottom w:w="80" w:type="dxa"/>
              <w:end w:w="90" w:type="dxa"/>
            </w:tcMar>
            <w:vAlign w:val="center"/>
          </w:tcPr>
          <w:p>
            <w:r>
              <w:rPr>
                <w:rFonts w:ascii="Aptos" w:hAnsi="Aptos"/>
                <w:b/>
                <w:color w:val="FFFFFF"/>
                <w:sz w:val="14"/>
              </w:rPr>
              <w:t>Asset treatment</w:t>
            </w:r>
          </w:p>
        </w:tc>
        <w:tc>
          <w:tcPr>
            <w:tcW w:type="dxa" w:w="3816"/>
            <w:shd w:fill="07111F"/>
            <w:tcMar>
              <w:top w:w="80" w:type="dxa"/>
              <w:start w:w="90" w:type="dxa"/>
              <w:bottom w:w="80" w:type="dxa"/>
              <w:end w:w="90" w:type="dxa"/>
            </w:tcMar>
            <w:vAlign w:val="center"/>
          </w:tcPr>
          <w:p>
            <w:r>
              <w:rPr>
                <w:rFonts w:ascii="Aptos" w:hAnsi="Aptos"/>
                <w:b/>
                <w:color w:val="FFFFFF"/>
                <w:sz w:val="14"/>
              </w:rPr>
              <w:t>Required gate before change</w:t>
            </w:r>
          </w:p>
        </w:tc>
      </w:tr>
      <w:tr>
        <w:trPr>
          <w:cantSplit/>
        </w:trPr>
        <w:tc>
          <w:tcPr>
            <w:tcW w:type="dxa" w:w="3331"/>
            <w:tcMar>
              <w:top w:w="80" w:type="dxa"/>
              <w:start w:w="90" w:type="dxa"/>
              <w:bottom w:w="80" w:type="dxa"/>
              <w:end w:w="90" w:type="dxa"/>
            </w:tcMar>
            <w:vAlign w:val="top"/>
            <w:shd w:fill="F7F9FB"/>
          </w:tcPr>
          <w:p>
            <w:pPr>
              <w:spacing w:after="30"/>
            </w:pPr>
            <w:r>
              <w:rPr>
                <w:rFonts w:ascii="Aptos" w:hAnsi="Aptos"/>
                <w:color w:val="232D38"/>
                <w:sz w:val="14"/>
              </w:rPr>
              <w:t>Pilot A</w:t>
            </w:r>
          </w:p>
        </w:tc>
        <w:tc>
          <w:tcPr>
            <w:tcW w:type="dxa" w:w="3331"/>
            <w:tcMar>
              <w:top w:w="80" w:type="dxa"/>
              <w:start w:w="90" w:type="dxa"/>
              <w:bottom w:w="80" w:type="dxa"/>
              <w:end w:w="90" w:type="dxa"/>
            </w:tcMar>
            <w:vAlign w:val="top"/>
            <w:shd w:fill="F7F9FB"/>
          </w:tcPr>
          <w:p>
            <w:pPr>
              <w:spacing w:after="30"/>
            </w:pPr>
            <w:r>
              <w:rPr>
                <w:rFonts w:ascii="Aptos" w:hAnsi="Aptos"/>
                <w:color w:val="232D38"/>
                <w:sz w:val="14"/>
              </w:rPr>
              <w:t>No MTQ issuance; synthetic flow need not depend on real backing. All data clearly labelled test/simulation.</w:t>
            </w:r>
          </w:p>
        </w:tc>
        <w:tc>
          <w:tcPr>
            <w:tcW w:type="dxa" w:w="3331"/>
            <w:tcMar>
              <w:top w:w="80" w:type="dxa"/>
              <w:start w:w="90" w:type="dxa"/>
              <w:bottom w:w="80" w:type="dxa"/>
              <w:end w:w="90" w:type="dxa"/>
            </w:tcMar>
            <w:vAlign w:val="top"/>
            <w:shd w:fill="F7F9FB"/>
          </w:tcPr>
          <w:p>
            <w:pPr>
              <w:spacing w:after="30"/>
            </w:pPr>
            <w:r>
              <w:rPr>
                <w:rFonts w:ascii="Aptos" w:hAnsi="Aptos"/>
                <w:color w:val="232D38"/>
                <w:sz w:val="14"/>
              </w:rPr>
              <w:t>Safe environment, no production-value path, reproducible replay.</w:t>
            </w:r>
          </w:p>
        </w:tc>
      </w:tr>
      <w:tr>
        <w:trPr>
          <w:cantSplit/>
        </w:trPr>
        <w:tc>
          <w:tcPr>
            <w:tcW w:type="dxa" w:w="3331"/>
            <w:tcMar>
              <w:top w:w="80" w:type="dxa"/>
              <w:start w:w="90" w:type="dxa"/>
              <w:bottom w:w="80" w:type="dxa"/>
              <w:end w:w="90" w:type="dxa"/>
            </w:tcMar>
            <w:vAlign w:val="top"/>
          </w:tcPr>
          <w:p>
            <w:pPr>
              <w:spacing w:after="30"/>
            </w:pPr>
            <w:r>
              <w:rPr>
                <w:rFonts w:ascii="Aptos" w:hAnsi="Aptos"/>
                <w:color w:val="232D38"/>
                <w:sz w:val="14"/>
              </w:rPr>
              <w:t>Pilot B initial candidate</w:t>
            </w:r>
          </w:p>
        </w:tc>
        <w:tc>
          <w:tcPr>
            <w:tcW w:type="dxa" w:w="3331"/>
            <w:tcMar>
              <w:top w:w="80" w:type="dxa"/>
              <w:start w:w="90" w:type="dxa"/>
              <w:bottom w:w="80" w:type="dxa"/>
              <w:end w:w="90" w:type="dxa"/>
            </w:tcMar>
            <w:vAlign w:val="top"/>
          </w:tcPr>
          <w:p>
            <w:pPr>
              <w:spacing w:after="30"/>
            </w:pPr>
            <w:r>
              <w:rPr>
                <w:rFonts w:ascii="Aptos" w:hAnsi="Aptos"/>
                <w:color w:val="232D38"/>
                <w:sz w:val="14"/>
              </w:rPr>
              <w:t>No gold or digital-asset reserve allocation by default; only legally recognized direct-matched settlement asset/backing after approval.</w:t>
            </w:r>
          </w:p>
        </w:tc>
        <w:tc>
          <w:tcPr>
            <w:tcW w:type="dxa" w:w="3331"/>
            <w:tcMar>
              <w:top w:w="80" w:type="dxa"/>
              <w:start w:w="90" w:type="dxa"/>
              <w:bottom w:w="80" w:type="dxa"/>
              <w:end w:w="90" w:type="dxa"/>
            </w:tcMar>
            <w:vAlign w:val="top"/>
          </w:tcPr>
          <w:p>
            <w:pPr>
              <w:spacing w:after="30"/>
            </w:pPr>
            <w:r>
              <w:rPr>
                <w:rFonts w:ascii="Aptos" w:hAnsi="Aptos"/>
                <w:color w:val="232D38"/>
                <w:sz w:val="14"/>
              </w:rPr>
              <w:t>Legal classification, custody/account control, valuation/liquidity, redemption, accounting/prudential, bank contract, jurisdiction and risk.</w:t>
            </w:r>
          </w:p>
        </w:tc>
      </w:tr>
      <w:tr>
        <w:trPr>
          <w:cantSplit/>
        </w:trPr>
        <w:tc>
          <w:tcPr>
            <w:tcW w:type="dxa" w:w="3331"/>
            <w:tcMar>
              <w:top w:w="80" w:type="dxa"/>
              <w:start w:w="90" w:type="dxa"/>
              <w:bottom w:w="80" w:type="dxa"/>
              <w:end w:w="90" w:type="dxa"/>
            </w:tcMar>
            <w:vAlign w:val="top"/>
            <w:shd w:fill="F7F9FB"/>
          </w:tcPr>
          <w:p>
            <w:pPr>
              <w:spacing w:after="30"/>
            </w:pPr>
            <w:r>
              <w:rPr>
                <w:rFonts w:ascii="Aptos" w:hAnsi="Aptos"/>
                <w:color w:val="232D38"/>
                <w:sz w:val="14"/>
              </w:rPr>
              <w:t>Future bullion</w:t>
            </w:r>
          </w:p>
        </w:tc>
        <w:tc>
          <w:tcPr>
            <w:tcW w:type="dxa" w:w="3331"/>
            <w:tcMar>
              <w:top w:w="80" w:type="dxa"/>
              <w:start w:w="90" w:type="dxa"/>
              <w:bottom w:w="80" w:type="dxa"/>
              <w:end w:w="90" w:type="dxa"/>
            </w:tcMar>
            <w:vAlign w:val="top"/>
            <w:shd w:fill="F7F9FB"/>
          </w:tcPr>
          <w:p>
            <w:pPr>
              <w:spacing w:after="30"/>
            </w:pPr>
            <w:r>
              <w:rPr>
                <w:rFonts w:ascii="Aptos" w:hAnsi="Aptos"/>
                <w:color w:val="232D38"/>
                <w:sz w:val="14"/>
              </w:rPr>
              <w:t>Architecture may retain adapter hooks; no live inclusion by assumption.</w:t>
            </w:r>
          </w:p>
        </w:tc>
        <w:tc>
          <w:tcPr>
            <w:tcW w:type="dxa" w:w="3331"/>
            <w:tcMar>
              <w:top w:w="80" w:type="dxa"/>
              <w:start w:w="90" w:type="dxa"/>
              <w:bottom w:w="80" w:type="dxa"/>
              <w:end w:w="90" w:type="dxa"/>
            </w:tcMar>
            <w:vAlign w:val="top"/>
            <w:shd w:fill="F7F9FB"/>
          </w:tcPr>
          <w:p>
            <w:pPr>
              <w:spacing w:after="30"/>
            </w:pPr>
            <w:r>
              <w:rPr>
                <w:rFonts w:ascii="Aptos" w:hAnsi="Aptos"/>
                <w:color w:val="232D38"/>
                <w:sz w:val="14"/>
              </w:rPr>
              <w:t>Custody/title/assay/value/location/liquidity, capital/tax, relevant Sharia governance and independent evidence.</w:t>
            </w:r>
          </w:p>
        </w:tc>
      </w:tr>
      <w:tr>
        <w:trPr>
          <w:cantSplit/>
        </w:trPr>
        <w:tc>
          <w:tcPr>
            <w:tcW w:type="dxa" w:w="3331"/>
            <w:tcMar>
              <w:top w:w="80" w:type="dxa"/>
              <w:start w:w="90" w:type="dxa"/>
              <w:bottom w:w="80" w:type="dxa"/>
              <w:end w:w="90" w:type="dxa"/>
            </w:tcMar>
            <w:vAlign w:val="top"/>
          </w:tcPr>
          <w:p>
            <w:pPr>
              <w:spacing w:after="30"/>
            </w:pPr>
            <w:r>
              <w:rPr>
                <w:rFonts w:ascii="Aptos" w:hAnsi="Aptos"/>
                <w:color w:val="232D38"/>
                <w:sz w:val="14"/>
              </w:rPr>
              <w:t>Future digital assets</w:t>
            </w:r>
          </w:p>
        </w:tc>
        <w:tc>
          <w:tcPr>
            <w:tcW w:type="dxa" w:w="3331"/>
            <w:tcMar>
              <w:top w:w="80" w:type="dxa"/>
              <w:start w:w="90" w:type="dxa"/>
              <w:bottom w:w="80" w:type="dxa"/>
              <w:end w:w="90" w:type="dxa"/>
            </w:tcMar>
            <w:vAlign w:val="top"/>
          </w:tcPr>
          <w:p>
            <w:pPr>
              <w:spacing w:after="30"/>
            </w:pPr>
            <w:r>
              <w:rPr>
                <w:rFonts w:ascii="Aptos" w:hAnsi="Aptos"/>
                <w:color w:val="232D38"/>
                <w:sz w:val="14"/>
              </w:rPr>
              <w:t>Not part of Pilot 1; design hook only.</w:t>
            </w:r>
          </w:p>
        </w:tc>
        <w:tc>
          <w:tcPr>
            <w:tcW w:type="dxa" w:w="3331"/>
            <w:tcMar>
              <w:top w:w="80" w:type="dxa"/>
              <w:start w:w="90" w:type="dxa"/>
              <w:bottom w:w="80" w:type="dxa"/>
              <w:end w:w="90" w:type="dxa"/>
            </w:tcMar>
            <w:vAlign w:val="top"/>
          </w:tcPr>
          <w:p>
            <w:pPr>
              <w:spacing w:after="30"/>
            </w:pPr>
            <w:r>
              <w:rPr>
                <w:rFonts w:ascii="Aptos" w:hAnsi="Aptos"/>
                <w:color w:val="232D38"/>
                <w:sz w:val="14"/>
              </w:rPr>
              <w:t>Asset-specific law/custody/finality, oracle/key controls, liquidity, sanctions, accounting and independent assurance.</w:t>
            </w:r>
          </w:p>
        </w:tc>
      </w:tr>
    </w:tbl>
    <w:p>
      <w:pPr>
        <w:spacing w:after="0"/>
      </w:pPr>
    </w:p>
    <w:p>
      <w:pPr>
        <w:pStyle w:val="Heading2"/>
      </w:pPr>
      <w:r>
        <w:t>3.6 Three books and six assurance domains</w:t>
      </w:r>
    </w:p>
    <w:p>
      <w:r>
        <w:rPr>
          <w:i w:val="0"/>
        </w:rPr>
        <w:t>The three-book design is an accounting/position-separation rule. The six assurance domains are cross-checking/evidence domains. They are related but not interchangeable.</w:t>
      </w:r>
    </w:p>
    <w:tbl>
      <w:tblPr>
        <w:tblStyle w:val="TableGrid"/>
        <w:tblW w:type="auto" w:w="0"/>
        <w:jc w:val="center"/>
        <w:tblLook w:firstColumn="1" w:firstRow="1" w:lastColumn="0" w:lastRow="0" w:noHBand="0" w:noVBand="1" w:val="04A0"/>
      </w:tblPr>
      <w:tblGrid>
        <w:gridCol w:w="3331"/>
        <w:gridCol w:w="3331"/>
        <w:gridCol w:w="3331"/>
      </w:tblGrid>
      <w:tr>
        <w:trPr>
          <w:tblHeader w:val="true"/>
          <w:cantSplit/>
        </w:trPr>
        <w:tc>
          <w:tcPr>
            <w:tcW w:type="dxa" w:w="2376"/>
            <w:shd w:fill="07111F"/>
            <w:tcMar>
              <w:top w:w="80" w:type="dxa"/>
              <w:start w:w="90" w:type="dxa"/>
              <w:bottom w:w="80" w:type="dxa"/>
              <w:end w:w="90" w:type="dxa"/>
            </w:tcMar>
            <w:vAlign w:val="center"/>
          </w:tcPr>
          <w:p>
            <w:r>
              <w:rPr>
                <w:rFonts w:ascii="Aptos" w:hAnsi="Aptos"/>
                <w:b/>
                <w:color w:val="FFFFFF"/>
                <w:sz w:val="14"/>
              </w:rPr>
              <w:t>Three-book view</w:t>
            </w:r>
          </w:p>
        </w:tc>
        <w:tc>
          <w:tcPr>
            <w:tcW w:type="dxa" w:w="3672"/>
            <w:shd w:fill="07111F"/>
            <w:tcMar>
              <w:top w:w="80" w:type="dxa"/>
              <w:start w:w="90" w:type="dxa"/>
              <w:bottom w:w="80" w:type="dxa"/>
              <w:end w:w="90" w:type="dxa"/>
            </w:tcMar>
            <w:vAlign w:val="center"/>
          </w:tcPr>
          <w:p>
            <w:r>
              <w:rPr>
                <w:rFonts w:ascii="Aptos" w:hAnsi="Aptos"/>
                <w:b/>
                <w:color w:val="FFFFFF"/>
                <w:sz w:val="14"/>
              </w:rPr>
              <w:t>Purpose</w:t>
            </w:r>
          </w:p>
        </w:tc>
        <w:tc>
          <w:tcPr>
            <w:tcW w:type="dxa" w:w="3888"/>
            <w:shd w:fill="07111F"/>
            <w:tcMar>
              <w:top w:w="80" w:type="dxa"/>
              <w:start w:w="90" w:type="dxa"/>
              <w:bottom w:w="80" w:type="dxa"/>
              <w:end w:w="90" w:type="dxa"/>
            </w:tcMar>
            <w:vAlign w:val="center"/>
          </w:tcPr>
          <w:p>
            <w:r>
              <w:rPr>
                <w:rFonts w:ascii="Aptos" w:hAnsi="Aptos"/>
                <w:b/>
                <w:color w:val="FFFFFF"/>
                <w:sz w:val="14"/>
              </w:rPr>
              <w:t>Cross-check expectations</w:t>
            </w:r>
          </w:p>
        </w:tc>
      </w:tr>
      <w:tr>
        <w:trPr>
          <w:cantSplit/>
        </w:trPr>
        <w:tc>
          <w:tcPr>
            <w:tcW w:type="dxa" w:w="3331"/>
            <w:tcMar>
              <w:top w:w="80" w:type="dxa"/>
              <w:start w:w="90" w:type="dxa"/>
              <w:bottom w:w="80" w:type="dxa"/>
              <w:end w:w="90" w:type="dxa"/>
            </w:tcMar>
            <w:vAlign w:val="top"/>
            <w:shd w:fill="F7F9FB"/>
          </w:tcPr>
          <w:p>
            <w:pPr>
              <w:spacing w:after="30"/>
            </w:pPr>
            <w:r>
              <w:rPr>
                <w:rFonts w:ascii="Aptos" w:hAnsi="Aptos"/>
                <w:color w:val="232D38"/>
                <w:sz w:val="14"/>
              </w:rPr>
              <w:t>Book A — MITHQAL corporate book</w:t>
            </w:r>
          </w:p>
        </w:tc>
        <w:tc>
          <w:tcPr>
            <w:tcW w:type="dxa" w:w="3331"/>
            <w:tcMar>
              <w:top w:w="80" w:type="dxa"/>
              <w:start w:w="90" w:type="dxa"/>
              <w:bottom w:w="80" w:type="dxa"/>
              <w:end w:w="90" w:type="dxa"/>
            </w:tcMar>
            <w:vAlign w:val="top"/>
            <w:shd w:fill="F7F9FB"/>
          </w:tcPr>
          <w:p>
            <w:pPr>
              <w:spacing w:after="30"/>
            </w:pPr>
            <w:r>
              <w:rPr>
                <w:rFonts w:ascii="Aptos" w:hAnsi="Aptos"/>
                <w:color w:val="232D38"/>
                <w:sz w:val="14"/>
              </w:rPr>
              <w:t>Operating costs, fees, payables/receivables and own corporate obligations.</w:t>
            </w:r>
          </w:p>
        </w:tc>
        <w:tc>
          <w:tcPr>
            <w:tcW w:type="dxa" w:w="3331"/>
            <w:tcMar>
              <w:top w:w="80" w:type="dxa"/>
              <w:start w:w="90" w:type="dxa"/>
              <w:bottom w:w="80" w:type="dxa"/>
              <w:end w:w="90" w:type="dxa"/>
            </w:tcMar>
            <w:vAlign w:val="top"/>
            <w:shd w:fill="F7F9FB"/>
          </w:tcPr>
          <w:p>
            <w:pPr>
              <w:spacing w:after="30"/>
            </w:pPr>
            <w:r>
              <w:rPr>
                <w:rFonts w:ascii="Aptos" w:hAnsi="Aptos"/>
                <w:color w:val="232D38"/>
                <w:sz w:val="14"/>
              </w:rPr>
              <w:t>Do not treat participant positions or backing held for others as unrestricted corporate assets without recognized legal/accounting basis.</w:t>
            </w:r>
          </w:p>
        </w:tc>
      </w:tr>
      <w:tr>
        <w:trPr>
          <w:cantSplit/>
        </w:trPr>
        <w:tc>
          <w:tcPr>
            <w:tcW w:type="dxa" w:w="3331"/>
            <w:tcMar>
              <w:top w:w="80" w:type="dxa"/>
              <w:start w:w="90" w:type="dxa"/>
              <w:bottom w:w="80" w:type="dxa"/>
              <w:end w:w="90" w:type="dxa"/>
            </w:tcMar>
            <w:vAlign w:val="top"/>
          </w:tcPr>
          <w:p>
            <w:pPr>
              <w:spacing w:after="30"/>
            </w:pPr>
            <w:r>
              <w:rPr>
                <w:rFonts w:ascii="Aptos" w:hAnsi="Aptos"/>
                <w:color w:val="232D38"/>
                <w:sz w:val="14"/>
              </w:rPr>
              <w:t>Book B — Bank MTQ obligation ledger</w:t>
            </w:r>
          </w:p>
        </w:tc>
        <w:tc>
          <w:tcPr>
            <w:tcW w:type="dxa" w:w="3331"/>
            <w:tcMar>
              <w:top w:w="80" w:type="dxa"/>
              <w:start w:w="90" w:type="dxa"/>
              <w:bottom w:w="80" w:type="dxa"/>
              <w:end w:w="90" w:type="dxa"/>
            </w:tcMar>
            <w:vAlign w:val="top"/>
          </w:tcPr>
          <w:p>
            <w:pPr>
              <w:spacing w:after="30"/>
            </w:pPr>
            <w:r>
              <w:rPr>
                <w:rFonts w:ascii="Aptos" w:hAnsi="Aptos"/>
                <w:color w:val="232D38"/>
                <w:sz w:val="14"/>
              </w:rPr>
              <w:t>MTQ issuance, transfer, redemption, holder/obligor obligations and controls when legally approved.</w:t>
            </w:r>
          </w:p>
        </w:tc>
        <w:tc>
          <w:tcPr>
            <w:tcW w:type="dxa" w:w="3331"/>
            <w:tcMar>
              <w:top w:w="80" w:type="dxa"/>
              <w:start w:w="90" w:type="dxa"/>
              <w:bottom w:w="80" w:type="dxa"/>
              <w:end w:w="90" w:type="dxa"/>
            </w:tcMar>
            <w:vAlign w:val="top"/>
          </w:tcPr>
          <w:p>
            <w:pPr>
              <w:spacing w:after="30"/>
            </w:pPr>
            <w:r>
              <w:rPr>
                <w:rFonts w:ascii="Aptos" w:hAnsi="Aptos"/>
                <w:color w:val="232D38"/>
                <w:sz w:val="14"/>
              </w:rPr>
              <w:t>Reconcile to obligation register, bank/obligor statements, backing cells and finality evidence.</w:t>
            </w:r>
          </w:p>
        </w:tc>
      </w:tr>
      <w:tr>
        <w:trPr>
          <w:cantSplit/>
        </w:trPr>
        <w:tc>
          <w:tcPr>
            <w:tcW w:type="dxa" w:w="3331"/>
            <w:tcMar>
              <w:top w:w="80" w:type="dxa"/>
              <w:start w:w="90" w:type="dxa"/>
              <w:bottom w:w="80" w:type="dxa"/>
              <w:end w:w="90" w:type="dxa"/>
            </w:tcMar>
            <w:vAlign w:val="top"/>
            <w:shd w:fill="F7F9FB"/>
          </w:tcPr>
          <w:p>
            <w:pPr>
              <w:spacing w:after="30"/>
            </w:pPr>
            <w:r>
              <w:rPr>
                <w:rFonts w:ascii="Aptos" w:hAnsi="Aptos"/>
                <w:color w:val="232D38"/>
                <w:sz w:val="14"/>
              </w:rPr>
              <w:t>Book C — Participant-position book</w:t>
            </w:r>
          </w:p>
        </w:tc>
        <w:tc>
          <w:tcPr>
            <w:tcW w:type="dxa" w:w="3331"/>
            <w:tcMar>
              <w:top w:w="80" w:type="dxa"/>
              <w:start w:w="90" w:type="dxa"/>
              <w:bottom w:w="80" w:type="dxa"/>
              <w:end w:w="90" w:type="dxa"/>
            </w:tcMar>
            <w:vAlign w:val="top"/>
            <w:shd w:fill="F7F9FB"/>
          </w:tcPr>
          <w:p>
            <w:pPr>
              <w:spacing w:after="30"/>
            </w:pPr>
            <w:r>
              <w:rPr>
                <w:rFonts w:ascii="Aptos" w:hAnsi="Aptos"/>
                <w:color w:val="232D38"/>
                <w:sz w:val="14"/>
              </w:rPr>
              <w:t>Participant positions maintained under the defined service/obligation arrangement.</w:t>
            </w:r>
          </w:p>
        </w:tc>
        <w:tc>
          <w:tcPr>
            <w:tcW w:type="dxa" w:w="3331"/>
            <w:tcMar>
              <w:top w:w="80" w:type="dxa"/>
              <w:start w:w="90" w:type="dxa"/>
              <w:bottom w:w="80" w:type="dxa"/>
              <w:end w:w="90" w:type="dxa"/>
            </w:tcMar>
            <w:vAlign w:val="top"/>
            <w:shd w:fill="F7F9FB"/>
          </w:tcPr>
          <w:p>
            <w:pPr>
              <w:spacing w:after="30"/>
            </w:pPr>
            <w:r>
              <w:rPr>
                <w:rFonts w:ascii="Aptos" w:hAnsi="Aptos"/>
                <w:color w:val="232D38"/>
                <w:sz w:val="14"/>
              </w:rPr>
              <w:t>Separate participant claims from corporate property and bank/obligor liabilities.</w:t>
            </w:r>
          </w:p>
        </w:tc>
      </w:tr>
    </w:tbl>
    <w:p>
      <w:pPr>
        <w:spacing w:after="0"/>
      </w:pPr>
    </w:p>
    <w:tbl>
      <w:tblPr>
        <w:tblStyle w:val="TableGrid"/>
        <w:tblW w:type="auto" w:w="0"/>
        <w:jc w:val="center"/>
        <w:tblLook w:firstColumn="1" w:firstRow="1" w:lastColumn="0" w:lastRow="0" w:noHBand="0" w:noVBand="1" w:val="04A0"/>
      </w:tblPr>
      <w:tblGrid>
        <w:gridCol w:w="4997"/>
        <w:gridCol w:w="4997"/>
      </w:tblGrid>
      <w:tr>
        <w:trPr>
          <w:tblHeader w:val="true"/>
          <w:cantSplit/>
        </w:trPr>
        <w:tc>
          <w:tcPr>
            <w:tcW w:type="dxa" w:w="3168"/>
            <w:shd w:fill="07111F"/>
            <w:tcMar>
              <w:top w:w="80" w:type="dxa"/>
              <w:start w:w="90" w:type="dxa"/>
              <w:bottom w:w="80" w:type="dxa"/>
              <w:end w:w="90" w:type="dxa"/>
            </w:tcMar>
            <w:vAlign w:val="center"/>
          </w:tcPr>
          <w:p>
            <w:r>
              <w:rPr>
                <w:rFonts w:ascii="Aptos" w:hAnsi="Aptos"/>
                <w:b/>
                <w:color w:val="FFFFFF"/>
                <w:sz w:val="15"/>
              </w:rPr>
              <w:t>Six assurance domain</w:t>
            </w:r>
          </w:p>
        </w:tc>
        <w:tc>
          <w:tcPr>
            <w:tcW w:type="dxa" w:w="6768"/>
            <w:shd w:fill="07111F"/>
            <w:tcMar>
              <w:top w:w="80" w:type="dxa"/>
              <w:start w:w="90" w:type="dxa"/>
              <w:bottom w:w="80" w:type="dxa"/>
              <w:end w:w="90" w:type="dxa"/>
            </w:tcMar>
            <w:vAlign w:val="center"/>
          </w:tcPr>
          <w:p>
            <w:r>
              <w:rPr>
                <w:rFonts w:ascii="Aptos" w:hAnsi="Aptos"/>
                <w:b/>
                <w:color w:val="FFFFFF"/>
                <w:sz w:val="15"/>
              </w:rPr>
              <w:t>Evidence/responsibility</w:t>
            </w:r>
          </w:p>
        </w:tc>
      </w:tr>
      <w:tr>
        <w:trPr>
          <w:cantSplit/>
        </w:trPr>
        <w:tc>
          <w:tcPr>
            <w:tcW w:type="dxa" w:w="4997"/>
            <w:tcMar>
              <w:top w:w="80" w:type="dxa"/>
              <w:start w:w="90" w:type="dxa"/>
              <w:bottom w:w="80" w:type="dxa"/>
              <w:end w:w="90" w:type="dxa"/>
            </w:tcMar>
            <w:vAlign w:val="top"/>
            <w:shd w:fill="F7F9FB"/>
          </w:tcPr>
          <w:p>
            <w:pPr>
              <w:spacing w:after="30"/>
            </w:pPr>
            <w:r>
              <w:rPr>
                <w:rFonts w:ascii="Aptos" w:hAnsi="Aptos"/>
                <w:color w:val="232D38"/>
                <w:sz w:val="15"/>
              </w:rPr>
              <w:t>1. Canonical ledger</w:t>
            </w:r>
          </w:p>
        </w:tc>
        <w:tc>
          <w:tcPr>
            <w:tcW w:type="dxa" w:w="4997"/>
            <w:tcMar>
              <w:top w:w="80" w:type="dxa"/>
              <w:start w:w="90" w:type="dxa"/>
              <w:bottom w:w="80" w:type="dxa"/>
              <w:end w:w="90" w:type="dxa"/>
            </w:tcMar>
            <w:vAlign w:val="top"/>
            <w:shd w:fill="F7F9FB"/>
          </w:tcPr>
          <w:p>
            <w:pPr>
              <w:spacing w:after="30"/>
            </w:pPr>
            <w:r>
              <w:rPr>
                <w:rFonts w:ascii="Aptos" w:hAnsi="Aptos"/>
                <w:color w:val="232D38"/>
                <w:sz w:val="15"/>
              </w:rPr>
              <w:t>Immutable financial/event state and transaction/obligation sequence.</w:t>
            </w:r>
          </w:p>
        </w:tc>
      </w:tr>
      <w:tr>
        <w:trPr>
          <w:cantSplit/>
        </w:trPr>
        <w:tc>
          <w:tcPr>
            <w:tcW w:type="dxa" w:w="4997"/>
            <w:tcMar>
              <w:top w:w="80" w:type="dxa"/>
              <w:start w:w="90" w:type="dxa"/>
              <w:bottom w:w="80" w:type="dxa"/>
              <w:end w:w="90" w:type="dxa"/>
            </w:tcMar>
            <w:vAlign w:val="top"/>
          </w:tcPr>
          <w:p>
            <w:pPr>
              <w:spacing w:after="30"/>
            </w:pPr>
            <w:r>
              <w:rPr>
                <w:rFonts w:ascii="Aptos" w:hAnsi="Aptos"/>
                <w:color w:val="232D38"/>
                <w:sz w:val="15"/>
              </w:rPr>
              <w:t>2. Bank MTQ subledger</w:t>
            </w:r>
          </w:p>
        </w:tc>
        <w:tc>
          <w:tcPr>
            <w:tcW w:type="dxa" w:w="4997"/>
            <w:tcMar>
              <w:top w:w="80" w:type="dxa"/>
              <w:start w:w="90" w:type="dxa"/>
              <w:bottom w:w="80" w:type="dxa"/>
              <w:end w:w="90" w:type="dxa"/>
            </w:tcMar>
            <w:vAlign w:val="top"/>
          </w:tcPr>
          <w:p>
            <w:pPr>
              <w:spacing w:after="30"/>
            </w:pPr>
            <w:r>
              <w:rPr>
                <w:rFonts w:ascii="Aptos" w:hAnsi="Aptos"/>
                <w:color w:val="232D38"/>
                <w:sz w:val="15"/>
              </w:rPr>
              <w:t>Obligor-side view and evidence that institution recognizes position.</w:t>
            </w:r>
          </w:p>
        </w:tc>
      </w:tr>
      <w:tr>
        <w:trPr>
          <w:cantSplit/>
        </w:trPr>
        <w:tc>
          <w:tcPr>
            <w:tcW w:type="dxa" w:w="4997"/>
            <w:tcMar>
              <w:top w:w="80" w:type="dxa"/>
              <w:start w:w="90" w:type="dxa"/>
              <w:bottom w:w="80" w:type="dxa"/>
              <w:end w:w="90" w:type="dxa"/>
            </w:tcMar>
            <w:vAlign w:val="top"/>
            <w:shd w:fill="F7F9FB"/>
          </w:tcPr>
          <w:p>
            <w:pPr>
              <w:spacing w:after="30"/>
            </w:pPr>
            <w:r>
              <w:rPr>
                <w:rFonts w:ascii="Aptos" w:hAnsi="Aptos"/>
                <w:color w:val="232D38"/>
                <w:sz w:val="15"/>
              </w:rPr>
              <w:t>3. Corporate participant position</w:t>
            </w:r>
          </w:p>
        </w:tc>
        <w:tc>
          <w:tcPr>
            <w:tcW w:type="dxa" w:w="4997"/>
            <w:tcMar>
              <w:top w:w="80" w:type="dxa"/>
              <w:start w:w="90" w:type="dxa"/>
              <w:bottom w:w="80" w:type="dxa"/>
              <w:end w:w="90" w:type="dxa"/>
            </w:tcMar>
            <w:vAlign w:val="top"/>
            <w:shd w:fill="F7F9FB"/>
          </w:tcPr>
          <w:p>
            <w:pPr>
              <w:spacing w:after="30"/>
            </w:pPr>
            <w:r>
              <w:rPr>
                <w:rFonts w:ascii="Aptos" w:hAnsi="Aptos"/>
                <w:color w:val="232D38"/>
                <w:sz w:val="15"/>
              </w:rPr>
              <w:t>Participant-facing position, separated from corporate property.</w:t>
            </w:r>
          </w:p>
        </w:tc>
      </w:tr>
      <w:tr>
        <w:trPr>
          <w:cantSplit/>
        </w:trPr>
        <w:tc>
          <w:tcPr>
            <w:tcW w:type="dxa" w:w="4997"/>
            <w:tcMar>
              <w:top w:w="80" w:type="dxa"/>
              <w:start w:w="90" w:type="dxa"/>
              <w:bottom w:w="80" w:type="dxa"/>
              <w:end w:w="90" w:type="dxa"/>
            </w:tcMar>
            <w:vAlign w:val="top"/>
          </w:tcPr>
          <w:p>
            <w:pPr>
              <w:spacing w:after="30"/>
            </w:pPr>
            <w:r>
              <w:rPr>
                <w:rFonts w:ascii="Aptos" w:hAnsi="Aptos"/>
                <w:color w:val="232D38"/>
                <w:sz w:val="15"/>
              </w:rPr>
              <w:t>4. Reserve/backing ledger</w:t>
            </w:r>
          </w:p>
        </w:tc>
        <w:tc>
          <w:tcPr>
            <w:tcW w:type="dxa" w:w="4997"/>
            <w:tcMar>
              <w:top w:w="80" w:type="dxa"/>
              <w:start w:w="90" w:type="dxa"/>
              <w:bottom w:w="80" w:type="dxa"/>
              <w:end w:w="90" w:type="dxa"/>
            </w:tcMar>
            <w:vAlign w:val="top"/>
          </w:tcPr>
          <w:p>
            <w:pPr>
              <w:spacing w:after="30"/>
            </w:pPr>
            <w:r>
              <w:rPr>
                <w:rFonts w:ascii="Aptos" w:hAnsi="Aptos"/>
                <w:color w:val="232D38"/>
                <w:sz w:val="15"/>
              </w:rPr>
              <w:t>Assets, liabilities, encumbrances, valuations, custody, liquidity and availability.</w:t>
            </w:r>
          </w:p>
        </w:tc>
      </w:tr>
      <w:tr>
        <w:trPr>
          <w:cantSplit/>
        </w:trPr>
        <w:tc>
          <w:tcPr>
            <w:tcW w:type="dxa" w:w="4997"/>
            <w:tcMar>
              <w:top w:w="80" w:type="dxa"/>
              <w:start w:w="90" w:type="dxa"/>
              <w:bottom w:w="80" w:type="dxa"/>
              <w:end w:w="90" w:type="dxa"/>
            </w:tcMar>
            <w:vAlign w:val="top"/>
            <w:shd w:fill="F7F9FB"/>
          </w:tcPr>
          <w:p>
            <w:pPr>
              <w:spacing w:after="30"/>
            </w:pPr>
            <w:r>
              <w:rPr>
                <w:rFonts w:ascii="Aptos" w:hAnsi="Aptos"/>
                <w:color w:val="232D38"/>
                <w:sz w:val="15"/>
              </w:rPr>
              <w:t>5. Proof of liabilities</w:t>
            </w:r>
          </w:p>
        </w:tc>
        <w:tc>
          <w:tcPr>
            <w:tcW w:type="dxa" w:w="4997"/>
            <w:tcMar>
              <w:top w:w="80" w:type="dxa"/>
              <w:start w:w="90" w:type="dxa"/>
              <w:bottom w:w="80" w:type="dxa"/>
              <w:end w:w="90" w:type="dxa"/>
            </w:tcMar>
            <w:vAlign w:val="top"/>
            <w:shd w:fill="F7F9FB"/>
          </w:tcPr>
          <w:p>
            <w:pPr>
              <w:spacing w:after="30"/>
            </w:pPr>
            <w:r>
              <w:rPr>
                <w:rFonts w:ascii="Aptos" w:hAnsi="Aptos"/>
                <w:color w:val="232D38"/>
                <w:sz w:val="15"/>
              </w:rPr>
              <w:t>Outstanding obligations/redemption responsibilities, due times and beneficiaries.</w:t>
            </w:r>
          </w:p>
        </w:tc>
      </w:tr>
      <w:tr>
        <w:trPr>
          <w:cantSplit/>
        </w:trPr>
        <w:tc>
          <w:tcPr>
            <w:tcW w:type="dxa" w:w="4997"/>
            <w:tcMar>
              <w:top w:w="80" w:type="dxa"/>
              <w:start w:w="90" w:type="dxa"/>
              <w:bottom w:w="80" w:type="dxa"/>
              <w:end w:w="90" w:type="dxa"/>
            </w:tcMar>
            <w:vAlign w:val="top"/>
          </w:tcPr>
          <w:p>
            <w:pPr>
              <w:spacing w:after="30"/>
            </w:pPr>
            <w:r>
              <w:rPr>
                <w:rFonts w:ascii="Aptos" w:hAnsi="Aptos"/>
                <w:color w:val="232D38"/>
                <w:sz w:val="15"/>
              </w:rPr>
              <w:t>6. Legal obligation register</w:t>
            </w:r>
          </w:p>
        </w:tc>
        <w:tc>
          <w:tcPr>
            <w:tcW w:type="dxa" w:w="4997"/>
            <w:tcMar>
              <w:top w:w="80" w:type="dxa"/>
              <w:start w:w="90" w:type="dxa"/>
              <w:bottom w:w="80" w:type="dxa"/>
              <w:end w:w="90" w:type="dxa"/>
            </w:tcMar>
            <w:vAlign w:val="top"/>
          </w:tcPr>
          <w:p>
            <w:pPr>
              <w:spacing w:after="30"/>
            </w:pPr>
            <w:r>
              <w:rPr>
                <w:rFonts w:ascii="Aptos" w:hAnsi="Aptos"/>
                <w:color w:val="232D38"/>
                <w:sz w:val="15"/>
              </w:rPr>
              <w:t>Obligor, terms, jurisdiction, governing law, holder rights and counsel evidence.</w:t>
            </w:r>
          </w:p>
        </w:tc>
      </w:tr>
    </w:tbl>
    <w:p>
      <w:pPr>
        <w:spacing w:after="0"/>
      </w:pPr>
    </w:p>
    <w:p>
      <w:pPr>
        <w:pStyle w:val="Heading2"/>
      </w:pPr>
      <w:r>
        <w:t>3.7 Accounting, prudential and tax truth</w:t>
      </w:r>
    </w:p>
    <w:p>
      <w:r>
        <w:rPr>
          <w:i w:val="0"/>
        </w:rPr>
        <w:t>External professionals must determine how each position is classified for the actual entity, contract, jurisdiction and reporting basis. Engineering must not “solve” classification by naming fields or choosing a ledger model.</w:t>
      </w:r>
    </w:p>
    <w:p>
      <w:pPr>
        <w:pStyle w:val="ListBullet"/>
        <w:spacing w:after="50"/>
      </w:pPr>
      <w:r>
        <w:t>Whether MTQ is an asset, liability, customer position, interbank claim, contractual obligation, financial instrument or other category.</w:t>
      </w:r>
    </w:p>
    <w:p>
      <w:pPr>
        <w:pStyle w:val="ListBullet"/>
        <w:spacing w:after="50"/>
      </w:pPr>
      <w:r>
        <w:t>Who recognizes backing and obligations; whether the same asset/claim appears on more than one balance sheet and why.</w:t>
      </w:r>
    </w:p>
    <w:p>
      <w:pPr>
        <w:pStyle w:val="ListBullet"/>
        <w:spacing w:after="50"/>
      </w:pPr>
      <w:r>
        <w:t>Whether reserves are owned, held in trust, pledged, segregated, controlled or merely reported and whether they are insolvency-remote.</w:t>
      </w:r>
    </w:p>
    <w:p>
      <w:pPr>
        <w:pStyle w:val="ListBullet"/>
        <w:spacing w:after="50"/>
      </w:pPr>
      <w:r>
        <w:t>Tax treatment of fees, FX, yield, redemption, transfers, cross-border settlement and entity profit allocation.</w:t>
      </w:r>
    </w:p>
    <w:p>
      <w:pPr>
        <w:pStyle w:val="ListBullet"/>
        <w:spacing w:after="50"/>
      </w:pPr>
      <w:r>
        <w:t>Liquidity, capital, RWA, concentration, encumbrance and prudential reporting implications for each participant.</w:t>
      </w:r>
    </w:p>
    <w:p>
      <w:pPr>
        <w:pStyle w:val="ListBullet"/>
        <w:spacing w:after="50"/>
      </w:pPr>
      <w:r>
        <w:t>Accounting basis, recognition timing, valuation sources, FX translation, stale-price handling and audit evidence.</w:t>
      </w:r>
    </w:p>
    <w:p>
      <w:pPr>
        <w:pStyle w:val="ListBullet"/>
        <w:spacing w:after="50"/>
      </w:pPr>
      <w:r>
        <w:t>Sharia scope only where relevant, with qualified independent governance; software cannot self-certify.</w:t>
      </w:r>
    </w:p>
    <w:p>
      <w:pPr>
        <w:pStyle w:val="Heading2"/>
      </w:pPr>
      <w:r>
        <w:t>3.8 Redemption/value consistency</w:t>
      </w:r>
    </w:p>
    <w:p>
      <w:r>
        <w:rPr>
          <w:i w:val="0"/>
        </w:rPr>
        <w:t>A redemption promise must be explicit. If no enforceable redemption right exists, describe the actual contractual/market arrangement without implying guaranteed exit. If redemption exists, specify obligor, holders, asset/currency, formula/basket, timing, fees, caps, gates, suspension, disputes, insolvency treatment, funding source and settlement evidence. PAR is not redemption value by default.</w:t>
      </w:r>
    </w:p>
    <w:p>
      <w:pPr>
        <w:pStyle w:val="Heading1"/>
      </w:pPr>
      <w:r>
        <w:t>PART IV — Settlement Workflow, Finality, Routing and Exceptions</w:t>
      </w:r>
    </w:p>
    <w:p>
      <w:pPr>
        <w:pStyle w:val="Heading2"/>
      </w:pPr>
      <w:r>
        <w:t>4.1 End-to-end instruction lifecycle</w:t>
      </w:r>
    </w:p>
    <w:p>
      <w:pPr>
        <w:spacing w:after="50"/>
        <w:ind w:left="403" w:hanging="403"/>
      </w:pPr>
      <w:r>
        <w:t>1. Receive an authenticated instruction; assign immutable instructionId, institution/tenant context, idempotency key, source reference and receivedAt.</w:t>
      </w:r>
    </w:p>
    <w:p>
      <w:pPr>
        <w:spacing w:after="50"/>
        <w:ind w:left="403" w:hanging="403"/>
      </w:pPr>
      <w:r>
        <w:t>2. Validate schema, identity, entitlement, signatures, purpose, replay/duplicate status and required fields.</w:t>
      </w:r>
    </w:p>
    <w:p>
      <w:pPr>
        <w:spacing w:after="50"/>
        <w:ind w:left="403" w:hanging="403"/>
      </w:pPr>
      <w:r>
        <w:t>3. Create a durable instruction record in the authoritative transaction boundary before async work.</w:t>
      </w:r>
    </w:p>
    <w:p>
      <w:pPr>
        <w:spacing w:after="50"/>
        <w:ind w:left="403" w:hanging="403"/>
      </w:pPr>
      <w:r>
        <w:t>4. Run policy checks for institution, jurisdiction, sanctions/AML responsibilities, asset/corridor eligibility, limits, freshness, legal domain and risk holds. Record reason codes and policy hash.</w:t>
      </w:r>
    </w:p>
    <w:p>
      <w:pPr>
        <w:spacing w:after="50"/>
        <w:ind w:left="403" w:hanging="403"/>
      </w:pPr>
      <w:r>
        <w:t>5. Evaluate eligible routes/liquidity without letting optimization override hard constraints; persist candidate set, exclusions and selection rationale.</w:t>
      </w:r>
    </w:p>
    <w:p>
      <w:pPr>
        <w:spacing w:after="50"/>
        <w:ind w:left="403" w:hanging="403"/>
      </w:pPr>
      <w:r>
        <w:t>6. Obtain institution/rail confirmations required for the path; verify external reference, amount, currency, counterparty, state, timestamp and evidence source.</w:t>
      </w:r>
    </w:p>
    <w:p>
      <w:pPr>
        <w:spacing w:after="50"/>
        <w:ind w:left="403" w:hanging="403"/>
      </w:pPr>
      <w:r>
        <w:t>7. Advance finality only when the corresponding proof predicates hold; acknowledgement/callback alone is insufficient where stronger proof is required.</w:t>
      </w:r>
    </w:p>
    <w:p>
      <w:pPr>
        <w:spacing w:after="50"/>
        <w:ind w:left="403" w:hanging="403"/>
      </w:pPr>
      <w:r>
        <w:t>8. Reconcile expected versus actual movement against independent sources; open an exception for mismatch, stale evidence or partial state.</w:t>
      </w:r>
    </w:p>
    <w:p>
      <w:pPr>
        <w:spacing w:after="50"/>
        <w:ind w:left="403" w:hanging="403"/>
      </w:pPr>
      <w:r>
        <w:t>9. Issue status and immutable evidence bundle; close only when required states/reconciliation controls are met.</w:t>
      </w:r>
    </w:p>
    <w:p>
      <w:pPr>
        <w:spacing w:after="50"/>
        <w:ind w:left="403" w:hanging="403"/>
      </w:pPr>
      <w:r>
        <w:t>10. Represent returns, reversals and corrections as new linked events/obligations under applicable rules; never silently rewrite history.</w:t>
      </w:r>
    </w:p>
    <w:p>
      <w:pPr>
        <w:pStyle w:val="Heading2"/>
      </w:pPr>
      <w:r>
        <w:t>4.2 Canonical F0–F7 finality state machine</w:t>
      </w:r>
    </w:p>
    <w:tbl>
      <w:tblPr>
        <w:tblStyle w:val="TableGrid"/>
        <w:tblW w:type="auto" w:w="0"/>
        <w:jc w:val="center"/>
        <w:tblLook w:firstColumn="1" w:firstRow="1" w:lastColumn="0" w:lastRow="0" w:noHBand="0" w:noVBand="1" w:val="04A0"/>
      </w:tblPr>
      <w:tblGrid>
        <w:gridCol w:w="2498"/>
        <w:gridCol w:w="2498"/>
        <w:gridCol w:w="2498"/>
        <w:gridCol w:w="2498"/>
      </w:tblGrid>
      <w:tr>
        <w:trPr>
          <w:tblHeader w:val="true"/>
          <w:cantSplit/>
        </w:trPr>
        <w:tc>
          <w:tcPr>
            <w:tcW w:type="dxa" w:w="792"/>
            <w:shd w:fill="07111F"/>
            <w:tcMar>
              <w:top w:w="80" w:type="dxa"/>
              <w:start w:w="90" w:type="dxa"/>
              <w:bottom w:w="80" w:type="dxa"/>
              <w:end w:w="90" w:type="dxa"/>
            </w:tcMar>
            <w:vAlign w:val="center"/>
          </w:tcPr>
          <w:p>
            <w:r>
              <w:rPr>
                <w:rFonts w:ascii="Aptos" w:hAnsi="Aptos"/>
                <w:b/>
                <w:color w:val="FFFFFF"/>
                <w:sz w:val="14"/>
              </w:rPr>
              <w:t>State</w:t>
            </w:r>
          </w:p>
        </w:tc>
        <w:tc>
          <w:tcPr>
            <w:tcW w:type="dxa" w:w="2016"/>
            <w:shd w:fill="07111F"/>
            <w:tcMar>
              <w:top w:w="80" w:type="dxa"/>
              <w:start w:w="90" w:type="dxa"/>
              <w:bottom w:w="80" w:type="dxa"/>
              <w:end w:w="90" w:type="dxa"/>
            </w:tcMar>
            <w:vAlign w:val="center"/>
          </w:tcPr>
          <w:p>
            <w:r>
              <w:rPr>
                <w:rFonts w:ascii="Aptos" w:hAnsi="Aptos"/>
                <w:b/>
                <w:color w:val="FFFFFF"/>
                <w:sz w:val="14"/>
              </w:rPr>
              <w:t>Name / meaning</w:t>
            </w:r>
          </w:p>
        </w:tc>
        <w:tc>
          <w:tcPr>
            <w:tcW w:type="dxa" w:w="4608"/>
            <w:shd w:fill="07111F"/>
            <w:tcMar>
              <w:top w:w="80" w:type="dxa"/>
              <w:start w:w="90" w:type="dxa"/>
              <w:bottom w:w="80" w:type="dxa"/>
              <w:end w:w="90" w:type="dxa"/>
            </w:tcMar>
            <w:vAlign w:val="center"/>
          </w:tcPr>
          <w:p>
            <w:r>
              <w:rPr>
                <w:rFonts w:ascii="Aptos" w:hAnsi="Aptos"/>
                <w:b/>
                <w:color w:val="FFFFFF"/>
                <w:sz w:val="14"/>
              </w:rPr>
              <w:t>Minimum proof predicate</w:t>
            </w:r>
          </w:p>
        </w:tc>
        <w:tc>
          <w:tcPr>
            <w:tcW w:type="dxa" w:w="2808"/>
            <w:shd w:fill="07111F"/>
            <w:tcMar>
              <w:top w:w="80" w:type="dxa"/>
              <w:start w:w="90" w:type="dxa"/>
              <w:bottom w:w="80" w:type="dxa"/>
              <w:end w:w="90" w:type="dxa"/>
            </w:tcMar>
            <w:vAlign w:val="center"/>
          </w:tcPr>
          <w:p>
            <w:r>
              <w:rPr>
                <w:rFonts w:ascii="Aptos" w:hAnsi="Aptos"/>
                <w:b/>
                <w:color w:val="FFFFFF"/>
                <w:sz w:val="14"/>
              </w:rPr>
              <w:t>Failure behavior</w:t>
            </w:r>
          </w:p>
        </w:tc>
      </w:tr>
      <w:tr>
        <w:trPr>
          <w:cantSplit/>
        </w:trPr>
        <w:tc>
          <w:tcPr>
            <w:tcW w:type="dxa" w:w="2498"/>
            <w:tcMar>
              <w:top w:w="80" w:type="dxa"/>
              <w:start w:w="90" w:type="dxa"/>
              <w:bottom w:w="80" w:type="dxa"/>
              <w:end w:w="90" w:type="dxa"/>
            </w:tcMar>
            <w:vAlign w:val="top"/>
            <w:shd w:fill="F7F9FB"/>
          </w:tcPr>
          <w:p>
            <w:pPr>
              <w:spacing w:after="30"/>
            </w:pPr>
            <w:r>
              <w:rPr>
                <w:rFonts w:ascii="Aptos" w:hAnsi="Aptos"/>
                <w:color w:val="232D38"/>
                <w:sz w:val="14"/>
              </w:rPr>
              <w:t>F0</w:t>
            </w:r>
          </w:p>
        </w:tc>
        <w:tc>
          <w:tcPr>
            <w:tcW w:type="dxa" w:w="2498"/>
            <w:tcMar>
              <w:top w:w="80" w:type="dxa"/>
              <w:start w:w="90" w:type="dxa"/>
              <w:bottom w:w="80" w:type="dxa"/>
              <w:end w:w="90" w:type="dxa"/>
            </w:tcMar>
            <w:vAlign w:val="top"/>
            <w:shd w:fill="F7F9FB"/>
          </w:tcPr>
          <w:p>
            <w:pPr>
              <w:spacing w:after="30"/>
            </w:pPr>
            <w:r>
              <w:rPr>
                <w:rFonts w:ascii="Aptos" w:hAnsi="Aptos"/>
                <w:color w:val="232D38"/>
                <w:sz w:val="14"/>
              </w:rPr>
              <w:t>Instruction accepted</w:t>
            </w:r>
          </w:p>
        </w:tc>
        <w:tc>
          <w:tcPr>
            <w:tcW w:type="dxa" w:w="2498"/>
            <w:tcMar>
              <w:top w:w="80" w:type="dxa"/>
              <w:start w:w="90" w:type="dxa"/>
              <w:bottom w:w="80" w:type="dxa"/>
              <w:end w:w="90" w:type="dxa"/>
            </w:tcMar>
            <w:vAlign w:val="top"/>
            <w:shd w:fill="F7F9FB"/>
          </w:tcPr>
          <w:p>
            <w:pPr>
              <w:spacing w:after="30"/>
            </w:pPr>
            <w:r>
              <w:rPr>
                <w:rFonts w:ascii="Aptos" w:hAnsi="Aptos"/>
                <w:color w:val="232D38"/>
                <w:sz w:val="14"/>
              </w:rPr>
              <w:t>Authenticated, authorized, schema-valid, deduplicated and durably recorded.</w:t>
            </w:r>
          </w:p>
        </w:tc>
        <w:tc>
          <w:tcPr>
            <w:tcW w:type="dxa" w:w="2498"/>
            <w:tcMar>
              <w:top w:w="80" w:type="dxa"/>
              <w:start w:w="90" w:type="dxa"/>
              <w:bottom w:w="80" w:type="dxa"/>
              <w:end w:w="90" w:type="dxa"/>
            </w:tcMar>
            <w:vAlign w:val="top"/>
            <w:shd w:fill="F7F9FB"/>
          </w:tcPr>
          <w:p>
            <w:pPr>
              <w:spacing w:after="30"/>
            </w:pPr>
            <w:r>
              <w:rPr>
                <w:rFonts w:ascii="Aptos" w:hAnsi="Aptos"/>
                <w:color w:val="232D38"/>
                <w:sz w:val="14"/>
              </w:rPr>
              <w:t>Reject/quarantine; no financial movement.</w:t>
            </w:r>
          </w:p>
        </w:tc>
      </w:tr>
      <w:tr>
        <w:trPr>
          <w:cantSplit/>
        </w:trPr>
        <w:tc>
          <w:tcPr>
            <w:tcW w:type="dxa" w:w="2498"/>
            <w:tcMar>
              <w:top w:w="80" w:type="dxa"/>
              <w:start w:w="90" w:type="dxa"/>
              <w:bottom w:w="80" w:type="dxa"/>
              <w:end w:w="90" w:type="dxa"/>
            </w:tcMar>
            <w:vAlign w:val="top"/>
          </w:tcPr>
          <w:p>
            <w:pPr>
              <w:spacing w:after="30"/>
            </w:pPr>
            <w:r>
              <w:rPr>
                <w:rFonts w:ascii="Aptos" w:hAnsi="Aptos"/>
                <w:color w:val="232D38"/>
                <w:sz w:val="14"/>
              </w:rPr>
              <w:t>F1</w:t>
            </w:r>
          </w:p>
        </w:tc>
        <w:tc>
          <w:tcPr>
            <w:tcW w:type="dxa" w:w="2498"/>
            <w:tcMar>
              <w:top w:w="80" w:type="dxa"/>
              <w:start w:w="90" w:type="dxa"/>
              <w:bottom w:w="80" w:type="dxa"/>
              <w:end w:w="90" w:type="dxa"/>
            </w:tcMar>
            <w:vAlign w:val="top"/>
          </w:tcPr>
          <w:p>
            <w:pPr>
              <w:spacing w:after="30"/>
            </w:pPr>
            <w:r>
              <w:rPr>
                <w:rFonts w:ascii="Aptos" w:hAnsi="Aptos"/>
                <w:color w:val="232D38"/>
                <w:sz w:val="14"/>
              </w:rPr>
              <w:t>Bank funding final</w:t>
            </w:r>
          </w:p>
        </w:tc>
        <w:tc>
          <w:tcPr>
            <w:tcW w:type="dxa" w:w="2498"/>
            <w:tcMar>
              <w:top w:w="80" w:type="dxa"/>
              <w:start w:w="90" w:type="dxa"/>
              <w:bottom w:w="80" w:type="dxa"/>
              <w:end w:w="90" w:type="dxa"/>
            </w:tcMar>
            <w:vAlign w:val="top"/>
          </w:tcPr>
          <w:p>
            <w:pPr>
              <w:spacing w:after="30"/>
            </w:pPr>
            <w:r>
              <w:rPr>
                <w:rFonts w:ascii="Aptos" w:hAnsi="Aptos"/>
                <w:color w:val="232D38"/>
                <w:sz w:val="14"/>
              </w:rPr>
              <w:t>Origin funding institution/recognized rail confirms funding final under its rules.</w:t>
            </w:r>
          </w:p>
        </w:tc>
        <w:tc>
          <w:tcPr>
            <w:tcW w:type="dxa" w:w="2498"/>
            <w:tcMar>
              <w:top w:w="80" w:type="dxa"/>
              <w:start w:w="90" w:type="dxa"/>
              <w:bottom w:w="80" w:type="dxa"/>
              <w:end w:w="90" w:type="dxa"/>
            </w:tcMar>
            <w:vAlign w:val="top"/>
          </w:tcPr>
          <w:p>
            <w:pPr>
              <w:spacing w:after="30"/>
            </w:pPr>
            <w:r>
              <w:rPr>
                <w:rFonts w:ascii="Aptos" w:hAnsi="Aptos"/>
                <w:color w:val="232D38"/>
                <w:sz w:val="14"/>
              </w:rPr>
              <w:t>Remain pending or fail per contract; never mint on instruction alone.</w:t>
            </w:r>
          </w:p>
        </w:tc>
      </w:tr>
      <w:tr>
        <w:trPr>
          <w:cantSplit/>
        </w:trPr>
        <w:tc>
          <w:tcPr>
            <w:tcW w:type="dxa" w:w="2498"/>
            <w:tcMar>
              <w:top w:w="80" w:type="dxa"/>
              <w:start w:w="90" w:type="dxa"/>
              <w:bottom w:w="80" w:type="dxa"/>
              <w:end w:w="90" w:type="dxa"/>
            </w:tcMar>
            <w:vAlign w:val="top"/>
            <w:shd w:fill="F7F9FB"/>
          </w:tcPr>
          <w:p>
            <w:pPr>
              <w:spacing w:after="30"/>
            </w:pPr>
            <w:r>
              <w:rPr>
                <w:rFonts w:ascii="Aptos" w:hAnsi="Aptos"/>
                <w:color w:val="232D38"/>
                <w:sz w:val="14"/>
              </w:rPr>
              <w:t>F2</w:t>
            </w:r>
          </w:p>
        </w:tc>
        <w:tc>
          <w:tcPr>
            <w:tcW w:type="dxa" w:w="2498"/>
            <w:tcMar>
              <w:top w:w="80" w:type="dxa"/>
              <w:start w:w="90" w:type="dxa"/>
              <w:bottom w:w="80" w:type="dxa"/>
              <w:end w:w="90" w:type="dxa"/>
            </w:tcMar>
            <w:vAlign w:val="top"/>
            <w:shd w:fill="F7F9FB"/>
          </w:tcPr>
          <w:p>
            <w:pPr>
              <w:spacing w:after="30"/>
            </w:pPr>
            <w:r>
              <w:rPr>
                <w:rFonts w:ascii="Aptos" w:hAnsi="Aptos"/>
                <w:color w:val="232D38"/>
                <w:sz w:val="14"/>
              </w:rPr>
              <w:t>Legally controlled backing confirmed</w:t>
            </w:r>
          </w:p>
        </w:tc>
        <w:tc>
          <w:tcPr>
            <w:tcW w:type="dxa" w:w="2498"/>
            <w:tcMar>
              <w:top w:w="80" w:type="dxa"/>
              <w:start w:w="90" w:type="dxa"/>
              <w:bottom w:w="80" w:type="dxa"/>
              <w:end w:w="90" w:type="dxa"/>
            </w:tcMar>
            <w:vAlign w:val="top"/>
            <w:shd w:fill="F7F9FB"/>
          </w:tcPr>
          <w:p>
            <w:pPr>
              <w:spacing w:after="30"/>
            </w:pPr>
            <w:r>
              <w:rPr>
                <w:rFonts w:ascii="Aptos" w:hAnsi="Aptos"/>
                <w:color w:val="232D38"/>
                <w:sz w:val="14"/>
              </w:rPr>
              <w:t>Current eligible, non-encumbered backing/control evidence is linked to obligation.</w:t>
            </w:r>
          </w:p>
        </w:tc>
        <w:tc>
          <w:tcPr>
            <w:tcW w:type="dxa" w:w="2498"/>
            <w:tcMar>
              <w:top w:w="80" w:type="dxa"/>
              <w:start w:w="90" w:type="dxa"/>
              <w:bottom w:w="80" w:type="dxa"/>
              <w:end w:w="90" w:type="dxa"/>
            </w:tcMar>
            <w:vAlign w:val="top"/>
            <w:shd w:fill="F7F9FB"/>
          </w:tcPr>
          <w:p>
            <w:pPr>
              <w:spacing w:after="30"/>
            </w:pPr>
            <w:r>
              <w:rPr>
                <w:rFonts w:ascii="Aptos" w:hAnsi="Aptos"/>
                <w:color w:val="232D38"/>
                <w:sz w:val="14"/>
              </w:rPr>
              <w:t>Block MTQ progression; create evidence exception.</w:t>
            </w:r>
          </w:p>
        </w:tc>
      </w:tr>
      <w:tr>
        <w:trPr>
          <w:cantSplit/>
        </w:trPr>
        <w:tc>
          <w:tcPr>
            <w:tcW w:type="dxa" w:w="2498"/>
            <w:tcMar>
              <w:top w:w="80" w:type="dxa"/>
              <w:start w:w="90" w:type="dxa"/>
              <w:bottom w:w="80" w:type="dxa"/>
              <w:end w:w="90" w:type="dxa"/>
            </w:tcMar>
            <w:vAlign w:val="top"/>
          </w:tcPr>
          <w:p>
            <w:pPr>
              <w:spacing w:after="30"/>
            </w:pPr>
            <w:r>
              <w:rPr>
                <w:rFonts w:ascii="Aptos" w:hAnsi="Aptos"/>
                <w:color w:val="232D38"/>
                <w:sz w:val="14"/>
              </w:rPr>
              <w:t>F3</w:t>
            </w:r>
          </w:p>
        </w:tc>
        <w:tc>
          <w:tcPr>
            <w:tcW w:type="dxa" w:w="2498"/>
            <w:tcMar>
              <w:top w:w="80" w:type="dxa"/>
              <w:start w:w="90" w:type="dxa"/>
              <w:bottom w:w="80" w:type="dxa"/>
              <w:end w:w="90" w:type="dxa"/>
            </w:tcMar>
            <w:vAlign w:val="top"/>
          </w:tcPr>
          <w:p>
            <w:pPr>
              <w:spacing w:after="30"/>
            </w:pPr>
            <w:r>
              <w:rPr>
                <w:rFonts w:ascii="Aptos" w:hAnsi="Aptos"/>
                <w:color w:val="232D38"/>
                <w:sz w:val="14"/>
              </w:rPr>
              <w:t>MITHQAL monetary authorization completed</w:t>
            </w:r>
          </w:p>
        </w:tc>
        <w:tc>
          <w:tcPr>
            <w:tcW w:type="dxa" w:w="2498"/>
            <w:tcMar>
              <w:top w:w="80" w:type="dxa"/>
              <w:start w:w="90" w:type="dxa"/>
              <w:bottom w:w="80" w:type="dxa"/>
              <w:end w:w="90" w:type="dxa"/>
            </w:tcMar>
            <w:vAlign w:val="top"/>
          </w:tcPr>
          <w:p>
            <w:pPr>
              <w:spacing w:after="30"/>
            </w:pPr>
            <w:r>
              <w:rPr>
                <w:rFonts w:ascii="Aptos" w:hAnsi="Aptos"/>
                <w:color w:val="232D38"/>
                <w:sz w:val="14"/>
              </w:rPr>
              <w:t>Policy approves with required identity/legal/asset/corridor/limit/approval/evidence; policy hash recorded.</w:t>
            </w:r>
          </w:p>
        </w:tc>
        <w:tc>
          <w:tcPr>
            <w:tcW w:type="dxa" w:w="2498"/>
            <w:tcMar>
              <w:top w:w="80" w:type="dxa"/>
              <w:start w:w="90" w:type="dxa"/>
              <w:bottom w:w="80" w:type="dxa"/>
              <w:end w:w="90" w:type="dxa"/>
            </w:tcMar>
            <w:vAlign w:val="top"/>
          </w:tcPr>
          <w:p>
            <w:pPr>
              <w:spacing w:after="30"/>
            </w:pPr>
            <w:r>
              <w:rPr>
                <w:rFonts w:ascii="Aptos" w:hAnsi="Aptos"/>
                <w:color w:val="232D38"/>
                <w:sz w:val="14"/>
              </w:rPr>
              <w:t>Deny or safe halt; no unauthorized override.</w:t>
            </w:r>
          </w:p>
        </w:tc>
      </w:tr>
      <w:tr>
        <w:trPr>
          <w:cantSplit/>
        </w:trPr>
        <w:tc>
          <w:tcPr>
            <w:tcW w:type="dxa" w:w="2498"/>
            <w:tcMar>
              <w:top w:w="80" w:type="dxa"/>
              <w:start w:w="90" w:type="dxa"/>
              <w:bottom w:w="80" w:type="dxa"/>
              <w:end w:w="90" w:type="dxa"/>
            </w:tcMar>
            <w:vAlign w:val="top"/>
            <w:shd w:fill="F7F9FB"/>
          </w:tcPr>
          <w:p>
            <w:pPr>
              <w:spacing w:after="30"/>
            </w:pPr>
            <w:r>
              <w:rPr>
                <w:rFonts w:ascii="Aptos" w:hAnsi="Aptos"/>
                <w:color w:val="232D38"/>
                <w:sz w:val="14"/>
              </w:rPr>
              <w:t>F4</w:t>
            </w:r>
          </w:p>
        </w:tc>
        <w:tc>
          <w:tcPr>
            <w:tcW w:type="dxa" w:w="2498"/>
            <w:tcMar>
              <w:top w:w="80" w:type="dxa"/>
              <w:start w:w="90" w:type="dxa"/>
              <w:bottom w:w="80" w:type="dxa"/>
              <w:end w:w="90" w:type="dxa"/>
            </w:tcMar>
            <w:vAlign w:val="top"/>
            <w:shd w:fill="F7F9FB"/>
          </w:tcPr>
          <w:p>
            <w:pPr>
              <w:spacing w:after="30"/>
            </w:pPr>
            <w:r>
              <w:rPr>
                <w:rFonts w:ascii="Aptos" w:hAnsi="Aptos"/>
                <w:color w:val="232D38"/>
                <w:sz w:val="14"/>
              </w:rPr>
              <w:t>MITHQAL ledger state committed</w:t>
            </w:r>
          </w:p>
        </w:tc>
        <w:tc>
          <w:tcPr>
            <w:tcW w:type="dxa" w:w="2498"/>
            <w:tcMar>
              <w:top w:w="80" w:type="dxa"/>
              <w:start w:w="90" w:type="dxa"/>
              <w:bottom w:w="80" w:type="dxa"/>
              <w:end w:w="90" w:type="dxa"/>
            </w:tcMar>
            <w:vAlign w:val="top"/>
            <w:shd w:fill="F7F9FB"/>
          </w:tcPr>
          <w:p>
            <w:pPr>
              <w:spacing w:after="30"/>
            </w:pPr>
            <w:r>
              <w:rPr>
                <w:rFonts w:ascii="Aptos" w:hAnsi="Aptos"/>
                <w:color w:val="232D38"/>
                <w:sz w:val="14"/>
              </w:rPr>
              <w:t>Authoritative database transaction writes allowed state transition and journal/outbox atomically.</w:t>
            </w:r>
          </w:p>
        </w:tc>
        <w:tc>
          <w:tcPr>
            <w:tcW w:type="dxa" w:w="2498"/>
            <w:tcMar>
              <w:top w:w="80" w:type="dxa"/>
              <w:start w:w="90" w:type="dxa"/>
              <w:bottom w:w="80" w:type="dxa"/>
              <w:end w:w="90" w:type="dxa"/>
            </w:tcMar>
            <w:vAlign w:val="top"/>
            <w:shd w:fill="F7F9FB"/>
          </w:tcPr>
          <w:p>
            <w:pPr>
              <w:spacing w:after="30"/>
            </w:pPr>
            <w:r>
              <w:rPr>
                <w:rFonts w:ascii="Aptos" w:hAnsi="Aptos"/>
                <w:color w:val="232D38"/>
                <w:sz w:val="14"/>
              </w:rPr>
              <w:t>Rollback; if outcome uncertain, query by idempotency key before retry.</w:t>
            </w:r>
          </w:p>
        </w:tc>
      </w:tr>
      <w:tr>
        <w:trPr>
          <w:cantSplit/>
        </w:trPr>
        <w:tc>
          <w:tcPr>
            <w:tcW w:type="dxa" w:w="2498"/>
            <w:tcMar>
              <w:top w:w="80" w:type="dxa"/>
              <w:start w:w="90" w:type="dxa"/>
              <w:bottom w:w="80" w:type="dxa"/>
              <w:end w:w="90" w:type="dxa"/>
            </w:tcMar>
            <w:vAlign w:val="top"/>
          </w:tcPr>
          <w:p>
            <w:pPr>
              <w:spacing w:after="30"/>
            </w:pPr>
            <w:r>
              <w:rPr>
                <w:rFonts w:ascii="Aptos" w:hAnsi="Aptos"/>
                <w:color w:val="232D38"/>
                <w:sz w:val="14"/>
              </w:rPr>
              <w:t>F5</w:t>
            </w:r>
          </w:p>
        </w:tc>
        <w:tc>
          <w:tcPr>
            <w:tcW w:type="dxa" w:w="2498"/>
            <w:tcMar>
              <w:top w:w="80" w:type="dxa"/>
              <w:start w:w="90" w:type="dxa"/>
              <w:bottom w:w="80" w:type="dxa"/>
              <w:end w:w="90" w:type="dxa"/>
            </w:tcMar>
            <w:vAlign w:val="top"/>
          </w:tcPr>
          <w:p>
            <w:pPr>
              <w:spacing w:after="30"/>
            </w:pPr>
            <w:r>
              <w:rPr>
                <w:rFonts w:ascii="Aptos" w:hAnsi="Aptos"/>
                <w:color w:val="232D38"/>
                <w:sz w:val="14"/>
              </w:rPr>
              <w:t>Receiving institution accepted</w:t>
            </w:r>
          </w:p>
        </w:tc>
        <w:tc>
          <w:tcPr>
            <w:tcW w:type="dxa" w:w="2498"/>
            <w:tcMar>
              <w:top w:w="80" w:type="dxa"/>
              <w:start w:w="90" w:type="dxa"/>
              <w:bottom w:w="80" w:type="dxa"/>
              <w:end w:w="90" w:type="dxa"/>
            </w:tcMar>
            <w:vAlign w:val="top"/>
          </w:tcPr>
          <w:p>
            <w:pPr>
              <w:spacing w:after="30"/>
            </w:pPr>
            <w:r>
              <w:rPr>
                <w:rFonts w:ascii="Aptos" w:hAnsi="Aptos"/>
                <w:color w:val="232D38"/>
                <w:sz w:val="14"/>
              </w:rPr>
              <w:t>Receiving party provides verifiable acceptance under its policy; scope and time recorded.</w:t>
            </w:r>
          </w:p>
        </w:tc>
        <w:tc>
          <w:tcPr>
            <w:tcW w:type="dxa" w:w="2498"/>
            <w:tcMar>
              <w:top w:w="80" w:type="dxa"/>
              <w:start w:w="90" w:type="dxa"/>
              <w:bottom w:w="80" w:type="dxa"/>
              <w:end w:w="90" w:type="dxa"/>
            </w:tcMar>
            <w:vAlign w:val="top"/>
          </w:tcPr>
          <w:p>
            <w:pPr>
              <w:spacing w:after="30"/>
            </w:pPr>
            <w:r>
              <w:rPr>
                <w:rFonts w:ascii="Aptos" w:hAnsi="Aptos"/>
                <w:color w:val="232D38"/>
                <w:sz w:val="14"/>
              </w:rPr>
              <w:t>Pending/rejected; no implied cross-domain finality.</w:t>
            </w:r>
          </w:p>
        </w:tc>
      </w:tr>
      <w:tr>
        <w:trPr>
          <w:cantSplit/>
        </w:trPr>
        <w:tc>
          <w:tcPr>
            <w:tcW w:type="dxa" w:w="2498"/>
            <w:tcMar>
              <w:top w:w="80" w:type="dxa"/>
              <w:start w:w="90" w:type="dxa"/>
              <w:bottom w:w="80" w:type="dxa"/>
              <w:end w:w="90" w:type="dxa"/>
            </w:tcMar>
            <w:vAlign w:val="top"/>
            <w:shd w:fill="F7F9FB"/>
          </w:tcPr>
          <w:p>
            <w:pPr>
              <w:spacing w:after="30"/>
            </w:pPr>
            <w:r>
              <w:rPr>
                <w:rFonts w:ascii="Aptos" w:hAnsi="Aptos"/>
                <w:color w:val="232D38"/>
                <w:sz w:val="14"/>
              </w:rPr>
              <w:t>F6</w:t>
            </w:r>
          </w:p>
        </w:tc>
        <w:tc>
          <w:tcPr>
            <w:tcW w:type="dxa" w:w="2498"/>
            <w:tcMar>
              <w:top w:w="80" w:type="dxa"/>
              <w:start w:w="90" w:type="dxa"/>
              <w:bottom w:w="80" w:type="dxa"/>
              <w:end w:w="90" w:type="dxa"/>
            </w:tcMar>
            <w:vAlign w:val="top"/>
            <w:shd w:fill="F7F9FB"/>
          </w:tcPr>
          <w:p>
            <w:pPr>
              <w:spacing w:after="30"/>
            </w:pPr>
            <w:r>
              <w:rPr>
                <w:rFonts w:ascii="Aptos" w:hAnsi="Aptos"/>
                <w:color w:val="232D38"/>
                <w:sz w:val="14"/>
              </w:rPr>
              <w:t>External rail final</w:t>
            </w:r>
          </w:p>
        </w:tc>
        <w:tc>
          <w:tcPr>
            <w:tcW w:type="dxa" w:w="2498"/>
            <w:tcMar>
              <w:top w:w="80" w:type="dxa"/>
              <w:start w:w="90" w:type="dxa"/>
              <w:bottom w:w="80" w:type="dxa"/>
              <w:end w:w="90" w:type="dxa"/>
            </w:tcMar>
            <w:vAlign w:val="top"/>
            <w:shd w:fill="F7F9FB"/>
          </w:tcPr>
          <w:p>
            <w:pPr>
              <w:spacing w:after="30"/>
            </w:pPr>
            <w:r>
              <w:rPr>
                <w:rFonts w:ascii="Aptos" w:hAnsi="Aptos"/>
                <w:color w:val="232D38"/>
                <w:sz w:val="14"/>
              </w:rPr>
              <w:t>External rail/network evidence reaches its defined final state under rail rules.</w:t>
            </w:r>
          </w:p>
        </w:tc>
        <w:tc>
          <w:tcPr>
            <w:tcW w:type="dxa" w:w="2498"/>
            <w:tcMar>
              <w:top w:w="80" w:type="dxa"/>
              <w:start w:w="90" w:type="dxa"/>
              <w:bottom w:w="80" w:type="dxa"/>
              <w:end w:w="90" w:type="dxa"/>
            </w:tcMar>
            <w:vAlign w:val="top"/>
            <w:shd w:fill="F7F9FB"/>
          </w:tcPr>
          <w:p>
            <w:pPr>
              <w:spacing w:after="30"/>
            </w:pPr>
            <w:r>
              <w:rPr>
                <w:rFonts w:ascii="Aptos" w:hAnsi="Aptos"/>
                <w:color w:val="232D38"/>
                <w:sz w:val="14"/>
              </w:rPr>
              <w:t>Do not infer legal completion; reconcile returns/exceptions.</w:t>
            </w:r>
          </w:p>
        </w:tc>
      </w:tr>
      <w:tr>
        <w:trPr>
          <w:cantSplit/>
        </w:trPr>
        <w:tc>
          <w:tcPr>
            <w:tcW w:type="dxa" w:w="2498"/>
            <w:tcMar>
              <w:top w:w="80" w:type="dxa"/>
              <w:start w:w="90" w:type="dxa"/>
              <w:bottom w:w="80" w:type="dxa"/>
              <w:end w:w="90" w:type="dxa"/>
            </w:tcMar>
            <w:vAlign w:val="top"/>
          </w:tcPr>
          <w:p>
            <w:pPr>
              <w:spacing w:after="30"/>
            </w:pPr>
            <w:r>
              <w:rPr>
                <w:rFonts w:ascii="Aptos" w:hAnsi="Aptos"/>
                <w:color w:val="232D38"/>
                <w:sz w:val="14"/>
              </w:rPr>
              <w:t>F7</w:t>
            </w:r>
          </w:p>
        </w:tc>
        <w:tc>
          <w:tcPr>
            <w:tcW w:type="dxa" w:w="2498"/>
            <w:tcMar>
              <w:top w:w="80" w:type="dxa"/>
              <w:start w:w="90" w:type="dxa"/>
              <w:bottom w:w="80" w:type="dxa"/>
              <w:end w:w="90" w:type="dxa"/>
            </w:tcMar>
            <w:vAlign w:val="top"/>
          </w:tcPr>
          <w:p>
            <w:pPr>
              <w:spacing w:after="30"/>
            </w:pPr>
            <w:r>
              <w:rPr>
                <w:rFonts w:ascii="Aptos" w:hAnsi="Aptos"/>
                <w:color w:val="232D38"/>
                <w:sz w:val="14"/>
              </w:rPr>
              <w:t>Legal settlement final</w:t>
            </w:r>
          </w:p>
        </w:tc>
        <w:tc>
          <w:tcPr>
            <w:tcW w:type="dxa" w:w="2498"/>
            <w:tcMar>
              <w:top w:w="80" w:type="dxa"/>
              <w:start w:w="90" w:type="dxa"/>
              <w:bottom w:w="80" w:type="dxa"/>
              <w:end w:w="90" w:type="dxa"/>
            </w:tcMar>
            <w:vAlign w:val="top"/>
          </w:tcPr>
          <w:p>
            <w:pPr>
              <w:spacing w:after="30"/>
            </w:pPr>
            <w:r>
              <w:rPr>
                <w:rFonts w:ascii="Aptos" w:hAnsi="Aptos"/>
                <w:color w:val="232D38"/>
                <w:sz w:val="14"/>
              </w:rPr>
              <w:t>Applicable legal rule/contractual topology establishes final settlement for exact transaction, asset and parties.</w:t>
            </w:r>
          </w:p>
        </w:tc>
        <w:tc>
          <w:tcPr>
            <w:tcW w:type="dxa" w:w="2498"/>
            <w:tcMar>
              <w:top w:w="80" w:type="dxa"/>
              <w:start w:w="90" w:type="dxa"/>
              <w:bottom w:w="80" w:type="dxa"/>
              <w:end w:w="90" w:type="dxa"/>
            </w:tcMar>
            <w:vAlign w:val="top"/>
          </w:tcPr>
          <w:p>
            <w:pPr>
              <w:spacing w:after="30"/>
            </w:pPr>
            <w:r>
              <w:rPr>
                <w:rFonts w:ascii="Aptos" w:hAnsi="Aptos"/>
                <w:color w:val="232D38"/>
                <w:sz w:val="14"/>
              </w:rPr>
              <w:t>Unknown/disputed remains NOT_FINAL or HOLD.</w:t>
            </w:r>
          </w:p>
        </w:tc>
      </w:tr>
    </w:tbl>
    <w:p>
      <w:pPr>
        <w:spacing w:after="0"/>
      </w:pPr>
    </w:p>
    <w:p>
      <w:r>
        <w:rPr>
          <w:i w:val="0"/>
        </w:rPr>
        <w:t>F0–F7 are stronger evidence conditions, not a universal legal definition shared by every rail. Each adapter needs a domain-specific mapping reviewed by legal/operations. “Final” always names the domain/rule and exact scope.</w:t>
      </w:r>
    </w:p>
    <w:p>
      <w:pPr>
        <w:pStyle w:val="Heading2"/>
      </w:pPr>
      <w:r>
        <w:t>4.3 Atomicity claim limit</w:t>
      </w:r>
    </w:p>
    <w:p>
      <w:pPr>
        <w:keepLines/>
        <w:spacing w:before="100" w:after="120"/>
        <w:ind w:left="144" w:right="144"/>
        <w:shd w:fill="EEF2F6"/>
        <w:ind w:left="120" w:right="120"/>
        <w:pBdr>
          <w:top w:val="single" w:sz="5" w:space="5" w:color="CCD5DF"/>
          <w:left w:val="single" w:sz="5" w:space="5" w:color="CCD5DF"/>
          <w:bottom w:val="single" w:sz="5" w:space="5" w:color="CCD5DF"/>
          <w:right w:val="single" w:sz="5" w:space="5" w:color="CCD5DF"/>
        </w:pBdr>
      </w:pPr>
      <w:r>
        <w:rPr>
          <w:b/>
          <w:color w:val="07111F"/>
          <w:sz w:val="20"/>
        </w:rPr>
        <w:t>ATOMIC SETTLEMENT CLAIM LIMIT</w:t>
        <w:br/>
      </w:r>
      <w:r>
        <w:rPr>
          <w:color w:val="334155"/>
          <w:sz w:val="18"/>
        </w:rPr>
        <w:t>Claim atomic settlement only when all dependent legs share a legally recognized finality domain or an enforceable coordinated arrangement has been validated for the participants/assets. Across independent domains, use finality-coordinated workflow with explicit intermediate states, timeouts, holds, compensating actions and exposure limits. Orchestration/fast confirmation is not atomic settlement.</w:t>
      </w:r>
    </w:p>
    <w:p>
      <w:pPr>
        <w:pStyle w:val="Heading2"/>
      </w:pPr>
      <w:r>
        <w:t>4.4 Canonical BM-15 / BM-16 naming</w:t>
      </w:r>
    </w:p>
    <w:tbl>
      <w:tblPr>
        <w:tblStyle w:val="TableGrid"/>
        <w:tblW w:type="auto" w:w="0"/>
        <w:jc w:val="center"/>
        <w:tblLook w:firstColumn="1" w:firstRow="1" w:lastColumn="0" w:lastRow="0" w:noHBand="0" w:noVBand="1" w:val="04A0"/>
      </w:tblPr>
      <w:tblGrid>
        <w:gridCol w:w="3331"/>
        <w:gridCol w:w="3331"/>
        <w:gridCol w:w="3331"/>
      </w:tblGrid>
      <w:tr>
        <w:trPr>
          <w:tblHeader w:val="true"/>
          <w:cantSplit/>
        </w:trPr>
        <w:tc>
          <w:tcPr>
            <w:tcW w:type="dxa" w:w="1440"/>
            <w:shd w:fill="07111F"/>
            <w:tcMar>
              <w:top w:w="80" w:type="dxa"/>
              <w:start w:w="90" w:type="dxa"/>
              <w:bottom w:w="80" w:type="dxa"/>
              <w:end w:w="90" w:type="dxa"/>
            </w:tcMar>
            <w:vAlign w:val="center"/>
          </w:tcPr>
          <w:p>
            <w:r>
              <w:rPr>
                <w:rFonts w:ascii="Aptos" w:hAnsi="Aptos"/>
                <w:b/>
                <w:color w:val="FFFFFF"/>
                <w:sz w:val="15"/>
              </w:rPr>
              <w:t>Identifier</w:t>
            </w:r>
          </w:p>
        </w:tc>
        <w:tc>
          <w:tcPr>
            <w:tcW w:type="dxa" w:w="2520"/>
            <w:shd w:fill="07111F"/>
            <w:tcMar>
              <w:top w:w="80" w:type="dxa"/>
              <w:start w:w="90" w:type="dxa"/>
              <w:bottom w:w="80" w:type="dxa"/>
              <w:end w:w="90" w:type="dxa"/>
            </w:tcMar>
            <w:vAlign w:val="center"/>
          </w:tcPr>
          <w:p>
            <w:r>
              <w:rPr>
                <w:rFonts w:ascii="Aptos" w:hAnsi="Aptos"/>
                <w:b/>
                <w:color w:val="FFFFFF"/>
                <w:sz w:val="15"/>
              </w:rPr>
              <w:t>Canonical meaning</w:t>
            </w:r>
          </w:p>
        </w:tc>
        <w:tc>
          <w:tcPr>
            <w:tcW w:type="dxa" w:w="6408"/>
            <w:shd w:fill="07111F"/>
            <w:tcMar>
              <w:top w:w="80" w:type="dxa"/>
              <w:start w:w="90" w:type="dxa"/>
              <w:bottom w:w="80" w:type="dxa"/>
              <w:end w:w="90" w:type="dxa"/>
            </w:tcMar>
            <w:vAlign w:val="center"/>
          </w:tcPr>
          <w:p>
            <w:r>
              <w:rPr>
                <w:rFonts w:ascii="Aptos" w:hAnsi="Aptos"/>
                <w:b/>
                <w:color w:val="FFFFFF"/>
                <w:sz w:val="15"/>
              </w:rPr>
              <w:t>Guardrail</w:t>
            </w:r>
          </w:p>
        </w:tc>
      </w:tr>
      <w:tr>
        <w:trPr>
          <w:cantSplit/>
        </w:trPr>
        <w:tc>
          <w:tcPr>
            <w:tcW w:type="dxa" w:w="3331"/>
            <w:tcMar>
              <w:top w:w="80" w:type="dxa"/>
              <w:start w:w="90" w:type="dxa"/>
              <w:bottom w:w="80" w:type="dxa"/>
              <w:end w:w="90" w:type="dxa"/>
            </w:tcMar>
            <w:vAlign w:val="top"/>
            <w:shd w:fill="F7F9FB"/>
          </w:tcPr>
          <w:p>
            <w:pPr>
              <w:spacing w:after="30"/>
            </w:pPr>
            <w:r>
              <w:rPr>
                <w:rFonts w:ascii="Aptos" w:hAnsi="Aptos"/>
                <w:color w:val="232D38"/>
                <w:sz w:val="15"/>
              </w:rPr>
              <w:t>BM-15</w:t>
            </w:r>
          </w:p>
        </w:tc>
        <w:tc>
          <w:tcPr>
            <w:tcW w:type="dxa" w:w="3331"/>
            <w:tcMar>
              <w:top w:w="80" w:type="dxa"/>
              <w:start w:w="90" w:type="dxa"/>
              <w:bottom w:w="80" w:type="dxa"/>
              <w:end w:w="90" w:type="dxa"/>
            </w:tcMar>
            <w:vAlign w:val="top"/>
            <w:shd w:fill="F7F9FB"/>
          </w:tcPr>
          <w:p>
            <w:pPr>
              <w:spacing w:after="30"/>
            </w:pPr>
            <w:r>
              <w:rPr>
                <w:rFonts w:ascii="Aptos" w:hAnsi="Aptos"/>
                <w:color w:val="232D38"/>
                <w:sz w:val="15"/>
              </w:rPr>
              <w:t>Monetary Authorization</w:t>
            </w:r>
          </w:p>
        </w:tc>
        <w:tc>
          <w:tcPr>
            <w:tcW w:type="dxa" w:w="3331"/>
            <w:tcMar>
              <w:top w:w="80" w:type="dxa"/>
              <w:start w:w="90" w:type="dxa"/>
              <w:bottom w:w="80" w:type="dxa"/>
              <w:end w:w="90" w:type="dxa"/>
            </w:tcMar>
            <w:vAlign w:val="top"/>
            <w:shd w:fill="F7F9FB"/>
          </w:tcPr>
          <w:p>
            <w:pPr>
              <w:spacing w:after="30"/>
            </w:pPr>
            <w:r>
              <w:rPr>
                <w:rFonts w:ascii="Aptos" w:hAnsi="Aptos"/>
                <w:color w:val="232D38"/>
                <w:sz w:val="15"/>
              </w:rPr>
              <w:t>Evaluates permission for the specified MTQ-related transition. Cannot execute mint or prove external finality.</w:t>
            </w:r>
          </w:p>
        </w:tc>
      </w:tr>
      <w:tr>
        <w:trPr>
          <w:cantSplit/>
        </w:trPr>
        <w:tc>
          <w:tcPr>
            <w:tcW w:type="dxa" w:w="3331"/>
            <w:tcMar>
              <w:top w:w="80" w:type="dxa"/>
              <w:start w:w="90" w:type="dxa"/>
              <w:bottom w:w="80" w:type="dxa"/>
              <w:end w:w="90" w:type="dxa"/>
            </w:tcMar>
            <w:vAlign w:val="top"/>
          </w:tcPr>
          <w:p>
            <w:pPr>
              <w:spacing w:after="30"/>
            </w:pPr>
            <w:r>
              <w:rPr>
                <w:rFonts w:ascii="Aptos" w:hAnsi="Aptos"/>
                <w:color w:val="232D38"/>
                <w:sz w:val="15"/>
              </w:rPr>
              <w:t>BM-16A</w:t>
            </w:r>
          </w:p>
        </w:tc>
        <w:tc>
          <w:tcPr>
            <w:tcW w:type="dxa" w:w="3331"/>
            <w:tcMar>
              <w:top w:w="80" w:type="dxa"/>
              <w:start w:w="90" w:type="dxa"/>
              <w:bottom w:w="80" w:type="dxa"/>
              <w:end w:w="90" w:type="dxa"/>
            </w:tcMar>
            <w:vAlign w:val="top"/>
          </w:tcPr>
          <w:p>
            <w:pPr>
              <w:spacing w:after="30"/>
            </w:pPr>
            <w:r>
              <w:rPr>
                <w:rFonts w:ascii="Aptos" w:hAnsi="Aptos"/>
                <w:color w:val="232D38"/>
                <w:sz w:val="15"/>
              </w:rPr>
              <w:t>Finality Verification</w:t>
            </w:r>
          </w:p>
        </w:tc>
        <w:tc>
          <w:tcPr>
            <w:tcW w:type="dxa" w:w="3331"/>
            <w:tcMar>
              <w:top w:w="80" w:type="dxa"/>
              <w:start w:w="90" w:type="dxa"/>
              <w:bottom w:w="80" w:type="dxa"/>
              <w:end w:w="90" w:type="dxa"/>
            </w:tcMar>
            <w:vAlign w:val="top"/>
          </w:tcPr>
          <w:p>
            <w:pPr>
              <w:spacing w:after="30"/>
            </w:pPr>
            <w:r>
              <w:rPr>
                <w:rFonts w:ascii="Aptos" w:hAnsi="Aptos"/>
                <w:color w:val="232D38"/>
                <w:sz w:val="15"/>
              </w:rPr>
              <w:t>Verifies required finality evidence, bound to transaction, rail/domain, rule, evidence and timestamp.</w:t>
            </w:r>
          </w:p>
        </w:tc>
      </w:tr>
      <w:tr>
        <w:trPr>
          <w:cantSplit/>
        </w:trPr>
        <w:tc>
          <w:tcPr>
            <w:tcW w:type="dxa" w:w="3331"/>
            <w:tcMar>
              <w:top w:w="80" w:type="dxa"/>
              <w:start w:w="90" w:type="dxa"/>
              <w:bottom w:w="80" w:type="dxa"/>
              <w:end w:w="90" w:type="dxa"/>
            </w:tcMar>
            <w:vAlign w:val="top"/>
            <w:shd w:fill="F7F9FB"/>
          </w:tcPr>
          <w:p>
            <w:pPr>
              <w:spacing w:after="30"/>
            </w:pPr>
            <w:r>
              <w:rPr>
                <w:rFonts w:ascii="Aptos" w:hAnsi="Aptos"/>
                <w:color w:val="232D38"/>
                <w:sz w:val="15"/>
              </w:rPr>
              <w:t>BM-16B</w:t>
            </w:r>
          </w:p>
        </w:tc>
        <w:tc>
          <w:tcPr>
            <w:tcW w:type="dxa" w:w="3331"/>
            <w:tcMar>
              <w:top w:w="80" w:type="dxa"/>
              <w:start w:w="90" w:type="dxa"/>
              <w:bottom w:w="80" w:type="dxa"/>
              <w:end w:w="90" w:type="dxa"/>
            </w:tcMar>
            <w:vAlign w:val="top"/>
            <w:shd w:fill="F7F9FB"/>
          </w:tcPr>
          <w:p>
            <w:pPr>
              <w:spacing w:after="30"/>
            </w:pPr>
            <w:r>
              <w:rPr>
                <w:rFonts w:ascii="Aptos" w:hAnsi="Aptos"/>
                <w:color w:val="232D38"/>
                <w:sz w:val="15"/>
              </w:rPr>
              <w:t>Mint Execution</w:t>
            </w:r>
          </w:p>
        </w:tc>
        <w:tc>
          <w:tcPr>
            <w:tcW w:type="dxa" w:w="3331"/>
            <w:tcMar>
              <w:top w:w="80" w:type="dxa"/>
              <w:start w:w="90" w:type="dxa"/>
              <w:bottom w:w="80" w:type="dxa"/>
              <w:end w:w="90" w:type="dxa"/>
            </w:tcMar>
            <w:vAlign w:val="top"/>
            <w:shd w:fill="F7F9FB"/>
          </w:tcPr>
          <w:p>
            <w:pPr>
              <w:spacing w:after="30"/>
            </w:pPr>
            <w:r>
              <w:rPr>
                <w:rFonts w:ascii="Aptos" w:hAnsi="Aptos"/>
                <w:color w:val="232D38"/>
                <w:sz w:val="15"/>
              </w:rPr>
              <w:t>Executes issuance only after all prior gates/authorization proofs; disabled until MTQ and external preconditions approved.</w:t>
            </w:r>
          </w:p>
        </w:tc>
      </w:tr>
    </w:tbl>
    <w:p>
      <w:pPr>
        <w:spacing w:after="0"/>
      </w:pPr>
    </w:p>
    <w:p>
      <w:r>
        <w:rPr>
          <w:i w:val="0"/>
        </w:rPr>
        <w:t>This is the sole active naming model. Legacy definitions of BM-15 as “Mint Permission Engine” and BM-16 as a combined “Finality Verification + Mint” are historical only. Search code, comments, tests, documents, diagrams, workflow registries, events and generated bundles.</w:t>
      </w:r>
    </w:p>
    <w:p>
      <w:pPr>
        <w:pStyle w:val="Heading2"/>
      </w:pPr>
      <w:r>
        <w:t>4.5 Routing and liquidity optimization</w:t>
      </w:r>
    </w:p>
    <w:p>
      <w:r>
        <w:rPr>
          <w:i w:val="0"/>
        </w:rPr>
        <w:t>Select the best feasible candidate, not merely the fastest/cheapest. Eligibility/compliance are hard constraints; optimization applies only after route eligibility.</w:t>
      </w:r>
    </w:p>
    <w:p>
      <w:pPr>
        <w:pStyle w:val="ListBullet"/>
        <w:spacing w:after="50"/>
      </w:pPr>
      <w:r>
        <w:t>Hard constraints: institution authorized; corridor/jurisdictions approved for the exact activity; asset/rail legally available; sanctions checks passed; participant capabilities present; funding/backing/liquidity available; current policy/permissions; limits satisfied.</w:t>
      </w:r>
    </w:p>
    <w:p>
      <w:pPr>
        <w:pStyle w:val="ListBullet"/>
        <w:spacing w:after="50"/>
      </w:pPr>
      <w:r>
        <w:t>Soft scoring: total cost, FX transparency, expected time, cutoff fit, available liquidity, counterparty concentration, reliability, exception rate, data quality and recovery behavior.</w:t>
      </w:r>
    </w:p>
    <w:p>
      <w:pPr>
        <w:pStyle w:val="ListBullet"/>
        <w:spacing w:after="50"/>
      </w:pPr>
      <w:r>
        <w:t>Persist feasible candidates, input snapshot, rejected-route reasons, weight/policy version, chosen route and actor/model identity. AI must not hide why it selected a route.</w:t>
      </w:r>
    </w:p>
    <w:p>
      <w:pPr>
        <w:pStyle w:val="ListBullet"/>
        <w:spacing w:after="50"/>
      </w:pPr>
      <w:r>
        <w:t>Do not require network-wide prefunding by default. Measure balances, release timing, intraday overlap and counterparty exposure; optimize within rules.</w:t>
      </w:r>
    </w:p>
    <w:p>
      <w:pPr>
        <w:pStyle w:val="ListBullet"/>
        <w:spacing w:after="50"/>
      </w:pPr>
      <w:r>
        <w:t>If route data is stale/unavailable/inconsistent, use an approved safe route or stop. Never invent rates or availability.</w:t>
      </w:r>
    </w:p>
    <w:p>
      <w:pPr>
        <w:pStyle w:val="Heading2"/>
      </w:pPr>
      <w:r>
        <w:t>4.6 Compliance orchestration — not outsourced compliance</w:t>
      </w:r>
    </w:p>
    <w:p>
      <w:r>
        <w:rPr>
          <w:i w:val="0"/>
        </w:rPr>
        <w:t>MITHQAL coordinates evidence and agreed controls; it must not claim to assume a bank’s legal compliance duty unless law and valid contracts support that arrangement. Each pilot defines accountability for CDD, transaction monitoring, sanctions, suspicious activity reporting and exception disposition.</w:t>
      </w:r>
    </w:p>
    <w:p>
      <w:pPr>
        <w:pStyle w:val="ListBullet"/>
        <w:spacing w:after="50"/>
      </w:pPr>
      <w:r>
        <w:t>An API response is not a compliance pass. Require explicit status, source/provider, rule/list version, evaluated identity/transaction and reason code.</w:t>
      </w:r>
    </w:p>
    <w:p>
      <w:pPr>
        <w:pStyle w:val="ListBullet"/>
        <w:spacing w:after="50"/>
      </w:pPr>
      <w:r>
        <w:t>Missing required data, unavailable screening, stale result or ambiguous source means fail-closed or legally approved hold.</w:t>
      </w:r>
    </w:p>
    <w:p>
      <w:pPr>
        <w:pStyle w:val="ListBullet"/>
        <w:spacing w:after="50"/>
      </w:pPr>
      <w:r>
        <w:t>Minimize personal/restricted data in Inngest payloads/logs; store only approved evidence references and protected source records.</w:t>
      </w:r>
    </w:p>
    <w:p>
      <w:pPr>
        <w:pStyle w:val="ListBullet"/>
        <w:spacing w:after="50"/>
      </w:pPr>
      <w:r>
        <w:t>Replay must show the historical policy/evidence state and separately show any current-policy reassessment.</w:t>
      </w:r>
    </w:p>
    <w:p>
      <w:pPr>
        <w:pStyle w:val="Heading2"/>
      </w:pPr>
      <w:r>
        <w:t>4.7 Exceptions, disputes and manual intervention</w:t>
      </w:r>
    </w:p>
    <w:tbl>
      <w:tblPr>
        <w:tblStyle w:val="TableGrid"/>
        <w:tblW w:type="auto" w:w="0"/>
        <w:jc w:val="center"/>
        <w:tblLook w:firstColumn="1" w:firstRow="1" w:lastColumn="0" w:lastRow="0" w:noHBand="0" w:noVBand="1" w:val="04A0"/>
      </w:tblPr>
      <w:tblGrid>
        <w:gridCol w:w="3331"/>
        <w:gridCol w:w="3331"/>
        <w:gridCol w:w="3331"/>
      </w:tblGrid>
      <w:tr>
        <w:trPr>
          <w:tblHeader w:val="true"/>
          <w:cantSplit/>
        </w:trPr>
        <w:tc>
          <w:tcPr>
            <w:tcW w:type="dxa" w:w="1872"/>
            <w:shd w:fill="07111F"/>
            <w:tcMar>
              <w:top w:w="80" w:type="dxa"/>
              <w:start w:w="90" w:type="dxa"/>
              <w:bottom w:w="80" w:type="dxa"/>
              <w:end w:w="90" w:type="dxa"/>
            </w:tcMar>
            <w:vAlign w:val="center"/>
          </w:tcPr>
          <w:p>
            <w:r>
              <w:rPr>
                <w:rFonts w:ascii="Aptos" w:hAnsi="Aptos"/>
                <w:b/>
                <w:color w:val="FFFFFF"/>
                <w:sz w:val="14"/>
              </w:rPr>
              <w:t>Scenario</w:t>
            </w:r>
          </w:p>
        </w:tc>
        <w:tc>
          <w:tcPr>
            <w:tcW w:type="dxa" w:w="4464"/>
            <w:shd w:fill="07111F"/>
            <w:tcMar>
              <w:top w:w="80" w:type="dxa"/>
              <w:start w:w="90" w:type="dxa"/>
              <w:bottom w:w="80" w:type="dxa"/>
              <w:end w:w="90" w:type="dxa"/>
            </w:tcMar>
            <w:vAlign w:val="center"/>
          </w:tcPr>
          <w:p>
            <w:r>
              <w:rPr>
                <w:rFonts w:ascii="Aptos" w:hAnsi="Aptos"/>
                <w:b/>
                <w:color w:val="FFFFFF"/>
                <w:sz w:val="14"/>
              </w:rPr>
              <w:t>Required behavior</w:t>
            </w:r>
          </w:p>
        </w:tc>
        <w:tc>
          <w:tcPr>
            <w:tcW w:type="dxa" w:w="3744"/>
            <w:shd w:fill="07111F"/>
            <w:tcMar>
              <w:top w:w="80" w:type="dxa"/>
              <w:start w:w="90" w:type="dxa"/>
              <w:bottom w:w="80" w:type="dxa"/>
              <w:end w:w="90" w:type="dxa"/>
            </w:tcMar>
            <w:vAlign w:val="center"/>
          </w:tcPr>
          <w:p>
            <w:r>
              <w:rPr>
                <w:rFonts w:ascii="Aptos" w:hAnsi="Aptos"/>
                <w:b/>
                <w:color w:val="FFFFFF"/>
                <w:sz w:val="14"/>
              </w:rPr>
              <w:t>Closure evidence</w:t>
            </w:r>
          </w:p>
        </w:tc>
      </w:tr>
      <w:tr>
        <w:trPr>
          <w:cantSplit/>
        </w:trPr>
        <w:tc>
          <w:tcPr>
            <w:tcW w:type="dxa" w:w="3331"/>
            <w:tcMar>
              <w:top w:w="80" w:type="dxa"/>
              <w:start w:w="90" w:type="dxa"/>
              <w:bottom w:w="80" w:type="dxa"/>
              <w:end w:w="90" w:type="dxa"/>
            </w:tcMar>
            <w:vAlign w:val="top"/>
            <w:shd w:fill="F7F9FB"/>
          </w:tcPr>
          <w:p>
            <w:pPr>
              <w:spacing w:after="30"/>
            </w:pPr>
            <w:r>
              <w:rPr>
                <w:rFonts w:ascii="Aptos" w:hAnsi="Aptos"/>
                <w:color w:val="232D38"/>
                <w:sz w:val="14"/>
              </w:rPr>
              <w:t>Timeout/unknown outcome</w:t>
            </w:r>
          </w:p>
        </w:tc>
        <w:tc>
          <w:tcPr>
            <w:tcW w:type="dxa" w:w="3331"/>
            <w:tcMar>
              <w:top w:w="80" w:type="dxa"/>
              <w:start w:w="90" w:type="dxa"/>
              <w:bottom w:w="80" w:type="dxa"/>
              <w:end w:w="90" w:type="dxa"/>
            </w:tcMar>
            <w:vAlign w:val="top"/>
            <w:shd w:fill="F7F9FB"/>
          </w:tcPr>
          <w:p>
            <w:pPr>
              <w:spacing w:after="30"/>
            </w:pPr>
            <w:r>
              <w:rPr>
                <w:rFonts w:ascii="Aptos" w:hAnsi="Aptos"/>
                <w:color w:val="232D38"/>
                <w:sz w:val="14"/>
              </w:rPr>
              <w:t>Do not resend a non-idempotent operation blindly; query original idempotency key/external reference first.</w:t>
            </w:r>
          </w:p>
        </w:tc>
        <w:tc>
          <w:tcPr>
            <w:tcW w:type="dxa" w:w="3331"/>
            <w:tcMar>
              <w:top w:w="80" w:type="dxa"/>
              <w:start w:w="90" w:type="dxa"/>
              <w:bottom w:w="80" w:type="dxa"/>
              <w:end w:w="90" w:type="dxa"/>
            </w:tcMar>
            <w:vAlign w:val="top"/>
            <w:shd w:fill="F7F9FB"/>
          </w:tcPr>
          <w:p>
            <w:pPr>
              <w:spacing w:after="30"/>
            </w:pPr>
            <w:r>
              <w:rPr>
                <w:rFonts w:ascii="Aptos" w:hAnsi="Aptos"/>
                <w:color w:val="232D38"/>
                <w:sz w:val="14"/>
              </w:rPr>
              <w:t>Source query, linked event and final disposition.</w:t>
            </w:r>
          </w:p>
        </w:tc>
      </w:tr>
      <w:tr>
        <w:trPr>
          <w:cantSplit/>
        </w:trPr>
        <w:tc>
          <w:tcPr>
            <w:tcW w:type="dxa" w:w="3331"/>
            <w:tcMar>
              <w:top w:w="80" w:type="dxa"/>
              <w:start w:w="90" w:type="dxa"/>
              <w:bottom w:w="80" w:type="dxa"/>
              <w:end w:w="90" w:type="dxa"/>
            </w:tcMar>
            <w:vAlign w:val="top"/>
          </w:tcPr>
          <w:p>
            <w:pPr>
              <w:spacing w:after="30"/>
            </w:pPr>
            <w:r>
              <w:rPr>
                <w:rFonts w:ascii="Aptos" w:hAnsi="Aptos"/>
                <w:color w:val="232D38"/>
                <w:sz w:val="14"/>
              </w:rPr>
              <w:t>Duplicate event/callback</w:t>
            </w:r>
          </w:p>
        </w:tc>
        <w:tc>
          <w:tcPr>
            <w:tcW w:type="dxa" w:w="3331"/>
            <w:tcMar>
              <w:top w:w="80" w:type="dxa"/>
              <w:start w:w="90" w:type="dxa"/>
              <w:bottom w:w="80" w:type="dxa"/>
              <w:end w:w="90" w:type="dxa"/>
            </w:tcMar>
            <w:vAlign w:val="top"/>
          </w:tcPr>
          <w:p>
            <w:pPr>
              <w:spacing w:after="30"/>
            </w:pPr>
            <w:r>
              <w:rPr>
                <w:rFonts w:ascii="Aptos" w:hAnsi="Aptos"/>
                <w:color w:val="232D38"/>
                <w:sz w:val="14"/>
              </w:rPr>
              <w:t>Deduplicate provider/event ID and business idempotency reference; preserve receipt evidence where meaningful.</w:t>
            </w:r>
          </w:p>
        </w:tc>
        <w:tc>
          <w:tcPr>
            <w:tcW w:type="dxa" w:w="3331"/>
            <w:tcMar>
              <w:top w:w="80" w:type="dxa"/>
              <w:start w:w="90" w:type="dxa"/>
              <w:bottom w:w="80" w:type="dxa"/>
              <w:end w:w="90" w:type="dxa"/>
            </w:tcMar>
            <w:vAlign w:val="top"/>
          </w:tcPr>
          <w:p>
            <w:pPr>
              <w:spacing w:after="30"/>
            </w:pPr>
            <w:r>
              <w:rPr>
                <w:rFonts w:ascii="Aptos" w:hAnsi="Aptos"/>
                <w:color w:val="232D38"/>
                <w:sz w:val="14"/>
              </w:rPr>
              <w:t>Original event link and suppression reason.</w:t>
            </w:r>
          </w:p>
        </w:tc>
      </w:tr>
      <w:tr>
        <w:trPr>
          <w:cantSplit/>
        </w:trPr>
        <w:tc>
          <w:tcPr>
            <w:tcW w:type="dxa" w:w="3331"/>
            <w:tcMar>
              <w:top w:w="80" w:type="dxa"/>
              <w:start w:w="90" w:type="dxa"/>
              <w:bottom w:w="80" w:type="dxa"/>
              <w:end w:w="90" w:type="dxa"/>
            </w:tcMar>
            <w:vAlign w:val="top"/>
            <w:shd w:fill="F7F9FB"/>
          </w:tcPr>
          <w:p>
            <w:pPr>
              <w:spacing w:after="30"/>
            </w:pPr>
            <w:r>
              <w:rPr>
                <w:rFonts w:ascii="Aptos" w:hAnsi="Aptos"/>
                <w:color w:val="232D38"/>
                <w:sz w:val="14"/>
              </w:rPr>
              <w:t>Reconciliation mismatch</w:t>
            </w:r>
          </w:p>
        </w:tc>
        <w:tc>
          <w:tcPr>
            <w:tcW w:type="dxa" w:w="3331"/>
            <w:tcMar>
              <w:top w:w="80" w:type="dxa"/>
              <w:start w:w="90" w:type="dxa"/>
              <w:bottom w:w="80" w:type="dxa"/>
              <w:end w:w="90" w:type="dxa"/>
            </w:tcMar>
            <w:vAlign w:val="top"/>
            <w:shd w:fill="F7F9FB"/>
          </w:tcPr>
          <w:p>
            <w:pPr>
              <w:spacing w:after="30"/>
            </w:pPr>
            <w:r>
              <w:rPr>
                <w:rFonts w:ascii="Aptos" w:hAnsi="Aptos"/>
                <w:color w:val="232D38"/>
                <w:sz w:val="14"/>
              </w:rPr>
              <w:t>Open case, block progression if material, quantify discrepancy, identify source set and accountable owner.</w:t>
            </w:r>
          </w:p>
        </w:tc>
        <w:tc>
          <w:tcPr>
            <w:tcW w:type="dxa" w:w="3331"/>
            <w:tcMar>
              <w:top w:w="80" w:type="dxa"/>
              <w:start w:w="90" w:type="dxa"/>
              <w:bottom w:w="80" w:type="dxa"/>
              <w:end w:w="90" w:type="dxa"/>
            </w:tcMar>
            <w:vAlign w:val="top"/>
            <w:shd w:fill="F7F9FB"/>
          </w:tcPr>
          <w:p>
            <w:pPr>
              <w:spacing w:after="30"/>
            </w:pPr>
            <w:r>
              <w:rPr>
                <w:rFonts w:ascii="Aptos" w:hAnsi="Aptos"/>
                <w:color w:val="232D38"/>
                <w:sz w:val="14"/>
              </w:rPr>
              <w:t>Independent sources, explanation, approval and linked correction if any.</w:t>
            </w:r>
          </w:p>
        </w:tc>
      </w:tr>
      <w:tr>
        <w:trPr>
          <w:cantSplit/>
        </w:trPr>
        <w:tc>
          <w:tcPr>
            <w:tcW w:type="dxa" w:w="3331"/>
            <w:tcMar>
              <w:top w:w="80" w:type="dxa"/>
              <w:start w:w="90" w:type="dxa"/>
              <w:bottom w:w="80" w:type="dxa"/>
              <w:end w:w="90" w:type="dxa"/>
            </w:tcMar>
            <w:vAlign w:val="top"/>
          </w:tcPr>
          <w:p>
            <w:pPr>
              <w:spacing w:after="30"/>
            </w:pPr>
            <w:r>
              <w:rPr>
                <w:rFonts w:ascii="Aptos" w:hAnsi="Aptos"/>
                <w:color w:val="232D38"/>
                <w:sz w:val="14"/>
              </w:rPr>
              <w:t>Compliance hold</w:t>
            </w:r>
          </w:p>
        </w:tc>
        <w:tc>
          <w:tcPr>
            <w:tcW w:type="dxa" w:w="3331"/>
            <w:tcMar>
              <w:top w:w="80" w:type="dxa"/>
              <w:start w:w="90" w:type="dxa"/>
              <w:bottom w:w="80" w:type="dxa"/>
              <w:end w:w="90" w:type="dxa"/>
            </w:tcMar>
            <w:vAlign w:val="top"/>
          </w:tcPr>
          <w:p>
            <w:pPr>
              <w:spacing w:after="30"/>
            </w:pPr>
            <w:r>
              <w:rPr>
                <w:rFonts w:ascii="Aptos" w:hAnsi="Aptos"/>
                <w:color w:val="232D38"/>
                <w:sz w:val="14"/>
              </w:rPr>
              <w:t>Block further prohibited movement, preserve evidence/deadlines and limit sensitive-reason access.</w:t>
            </w:r>
          </w:p>
        </w:tc>
        <w:tc>
          <w:tcPr>
            <w:tcW w:type="dxa" w:w="3331"/>
            <w:tcMar>
              <w:top w:w="80" w:type="dxa"/>
              <w:start w:w="90" w:type="dxa"/>
              <w:bottom w:w="80" w:type="dxa"/>
              <w:end w:w="90" w:type="dxa"/>
            </w:tcMar>
            <w:vAlign w:val="top"/>
          </w:tcPr>
          <w:p>
            <w:pPr>
              <w:spacing w:after="30"/>
            </w:pPr>
            <w:r>
              <w:rPr>
                <w:rFonts w:ascii="Aptos" w:hAnsi="Aptos"/>
                <w:color w:val="232D38"/>
                <w:sz w:val="14"/>
              </w:rPr>
              <w:t>Authorized disposition and source-system proof.</w:t>
            </w:r>
          </w:p>
        </w:tc>
      </w:tr>
      <w:tr>
        <w:trPr>
          <w:cantSplit/>
        </w:trPr>
        <w:tc>
          <w:tcPr>
            <w:tcW w:type="dxa" w:w="3331"/>
            <w:tcMar>
              <w:top w:w="80" w:type="dxa"/>
              <w:start w:w="90" w:type="dxa"/>
              <w:bottom w:w="80" w:type="dxa"/>
              <w:end w:w="90" w:type="dxa"/>
            </w:tcMar>
            <w:vAlign w:val="top"/>
            <w:shd w:fill="F7F9FB"/>
          </w:tcPr>
          <w:p>
            <w:pPr>
              <w:spacing w:after="30"/>
            </w:pPr>
            <w:r>
              <w:rPr>
                <w:rFonts w:ascii="Aptos" w:hAnsi="Aptos"/>
                <w:color w:val="232D38"/>
                <w:sz w:val="14"/>
              </w:rPr>
              <w:t>Provider/rail outage</w:t>
            </w:r>
          </w:p>
        </w:tc>
        <w:tc>
          <w:tcPr>
            <w:tcW w:type="dxa" w:w="3331"/>
            <w:tcMar>
              <w:top w:w="80" w:type="dxa"/>
              <w:start w:w="90" w:type="dxa"/>
              <w:bottom w:w="80" w:type="dxa"/>
              <w:end w:w="90" w:type="dxa"/>
            </w:tcMar>
            <w:vAlign w:val="top"/>
            <w:shd w:fill="F7F9FB"/>
          </w:tcPr>
          <w:p>
            <w:pPr>
              <w:spacing w:after="30"/>
            </w:pPr>
            <w:r>
              <w:rPr>
                <w:rFonts w:ascii="Aptos" w:hAnsi="Aptos"/>
                <w:color w:val="232D38"/>
                <w:sz w:val="14"/>
              </w:rPr>
              <w:t>Mark DEGRADED/BLOCKED; stop unsafe instructions or use only pre-approved eligible alternatives.</w:t>
            </w:r>
          </w:p>
        </w:tc>
        <w:tc>
          <w:tcPr>
            <w:tcW w:type="dxa" w:w="3331"/>
            <w:tcMar>
              <w:top w:w="80" w:type="dxa"/>
              <w:start w:w="90" w:type="dxa"/>
              <w:bottom w:w="80" w:type="dxa"/>
              <w:end w:w="90" w:type="dxa"/>
            </w:tcMar>
            <w:vAlign w:val="top"/>
            <w:shd w:fill="F7F9FB"/>
          </w:tcPr>
          <w:p>
            <w:pPr>
              <w:spacing w:after="30"/>
            </w:pPr>
            <w:r>
              <w:rPr>
                <w:rFonts w:ascii="Aptos" w:hAnsi="Aptos"/>
                <w:color w:val="232D38"/>
                <w:sz w:val="14"/>
              </w:rPr>
              <w:t>Health evidence, failover decision and recovery test.</w:t>
            </w:r>
          </w:p>
        </w:tc>
      </w:tr>
      <w:tr>
        <w:trPr>
          <w:cantSplit/>
        </w:trPr>
        <w:tc>
          <w:tcPr>
            <w:tcW w:type="dxa" w:w="3331"/>
            <w:tcMar>
              <w:top w:w="80" w:type="dxa"/>
              <w:start w:w="90" w:type="dxa"/>
              <w:bottom w:w="80" w:type="dxa"/>
              <w:end w:w="90" w:type="dxa"/>
            </w:tcMar>
            <w:vAlign w:val="top"/>
          </w:tcPr>
          <w:p>
            <w:pPr>
              <w:spacing w:after="30"/>
            </w:pPr>
            <w:r>
              <w:rPr>
                <w:rFonts w:ascii="Aptos" w:hAnsi="Aptos"/>
                <w:color w:val="232D38"/>
                <w:sz w:val="14"/>
              </w:rPr>
              <w:t>Operator override</w:t>
            </w:r>
          </w:p>
        </w:tc>
        <w:tc>
          <w:tcPr>
            <w:tcW w:type="dxa" w:w="3331"/>
            <w:tcMar>
              <w:top w:w="80" w:type="dxa"/>
              <w:start w:w="90" w:type="dxa"/>
              <w:bottom w:w="80" w:type="dxa"/>
              <w:end w:w="90" w:type="dxa"/>
            </w:tcMar>
            <w:vAlign w:val="top"/>
          </w:tcPr>
          <w:p>
            <w:pPr>
              <w:spacing w:after="30"/>
            </w:pPr>
            <w:r>
              <w:rPr>
                <w:rFonts w:ascii="Aptos" w:hAnsi="Aptos"/>
                <w:color w:val="232D38"/>
                <w:sz w:val="14"/>
              </w:rPr>
              <w:t>Scoped break-glass, dual control, expiry, reason, transaction range and immutable audit; never override legal prohibition.</w:t>
            </w:r>
          </w:p>
        </w:tc>
        <w:tc>
          <w:tcPr>
            <w:tcW w:type="dxa" w:w="3331"/>
            <w:tcMar>
              <w:top w:w="80" w:type="dxa"/>
              <w:start w:w="90" w:type="dxa"/>
              <w:bottom w:w="80" w:type="dxa"/>
              <w:end w:w="90" w:type="dxa"/>
            </w:tcMar>
            <w:vAlign w:val="top"/>
          </w:tcPr>
          <w:p>
            <w:pPr>
              <w:spacing w:after="30"/>
            </w:pPr>
            <w:r>
              <w:rPr>
                <w:rFonts w:ascii="Aptos" w:hAnsi="Aptos"/>
                <w:color w:val="232D38"/>
                <w:sz w:val="14"/>
              </w:rPr>
              <w:t>Pre/post state, approvers, expiry and incident review.</w:t>
            </w:r>
          </w:p>
        </w:tc>
      </w:tr>
      <w:tr>
        <w:trPr>
          <w:cantSplit/>
        </w:trPr>
        <w:tc>
          <w:tcPr>
            <w:tcW w:type="dxa" w:w="3331"/>
            <w:tcMar>
              <w:top w:w="80" w:type="dxa"/>
              <w:start w:w="90" w:type="dxa"/>
              <w:bottom w:w="80" w:type="dxa"/>
              <w:end w:w="90" w:type="dxa"/>
            </w:tcMar>
            <w:vAlign w:val="top"/>
            <w:shd w:fill="F7F9FB"/>
          </w:tcPr>
          <w:p>
            <w:pPr>
              <w:spacing w:after="30"/>
            </w:pPr>
            <w:r>
              <w:rPr>
                <w:rFonts w:ascii="Aptos" w:hAnsi="Aptos"/>
                <w:color w:val="232D38"/>
                <w:sz w:val="14"/>
              </w:rPr>
              <w:t>Dispute/claim</w:t>
            </w:r>
          </w:p>
        </w:tc>
        <w:tc>
          <w:tcPr>
            <w:tcW w:type="dxa" w:w="3331"/>
            <w:tcMar>
              <w:top w:w="80" w:type="dxa"/>
              <w:start w:w="90" w:type="dxa"/>
              <w:bottom w:w="80" w:type="dxa"/>
              <w:end w:w="90" w:type="dxa"/>
            </w:tcMar>
            <w:vAlign w:val="top"/>
            <w:shd w:fill="F7F9FB"/>
          </w:tcPr>
          <w:p>
            <w:pPr>
              <w:spacing w:after="30"/>
            </w:pPr>
            <w:r>
              <w:rPr>
                <w:rFonts w:ascii="Aptos" w:hAnsi="Aptos"/>
                <w:color w:val="232D38"/>
                <w:sz w:val="14"/>
              </w:rPr>
              <w:t>Separate operational investigation from legal adjudication; suspend affected action if policy requires.</w:t>
            </w:r>
          </w:p>
        </w:tc>
        <w:tc>
          <w:tcPr>
            <w:tcW w:type="dxa" w:w="3331"/>
            <w:tcMar>
              <w:top w:w="80" w:type="dxa"/>
              <w:start w:w="90" w:type="dxa"/>
              <w:bottom w:w="80" w:type="dxa"/>
              <w:end w:w="90" w:type="dxa"/>
            </w:tcMar>
            <w:vAlign w:val="top"/>
            <w:shd w:fill="F7F9FB"/>
          </w:tcPr>
          <w:p>
            <w:pPr>
              <w:spacing w:after="30"/>
            </w:pPr>
            <w:r>
              <w:rPr>
                <w:rFonts w:ascii="Aptos" w:hAnsi="Aptos"/>
                <w:color w:val="232D38"/>
                <w:sz w:val="14"/>
              </w:rPr>
              <w:t>Owner, governing rule, communications/deadline, decision and audit trail.</w:t>
            </w:r>
          </w:p>
        </w:tc>
      </w:tr>
    </w:tbl>
    <w:p>
      <w:pPr>
        <w:spacing w:after="0"/>
      </w:pPr>
    </w:p>
    <w:p>
      <w:pPr>
        <w:pStyle w:val="Heading2"/>
      </w:pPr>
      <w:r>
        <w:t>4.8 Settlement Continuity Fabric</w:t>
      </w:r>
    </w:p>
    <w:p>
      <w:r>
        <w:rPr>
          <w:i w:val="0"/>
        </w:rPr>
        <w:t>Continuity is controlled degraded-mode behavior, not a promise that every route remains available. Define critical dependencies, health checks, timeouts, retry budgets, circuit breakers, queue age, fallback eligibility, recovery and resume authority. Safe behavior outranks apparent uptime when finality, compliance or backing is uncertain.</w:t>
      </w:r>
    </w:p>
    <w:p>
      <w:pPr>
        <w:pStyle w:val="ListBullet"/>
        <w:spacing w:after="50"/>
      </w:pPr>
      <w:r>
        <w:t>Health requires authenticated application probes and representative operations; HTTP status alone is insufficient.</w:t>
      </w:r>
    </w:p>
    <w:p>
      <w:pPr>
        <w:pStyle w:val="ListBullet"/>
        <w:spacing w:after="50"/>
      </w:pPr>
      <w:r>
        <w:t>Retry only idempotent operations with bounded exponential backoff/jitter and provider-specific limits.</w:t>
      </w:r>
    </w:p>
    <w:p>
      <w:pPr>
        <w:pStyle w:val="ListBullet"/>
        <w:spacing w:after="50"/>
      </w:pPr>
      <w:r>
        <w:t>Poison/failed events go to a durable error/dead-letter queue or equivalent case record with owner and replay controls.</w:t>
      </w:r>
    </w:p>
    <w:p>
      <w:pPr>
        <w:pStyle w:val="ListBullet"/>
        <w:spacing w:after="50"/>
      </w:pPr>
      <w:r>
        <w:t>Replay requires scope, operator, reason, range/sequence, idempotency checks and before/after evidence.</w:t>
      </w:r>
    </w:p>
    <w:p>
      <w:pPr>
        <w:pStyle w:val="ListBullet"/>
        <w:spacing w:after="50"/>
      </w:pPr>
      <w:r>
        <w:t>Set RPO/RTO only after actual architecture, plan limits, retention and recovery drills support them.</w:t>
      </w:r>
    </w:p>
    <w:p>
      <w:pPr>
        <w:pStyle w:val="ListBullet"/>
        <w:spacing w:after="50"/>
      </w:pPr>
      <w:r>
        <w:t>Test provider outage, database unavailable, delayed/duplicate delivery, compromised key, privileged operator compromise, stale policy and restore.</w:t>
      </w:r>
    </w:p>
    <w:p>
      <w:pPr>
        <w:pStyle w:val="ListBullet"/>
        <w:spacing w:after="50"/>
      </w:pPr>
      <w:r>
        <w:t>Test wind-down/service cessation, custody failure, record/evidence export, outstanding obligations and authorized successor continuity.</w:t>
      </w:r>
    </w:p>
    <w:p>
      <w:pPr>
        <w:pStyle w:val="Heading1"/>
      </w:pPr>
      <w:r>
        <w:t>PART V — Institutional Evidence, Reconciliation and Regulatory Replay</w:t>
      </w:r>
    </w:p>
    <w:p>
      <w:pPr>
        <w:pStyle w:val="Heading2"/>
      </w:pPr>
      <w:r>
        <w:t>5.1 Evidence Fabric</w:t>
      </w:r>
    </w:p>
    <w:p>
      <w:r>
        <w:rPr>
          <w:i w:val="0"/>
        </w:rPr>
        <w:t>Evidence Fabric is the auditable layer connecting each material claim, state transition, gate decision and external dependency to its source. Reports are evidence views, not hand-authored assertions disconnected from system records.</w:t>
      </w:r>
    </w:p>
    <w:tbl>
      <w:tblPr>
        <w:tblStyle w:val="TableGrid"/>
        <w:tblW w:type="auto" w:w="0"/>
        <w:jc w:val="center"/>
        <w:tblLook w:firstColumn="1" w:firstRow="1" w:lastColumn="0" w:lastRow="0" w:noHBand="0" w:noVBand="1" w:val="04A0"/>
      </w:tblPr>
      <w:tblGrid>
        <w:gridCol w:w="4997"/>
        <w:gridCol w:w="4997"/>
      </w:tblGrid>
      <w:tr>
        <w:trPr>
          <w:tblHeader w:val="true"/>
          <w:cantSplit/>
        </w:trPr>
        <w:tc>
          <w:tcPr>
            <w:tcW w:type="dxa" w:w="2520"/>
            <w:shd w:fill="07111F"/>
            <w:tcMar>
              <w:top w:w="80" w:type="dxa"/>
              <w:start w:w="90" w:type="dxa"/>
              <w:bottom w:w="80" w:type="dxa"/>
              <w:end w:w="90" w:type="dxa"/>
            </w:tcMar>
            <w:vAlign w:val="center"/>
          </w:tcPr>
          <w:p>
            <w:r>
              <w:rPr>
                <w:rFonts w:ascii="Aptos" w:hAnsi="Aptos"/>
                <w:b/>
                <w:color w:val="FFFFFF"/>
                <w:sz w:val="15"/>
              </w:rPr>
              <w:t>Evidence field</w:t>
            </w:r>
          </w:p>
        </w:tc>
        <w:tc>
          <w:tcPr>
            <w:tcW w:type="dxa" w:w="7416"/>
            <w:shd w:fill="07111F"/>
            <w:tcMar>
              <w:top w:w="80" w:type="dxa"/>
              <w:start w:w="90" w:type="dxa"/>
              <w:bottom w:w="80" w:type="dxa"/>
              <w:end w:w="90" w:type="dxa"/>
            </w:tcMar>
            <w:vAlign w:val="center"/>
          </w:tcPr>
          <w:p>
            <w:r>
              <w:rPr>
                <w:rFonts w:ascii="Aptos" w:hAnsi="Aptos"/>
                <w:b/>
                <w:color w:val="FFFFFF"/>
                <w:sz w:val="15"/>
              </w:rPr>
              <w:t>Requirement</w:t>
            </w:r>
          </w:p>
        </w:tc>
      </w:tr>
      <w:tr>
        <w:trPr>
          <w:cantSplit/>
        </w:trPr>
        <w:tc>
          <w:tcPr>
            <w:tcW w:type="dxa" w:w="4997"/>
            <w:tcMar>
              <w:top w:w="80" w:type="dxa"/>
              <w:start w:w="90" w:type="dxa"/>
              <w:bottom w:w="80" w:type="dxa"/>
              <w:end w:w="90" w:type="dxa"/>
            </w:tcMar>
            <w:vAlign w:val="top"/>
            <w:shd w:fill="F7F9FB"/>
          </w:tcPr>
          <w:p>
            <w:pPr>
              <w:spacing w:after="30"/>
            </w:pPr>
            <w:r>
              <w:rPr>
                <w:rFonts w:ascii="Aptos" w:hAnsi="Aptos"/>
                <w:color w:val="232D38"/>
                <w:sz w:val="15"/>
              </w:rPr>
              <w:t>evidenceId / artifactId</w:t>
            </w:r>
          </w:p>
        </w:tc>
        <w:tc>
          <w:tcPr>
            <w:tcW w:type="dxa" w:w="4997"/>
            <w:tcMar>
              <w:top w:w="80" w:type="dxa"/>
              <w:start w:w="90" w:type="dxa"/>
              <w:bottom w:w="80" w:type="dxa"/>
              <w:end w:w="90" w:type="dxa"/>
            </w:tcMar>
            <w:vAlign w:val="top"/>
            <w:shd w:fill="F7F9FB"/>
          </w:tcPr>
          <w:p>
            <w:pPr>
              <w:spacing w:after="30"/>
            </w:pPr>
            <w:r>
              <w:rPr>
                <w:rFonts w:ascii="Aptos" w:hAnsi="Aptos"/>
                <w:color w:val="232D38"/>
                <w:sz w:val="15"/>
              </w:rPr>
              <w:t>Stable unique identifier.</w:t>
            </w:r>
          </w:p>
        </w:tc>
      </w:tr>
      <w:tr>
        <w:trPr>
          <w:cantSplit/>
        </w:trPr>
        <w:tc>
          <w:tcPr>
            <w:tcW w:type="dxa" w:w="4997"/>
            <w:tcMar>
              <w:top w:w="80" w:type="dxa"/>
              <w:start w:w="90" w:type="dxa"/>
              <w:bottom w:w="80" w:type="dxa"/>
              <w:end w:w="90" w:type="dxa"/>
            </w:tcMar>
            <w:vAlign w:val="top"/>
          </w:tcPr>
          <w:p>
            <w:pPr>
              <w:spacing w:after="30"/>
            </w:pPr>
            <w:r>
              <w:rPr>
                <w:rFonts w:ascii="Aptos" w:hAnsi="Aptos"/>
                <w:color w:val="232D38"/>
                <w:sz w:val="15"/>
              </w:rPr>
              <w:t>claimOrDecisionId</w:t>
            </w:r>
          </w:p>
        </w:tc>
        <w:tc>
          <w:tcPr>
            <w:tcW w:type="dxa" w:w="4997"/>
            <w:tcMar>
              <w:top w:w="80" w:type="dxa"/>
              <w:start w:w="90" w:type="dxa"/>
              <w:bottom w:w="80" w:type="dxa"/>
              <w:end w:w="90" w:type="dxa"/>
            </w:tcMar>
            <w:vAlign w:val="top"/>
          </w:tcPr>
          <w:p>
            <w:pPr>
              <w:spacing w:after="30"/>
            </w:pPr>
            <w:r>
              <w:rPr>
                <w:rFonts w:ascii="Aptos" w:hAnsi="Aptos"/>
                <w:color w:val="232D38"/>
                <w:sz w:val="15"/>
              </w:rPr>
              <w:t>Claim, transaction, route, control, gate or requirement supported.</w:t>
            </w:r>
          </w:p>
        </w:tc>
      </w:tr>
      <w:tr>
        <w:trPr>
          <w:cantSplit/>
        </w:trPr>
        <w:tc>
          <w:tcPr>
            <w:tcW w:type="dxa" w:w="4997"/>
            <w:tcMar>
              <w:top w:w="80" w:type="dxa"/>
              <w:start w:w="90" w:type="dxa"/>
              <w:bottom w:w="80" w:type="dxa"/>
              <w:end w:w="90" w:type="dxa"/>
            </w:tcMar>
            <w:vAlign w:val="top"/>
            <w:shd w:fill="F7F9FB"/>
          </w:tcPr>
          <w:p>
            <w:pPr>
              <w:spacing w:after="30"/>
            </w:pPr>
            <w:r>
              <w:rPr>
                <w:rFonts w:ascii="Aptos" w:hAnsi="Aptos"/>
                <w:color w:val="232D38"/>
                <w:sz w:val="15"/>
              </w:rPr>
              <w:t>sourceKind / provenance</w:t>
            </w:r>
          </w:p>
        </w:tc>
        <w:tc>
          <w:tcPr>
            <w:tcW w:type="dxa" w:w="4997"/>
            <w:tcMar>
              <w:top w:w="80" w:type="dxa"/>
              <w:start w:w="90" w:type="dxa"/>
              <w:bottom w:w="80" w:type="dxa"/>
              <w:end w:w="90" w:type="dxa"/>
            </w:tcMar>
            <w:vAlign w:val="top"/>
            <w:shd w:fill="F7F9FB"/>
          </w:tcPr>
          <w:p>
            <w:pPr>
              <w:spacing w:after="30"/>
            </w:pPr>
            <w:r>
              <w:rPr>
                <w:rFonts w:ascii="Aptos" w:hAnsi="Aptos"/>
                <w:color w:val="232D38"/>
                <w:sz w:val="15"/>
              </w:rPr>
              <w:t>Primary document, executed external document, provider observation, code/test output, simulation, internal design or unknown.</w:t>
            </w:r>
          </w:p>
        </w:tc>
      </w:tr>
      <w:tr>
        <w:trPr>
          <w:cantSplit/>
        </w:trPr>
        <w:tc>
          <w:tcPr>
            <w:tcW w:type="dxa" w:w="4997"/>
            <w:tcMar>
              <w:top w:w="80" w:type="dxa"/>
              <w:start w:w="90" w:type="dxa"/>
              <w:bottom w:w="80" w:type="dxa"/>
              <w:end w:w="90" w:type="dxa"/>
            </w:tcMar>
            <w:vAlign w:val="top"/>
          </w:tcPr>
          <w:p>
            <w:pPr>
              <w:spacing w:after="30"/>
            </w:pPr>
            <w:r>
              <w:rPr>
                <w:rFonts w:ascii="Aptos" w:hAnsi="Aptos"/>
                <w:color w:val="232D38"/>
                <w:sz w:val="15"/>
              </w:rPr>
              <w:t>issuer / source system / operator</w:t>
            </w:r>
          </w:p>
        </w:tc>
        <w:tc>
          <w:tcPr>
            <w:tcW w:type="dxa" w:w="4997"/>
            <w:tcMar>
              <w:top w:w="80" w:type="dxa"/>
              <w:start w:w="90" w:type="dxa"/>
              <w:bottom w:w="80" w:type="dxa"/>
              <w:end w:w="90" w:type="dxa"/>
            </w:tcMar>
            <w:vAlign w:val="top"/>
          </w:tcPr>
          <w:p>
            <w:pPr>
              <w:spacing w:after="30"/>
            </w:pPr>
            <w:r>
              <w:rPr>
                <w:rFonts w:ascii="Aptos" w:hAnsi="Aptos"/>
                <w:color w:val="232D38"/>
                <w:sz w:val="15"/>
              </w:rPr>
              <w:t>Producer and authorized identity/environment.</w:t>
            </w:r>
          </w:p>
        </w:tc>
      </w:tr>
      <w:tr>
        <w:trPr>
          <w:cantSplit/>
        </w:trPr>
        <w:tc>
          <w:tcPr>
            <w:tcW w:type="dxa" w:w="4997"/>
            <w:tcMar>
              <w:top w:w="80" w:type="dxa"/>
              <w:start w:w="90" w:type="dxa"/>
              <w:bottom w:w="80" w:type="dxa"/>
              <w:end w:w="90" w:type="dxa"/>
            </w:tcMar>
            <w:vAlign w:val="top"/>
            <w:shd w:fill="F7F9FB"/>
          </w:tcPr>
          <w:p>
            <w:pPr>
              <w:spacing w:after="30"/>
            </w:pPr>
            <w:r>
              <w:rPr>
                <w:rFonts w:ascii="Aptos" w:hAnsi="Aptos"/>
                <w:color w:val="232D38"/>
                <w:sz w:val="15"/>
              </w:rPr>
              <w:t>observedAt / ingestedAt / effectiveAt / expiresAt</w:t>
            </w:r>
          </w:p>
        </w:tc>
        <w:tc>
          <w:tcPr>
            <w:tcW w:type="dxa" w:w="4997"/>
            <w:tcMar>
              <w:top w:w="80" w:type="dxa"/>
              <w:start w:w="90" w:type="dxa"/>
              <w:bottom w:w="80" w:type="dxa"/>
              <w:end w:w="90" w:type="dxa"/>
            </w:tcMar>
            <w:vAlign w:val="top"/>
            <w:shd w:fill="F7F9FB"/>
          </w:tcPr>
          <w:p>
            <w:pPr>
              <w:spacing w:after="30"/>
            </w:pPr>
            <w:r>
              <w:rPr>
                <w:rFonts w:ascii="Aptos" w:hAnsi="Aptos"/>
                <w:color w:val="232D38"/>
                <w:sz w:val="15"/>
              </w:rPr>
              <w:t>Distinguish observation, ingestion and legal/policy effective time.</w:t>
            </w:r>
          </w:p>
        </w:tc>
      </w:tr>
      <w:tr>
        <w:trPr>
          <w:cantSplit/>
        </w:trPr>
        <w:tc>
          <w:tcPr>
            <w:tcW w:type="dxa" w:w="4997"/>
            <w:tcMar>
              <w:top w:w="80" w:type="dxa"/>
              <w:start w:w="90" w:type="dxa"/>
              <w:bottom w:w="80" w:type="dxa"/>
              <w:end w:w="90" w:type="dxa"/>
            </w:tcMar>
            <w:vAlign w:val="top"/>
          </w:tcPr>
          <w:p>
            <w:pPr>
              <w:spacing w:after="30"/>
            </w:pPr>
            <w:r>
              <w:rPr>
                <w:rFonts w:ascii="Aptos" w:hAnsi="Aptos"/>
                <w:color w:val="232D38"/>
                <w:sz w:val="15"/>
              </w:rPr>
              <w:t>contentHash / signature</w:t>
            </w:r>
          </w:p>
        </w:tc>
        <w:tc>
          <w:tcPr>
            <w:tcW w:type="dxa" w:w="4997"/>
            <w:tcMar>
              <w:top w:w="80" w:type="dxa"/>
              <w:start w:w="90" w:type="dxa"/>
              <w:bottom w:w="80" w:type="dxa"/>
              <w:end w:w="90" w:type="dxa"/>
            </w:tcMar>
            <w:vAlign w:val="top"/>
          </w:tcPr>
          <w:p>
            <w:pPr>
              <w:spacing w:after="30"/>
            </w:pPr>
            <w:r>
              <w:rPr>
                <w:rFonts w:ascii="Aptos" w:hAnsi="Aptos"/>
                <w:color w:val="232D38"/>
                <w:sz w:val="15"/>
              </w:rPr>
              <w:t>Hash of canonical content; signature/verification details where available.</w:t>
            </w:r>
          </w:p>
        </w:tc>
      </w:tr>
      <w:tr>
        <w:trPr>
          <w:cantSplit/>
        </w:trPr>
        <w:tc>
          <w:tcPr>
            <w:tcW w:type="dxa" w:w="4997"/>
            <w:tcMar>
              <w:top w:w="80" w:type="dxa"/>
              <w:start w:w="90" w:type="dxa"/>
              <w:bottom w:w="80" w:type="dxa"/>
              <w:end w:w="90" w:type="dxa"/>
            </w:tcMar>
            <w:vAlign w:val="top"/>
            <w:shd w:fill="F7F9FB"/>
          </w:tcPr>
          <w:p>
            <w:pPr>
              <w:spacing w:after="30"/>
            </w:pPr>
            <w:r>
              <w:rPr>
                <w:rFonts w:ascii="Aptos" w:hAnsi="Aptos"/>
                <w:color w:val="232D38"/>
                <w:sz w:val="15"/>
              </w:rPr>
              <w:t>scope and limitations</w:t>
            </w:r>
          </w:p>
        </w:tc>
        <w:tc>
          <w:tcPr>
            <w:tcW w:type="dxa" w:w="4997"/>
            <w:tcMar>
              <w:top w:w="80" w:type="dxa"/>
              <w:start w:w="90" w:type="dxa"/>
              <w:bottom w:w="80" w:type="dxa"/>
              <w:end w:w="90" w:type="dxa"/>
            </w:tcMar>
            <w:vAlign w:val="top"/>
            <w:shd w:fill="F7F9FB"/>
          </w:tcPr>
          <w:p>
            <w:pPr>
              <w:spacing w:after="30"/>
            </w:pPr>
            <w:r>
              <w:rPr>
                <w:rFonts w:ascii="Aptos" w:hAnsi="Aptos"/>
                <w:color w:val="232D38"/>
                <w:sz w:val="15"/>
              </w:rPr>
              <w:t>Entity, jurisdiction, rail, transaction class, commit, test suite, time window and exclusions.</w:t>
            </w:r>
          </w:p>
        </w:tc>
      </w:tr>
      <w:tr>
        <w:trPr>
          <w:cantSplit/>
        </w:trPr>
        <w:tc>
          <w:tcPr>
            <w:tcW w:type="dxa" w:w="4997"/>
            <w:tcMar>
              <w:top w:w="80" w:type="dxa"/>
              <w:start w:w="90" w:type="dxa"/>
              <w:bottom w:w="80" w:type="dxa"/>
              <w:end w:w="90" w:type="dxa"/>
            </w:tcMar>
            <w:vAlign w:val="top"/>
          </w:tcPr>
          <w:p>
            <w:pPr>
              <w:spacing w:after="30"/>
            </w:pPr>
            <w:r>
              <w:rPr>
                <w:rFonts w:ascii="Aptos" w:hAnsi="Aptos"/>
                <w:color w:val="232D38"/>
                <w:sz w:val="15"/>
              </w:rPr>
              <w:t>review status</w:t>
            </w:r>
          </w:p>
        </w:tc>
        <w:tc>
          <w:tcPr>
            <w:tcW w:type="dxa" w:w="4997"/>
            <w:tcMar>
              <w:top w:w="80" w:type="dxa"/>
              <w:start w:w="90" w:type="dxa"/>
              <w:bottom w:w="80" w:type="dxa"/>
              <w:end w:w="90" w:type="dxa"/>
            </w:tcMar>
            <w:vAlign w:val="top"/>
          </w:tcPr>
          <w:p>
            <w:pPr>
              <w:spacing w:after="30"/>
            </w:pPr>
            <w:r>
              <w:rPr>
                <w:rFonts w:ascii="Aptos" w:hAnsi="Aptos"/>
                <w:color w:val="232D38"/>
                <w:sz w:val="15"/>
              </w:rPr>
              <w:t>Generated, technically reviewed, independently assured, counsel-reviewed, bank-accepted, expired, disputed or rejected.</w:t>
            </w:r>
          </w:p>
        </w:tc>
      </w:tr>
      <w:tr>
        <w:trPr>
          <w:cantSplit/>
        </w:trPr>
        <w:tc>
          <w:tcPr>
            <w:tcW w:type="dxa" w:w="4997"/>
            <w:tcMar>
              <w:top w:w="80" w:type="dxa"/>
              <w:start w:w="90" w:type="dxa"/>
              <w:bottom w:w="80" w:type="dxa"/>
              <w:end w:w="90" w:type="dxa"/>
            </w:tcMar>
            <w:vAlign w:val="top"/>
            <w:shd w:fill="F7F9FB"/>
          </w:tcPr>
          <w:p>
            <w:pPr>
              <w:spacing w:after="30"/>
            </w:pPr>
            <w:r>
              <w:rPr>
                <w:rFonts w:ascii="Aptos" w:hAnsi="Aptos"/>
                <w:color w:val="232D38"/>
                <w:sz w:val="15"/>
              </w:rPr>
              <w:t>classification / access policy</w:t>
            </w:r>
          </w:p>
        </w:tc>
        <w:tc>
          <w:tcPr>
            <w:tcW w:type="dxa" w:w="4997"/>
            <w:tcMar>
              <w:top w:w="80" w:type="dxa"/>
              <w:start w:w="90" w:type="dxa"/>
              <w:bottom w:w="80" w:type="dxa"/>
              <w:end w:w="90" w:type="dxa"/>
            </w:tcMar>
            <w:vAlign w:val="top"/>
            <w:shd w:fill="F7F9FB"/>
          </w:tcPr>
          <w:p>
            <w:pPr>
              <w:spacing w:after="30"/>
            </w:pPr>
            <w:r>
              <w:rPr>
                <w:rFonts w:ascii="Aptos" w:hAnsi="Aptos"/>
                <w:color w:val="232D38"/>
                <w:sz w:val="15"/>
              </w:rPr>
              <w:t>PUBLIC/INTERNAL/CONFIDENTIAL/RESTRICTED/HIGHLY_RESTRICTED; role-scoped access.</w:t>
            </w:r>
          </w:p>
        </w:tc>
      </w:tr>
      <w:tr>
        <w:trPr>
          <w:cantSplit/>
        </w:trPr>
        <w:tc>
          <w:tcPr>
            <w:tcW w:type="dxa" w:w="4997"/>
            <w:tcMar>
              <w:top w:w="80" w:type="dxa"/>
              <w:start w:w="90" w:type="dxa"/>
              <w:bottom w:w="80" w:type="dxa"/>
              <w:end w:w="90" w:type="dxa"/>
            </w:tcMar>
            <w:vAlign w:val="top"/>
          </w:tcPr>
          <w:p>
            <w:pPr>
              <w:spacing w:after="30"/>
            </w:pPr>
            <w:r>
              <w:rPr>
                <w:rFonts w:ascii="Aptos" w:hAnsi="Aptos"/>
                <w:color w:val="232D38"/>
                <w:sz w:val="15"/>
              </w:rPr>
              <w:t>linked IDs</w:t>
            </w:r>
          </w:p>
        </w:tc>
        <w:tc>
          <w:tcPr>
            <w:tcW w:type="dxa" w:w="4997"/>
            <w:tcMar>
              <w:top w:w="80" w:type="dxa"/>
              <w:start w:w="90" w:type="dxa"/>
              <w:bottom w:w="80" w:type="dxa"/>
              <w:end w:w="90" w:type="dxa"/>
            </w:tcMar>
            <w:vAlign w:val="top"/>
          </w:tcPr>
          <w:p>
            <w:pPr>
              <w:spacing w:after="30"/>
            </w:pPr>
            <w:r>
              <w:rPr>
                <w:rFonts w:ascii="Aptos" w:hAnsi="Aptos"/>
                <w:color w:val="232D38"/>
                <w:sz w:val="15"/>
              </w:rPr>
              <w:t>Version, commit SHA, environment, provider, policy hash, decisionId, gateId, transaction and case IDs.</w:t>
            </w:r>
          </w:p>
        </w:tc>
      </w:tr>
    </w:tbl>
    <w:p>
      <w:pPr>
        <w:spacing w:after="0"/>
      </w:pPr>
    </w:p>
    <w:p>
      <w:pPr>
        <w:pStyle w:val="Heading2"/>
      </w:pPr>
      <w:r>
        <w:t>5.2 Evidence freshness and expiry</w:t>
      </w:r>
    </w:p>
    <w:p>
      <w:r>
        <w:rPr>
          <w:i w:val="0"/>
        </w:rPr>
        <w:t>Every evidence class that can become stale needs an approved freshness/expiry policy: institution credential, sanctions result, backing statement, custody confirmation, valuation, legal opinion, license status, provider health, policy approval, market/FX data and route capability. Expired evidence returns EXPIRED; do not silently auto-refresh where human approval is required.</w:t>
      </w:r>
    </w:p>
    <w:p>
      <w:pPr>
        <w:pStyle w:val="Heading2"/>
      </w:pPr>
      <w:r>
        <w:t>5.3 Reconciliation model</w:t>
      </w:r>
    </w:p>
    <w:p>
      <w:r>
        <w:rPr>
          <w:i w:val="0"/>
        </w:rPr>
        <w:t>Reconciliation compares independent views at defined business keys and cutoffs. It must distinguish completeness, duplicates, timing differences, mapping errors, FX/rounding differences, unauthorized state changes and true economic mismatches. One global tolerance is prohibited.</w:t>
      </w:r>
    </w:p>
    <w:tbl>
      <w:tblPr>
        <w:tblStyle w:val="TableGrid"/>
        <w:tblW w:type="auto" w:w="0"/>
        <w:jc w:val="center"/>
        <w:tblLook w:firstColumn="1" w:firstRow="1" w:lastColumn="0" w:lastRow="0" w:noHBand="0" w:noVBand="1" w:val="04A0"/>
      </w:tblPr>
      <w:tblGrid>
        <w:gridCol w:w="3331"/>
        <w:gridCol w:w="3331"/>
        <w:gridCol w:w="3331"/>
      </w:tblGrid>
      <w:tr>
        <w:trPr>
          <w:tblHeader w:val="true"/>
          <w:cantSplit/>
        </w:trPr>
        <w:tc>
          <w:tcPr>
            <w:tcW w:type="dxa" w:w="2160"/>
            <w:shd w:fill="07111F"/>
            <w:tcMar>
              <w:top w:w="80" w:type="dxa"/>
              <w:start w:w="90" w:type="dxa"/>
              <w:bottom w:w="80" w:type="dxa"/>
              <w:end w:w="90" w:type="dxa"/>
            </w:tcMar>
            <w:vAlign w:val="center"/>
          </w:tcPr>
          <w:p>
            <w:r>
              <w:rPr>
                <w:rFonts w:ascii="Aptos" w:hAnsi="Aptos"/>
                <w:b/>
                <w:color w:val="FFFFFF"/>
                <w:sz w:val="14"/>
              </w:rPr>
              <w:t>Reconciliation class</w:t>
            </w:r>
          </w:p>
        </w:tc>
        <w:tc>
          <w:tcPr>
            <w:tcW w:type="dxa" w:w="4104"/>
            <w:shd w:fill="07111F"/>
            <w:tcMar>
              <w:top w:w="80" w:type="dxa"/>
              <w:start w:w="90" w:type="dxa"/>
              <w:bottom w:w="80" w:type="dxa"/>
              <w:end w:w="90" w:type="dxa"/>
            </w:tcMar>
            <w:vAlign w:val="center"/>
          </w:tcPr>
          <w:p>
            <w:r>
              <w:rPr>
                <w:rFonts w:ascii="Aptos" w:hAnsi="Aptos"/>
                <w:b/>
                <w:color w:val="FFFFFF"/>
                <w:sz w:val="14"/>
              </w:rPr>
              <w:t>Baseline rule</w:t>
            </w:r>
          </w:p>
        </w:tc>
        <w:tc>
          <w:tcPr>
            <w:tcW w:type="dxa" w:w="3672"/>
            <w:shd w:fill="07111F"/>
            <w:tcMar>
              <w:top w:w="80" w:type="dxa"/>
              <w:start w:w="90" w:type="dxa"/>
              <w:bottom w:w="80" w:type="dxa"/>
              <w:end w:w="90" w:type="dxa"/>
            </w:tcMar>
            <w:vAlign w:val="center"/>
          </w:tcPr>
          <w:p>
            <w:r>
              <w:rPr>
                <w:rFonts w:ascii="Aptos" w:hAnsi="Aptos"/>
                <w:b/>
                <w:color w:val="FFFFFF"/>
                <w:sz w:val="14"/>
              </w:rPr>
              <w:t>Tolerance treatment</w:t>
            </w:r>
          </w:p>
        </w:tc>
      </w:tr>
      <w:tr>
        <w:trPr>
          <w:cantSplit/>
        </w:trPr>
        <w:tc>
          <w:tcPr>
            <w:tcW w:type="dxa" w:w="3331"/>
            <w:tcMar>
              <w:top w:w="80" w:type="dxa"/>
              <w:start w:w="90" w:type="dxa"/>
              <w:bottom w:w="80" w:type="dxa"/>
              <w:end w:w="90" w:type="dxa"/>
            </w:tcMar>
            <w:vAlign w:val="top"/>
            <w:shd w:fill="F7F9FB"/>
          </w:tcPr>
          <w:p>
            <w:pPr>
              <w:spacing w:after="30"/>
            </w:pPr>
            <w:r>
              <w:rPr>
                <w:rFonts w:ascii="Aptos" w:hAnsi="Aptos"/>
                <w:color w:val="232D38"/>
                <w:sz w:val="14"/>
              </w:rPr>
              <w:t>Identity, authorization, status, legal scope</w:t>
            </w:r>
          </w:p>
        </w:tc>
        <w:tc>
          <w:tcPr>
            <w:tcW w:type="dxa" w:w="3331"/>
            <w:tcMar>
              <w:top w:w="80" w:type="dxa"/>
              <w:start w:w="90" w:type="dxa"/>
              <w:bottom w:w="80" w:type="dxa"/>
              <w:end w:w="90" w:type="dxa"/>
            </w:tcMar>
            <w:vAlign w:val="top"/>
            <w:shd w:fill="F7F9FB"/>
          </w:tcPr>
          <w:p>
            <w:pPr>
              <w:spacing w:after="30"/>
            </w:pPr>
            <w:r>
              <w:rPr>
                <w:rFonts w:ascii="Aptos" w:hAnsi="Aptos"/>
                <w:color w:val="232D38"/>
                <w:sz w:val="14"/>
              </w:rPr>
              <w:t>Exact canonical IDs/statuses or an explicit mapping.</w:t>
            </w:r>
          </w:p>
        </w:tc>
        <w:tc>
          <w:tcPr>
            <w:tcW w:type="dxa" w:w="3331"/>
            <w:tcMar>
              <w:top w:w="80" w:type="dxa"/>
              <w:start w:w="90" w:type="dxa"/>
              <w:bottom w:w="80" w:type="dxa"/>
              <w:end w:w="90" w:type="dxa"/>
            </w:tcMar>
            <w:vAlign w:val="top"/>
            <w:shd w:fill="F7F9FB"/>
          </w:tcPr>
          <w:p>
            <w:pPr>
              <w:spacing w:after="30"/>
            </w:pPr>
            <w:r>
              <w:rPr>
                <w:rFonts w:ascii="Aptos" w:hAnsi="Aptos"/>
                <w:color w:val="232D38"/>
                <w:sz w:val="14"/>
              </w:rPr>
              <w:t>No numeric tolerance. Unexplained mismatch blocks affected use.</w:t>
            </w:r>
          </w:p>
        </w:tc>
      </w:tr>
      <w:tr>
        <w:trPr>
          <w:cantSplit/>
        </w:trPr>
        <w:tc>
          <w:tcPr>
            <w:tcW w:type="dxa" w:w="3331"/>
            <w:tcMar>
              <w:top w:w="80" w:type="dxa"/>
              <w:start w:w="90" w:type="dxa"/>
              <w:bottom w:w="80" w:type="dxa"/>
              <w:end w:w="90" w:type="dxa"/>
            </w:tcMar>
            <w:vAlign w:val="top"/>
          </w:tcPr>
          <w:p>
            <w:pPr>
              <w:spacing w:after="30"/>
            </w:pPr>
            <w:r>
              <w:rPr>
                <w:rFonts w:ascii="Aptos" w:hAnsi="Aptos"/>
                <w:color w:val="232D38"/>
                <w:sz w:val="14"/>
              </w:rPr>
              <w:t>Ledger entries / obligation principal</w:t>
            </w:r>
          </w:p>
        </w:tc>
        <w:tc>
          <w:tcPr>
            <w:tcW w:type="dxa" w:w="3331"/>
            <w:tcMar>
              <w:top w:w="80" w:type="dxa"/>
              <w:start w:w="90" w:type="dxa"/>
              <w:bottom w:w="80" w:type="dxa"/>
              <w:end w:w="90" w:type="dxa"/>
            </w:tcMar>
            <w:vAlign w:val="top"/>
          </w:tcPr>
          <w:p>
            <w:pPr>
              <w:spacing w:after="30"/>
            </w:pPr>
            <w:r>
              <w:rPr>
                <w:rFonts w:ascii="Aptos" w:hAnsi="Aptos"/>
                <w:color w:val="232D38"/>
                <w:sz w:val="14"/>
              </w:rPr>
              <w:t>Match transaction/obligation IDs, units, currency and approved accounting rules.</w:t>
            </w:r>
          </w:p>
        </w:tc>
        <w:tc>
          <w:tcPr>
            <w:tcW w:type="dxa" w:w="3331"/>
            <w:tcMar>
              <w:top w:w="80" w:type="dxa"/>
              <w:start w:w="90" w:type="dxa"/>
              <w:bottom w:w="80" w:type="dxa"/>
              <w:end w:w="90" w:type="dxa"/>
            </w:tcMar>
            <w:vAlign w:val="top"/>
          </w:tcPr>
          <w:p>
            <w:pPr>
              <w:spacing w:after="30"/>
            </w:pPr>
            <w:r>
              <w:rPr>
                <w:rFonts w:ascii="Aptos" w:hAnsi="Aptos"/>
                <w:color w:val="232D38"/>
                <w:sz w:val="14"/>
              </w:rPr>
              <w:t>Default zero unexplained monetary difference after approved deterministic rounding in the defined minor unit/precision.</w:t>
            </w:r>
          </w:p>
        </w:tc>
      </w:tr>
      <w:tr>
        <w:trPr>
          <w:cantSplit/>
        </w:trPr>
        <w:tc>
          <w:tcPr>
            <w:tcW w:type="dxa" w:w="3331"/>
            <w:tcMar>
              <w:top w:w="80" w:type="dxa"/>
              <w:start w:w="90" w:type="dxa"/>
              <w:bottom w:w="80" w:type="dxa"/>
              <w:end w:w="90" w:type="dxa"/>
            </w:tcMar>
            <w:vAlign w:val="top"/>
            <w:shd w:fill="F7F9FB"/>
          </w:tcPr>
          <w:p>
            <w:pPr>
              <w:spacing w:after="30"/>
            </w:pPr>
            <w:r>
              <w:rPr>
                <w:rFonts w:ascii="Aptos" w:hAnsi="Aptos"/>
                <w:color w:val="232D38"/>
                <w:sz w:val="14"/>
              </w:rPr>
              <w:t>Bank/rail transaction mapping</w:t>
            </w:r>
          </w:p>
        </w:tc>
        <w:tc>
          <w:tcPr>
            <w:tcW w:type="dxa" w:w="3331"/>
            <w:tcMar>
              <w:top w:w="80" w:type="dxa"/>
              <w:start w:w="90" w:type="dxa"/>
              <w:bottom w:w="80" w:type="dxa"/>
              <w:end w:w="90" w:type="dxa"/>
            </w:tcMar>
            <w:vAlign w:val="top"/>
            <w:shd w:fill="F7F9FB"/>
          </w:tcPr>
          <w:p>
            <w:pPr>
              <w:spacing w:after="30"/>
            </w:pPr>
            <w:r>
              <w:rPr>
                <w:rFonts w:ascii="Aptos" w:hAnsi="Aptos"/>
                <w:color w:val="232D38"/>
                <w:sz w:val="14"/>
              </w:rPr>
              <w:t>Exact link with stable external reference; otherwise documented match method and confidence.</w:t>
            </w:r>
          </w:p>
        </w:tc>
        <w:tc>
          <w:tcPr>
            <w:tcW w:type="dxa" w:w="3331"/>
            <w:tcMar>
              <w:top w:w="80" w:type="dxa"/>
              <w:start w:w="90" w:type="dxa"/>
              <w:bottom w:w="80" w:type="dxa"/>
              <w:end w:w="90" w:type="dxa"/>
            </w:tcMar>
            <w:vAlign w:val="top"/>
            <w:shd w:fill="F7F9FB"/>
          </w:tcPr>
          <w:p>
            <w:pPr>
              <w:spacing w:after="30"/>
            </w:pPr>
            <w:r>
              <w:rPr>
                <w:rFonts w:ascii="Aptos" w:hAnsi="Aptos"/>
                <w:color w:val="232D38"/>
                <w:sz w:val="14"/>
              </w:rPr>
              <w:t>No “close enough” match for material settlement; ambiguous match becomes exception.</w:t>
            </w:r>
          </w:p>
        </w:tc>
      </w:tr>
      <w:tr>
        <w:trPr>
          <w:cantSplit/>
        </w:trPr>
        <w:tc>
          <w:tcPr>
            <w:tcW w:type="dxa" w:w="3331"/>
            <w:tcMar>
              <w:top w:w="80" w:type="dxa"/>
              <w:start w:w="90" w:type="dxa"/>
              <w:bottom w:w="80" w:type="dxa"/>
              <w:end w:w="90" w:type="dxa"/>
            </w:tcMar>
            <w:vAlign w:val="top"/>
          </w:tcPr>
          <w:p>
            <w:pPr>
              <w:spacing w:after="30"/>
            </w:pPr>
            <w:r>
              <w:rPr>
                <w:rFonts w:ascii="Aptos" w:hAnsi="Aptos"/>
                <w:color w:val="232D38"/>
                <w:sz w:val="14"/>
              </w:rPr>
              <w:t>FX/valuation</w:t>
            </w:r>
          </w:p>
        </w:tc>
        <w:tc>
          <w:tcPr>
            <w:tcW w:type="dxa" w:w="3331"/>
            <w:tcMar>
              <w:top w:w="80" w:type="dxa"/>
              <w:start w:w="90" w:type="dxa"/>
              <w:bottom w:w="80" w:type="dxa"/>
              <w:end w:w="90" w:type="dxa"/>
            </w:tcMar>
            <w:vAlign w:val="top"/>
          </w:tcPr>
          <w:p>
            <w:pPr>
              <w:spacing w:after="30"/>
            </w:pPr>
            <w:r>
              <w:rPr>
                <w:rFonts w:ascii="Aptos" w:hAnsi="Aptos"/>
                <w:color w:val="232D38"/>
                <w:sz w:val="14"/>
              </w:rPr>
              <w:t>Approved source, timestamp, quote convention, spread, market window and source hierarchy.</w:t>
            </w:r>
          </w:p>
        </w:tc>
        <w:tc>
          <w:tcPr>
            <w:tcW w:type="dxa" w:w="3331"/>
            <w:tcMar>
              <w:top w:w="80" w:type="dxa"/>
              <w:start w:w="90" w:type="dxa"/>
              <w:bottom w:w="80" w:type="dxa"/>
              <w:end w:w="90" w:type="dxa"/>
            </w:tcMar>
            <w:vAlign w:val="top"/>
          </w:tcPr>
          <w:p>
            <w:pPr>
              <w:spacing w:after="30"/>
            </w:pPr>
            <w:r>
              <w:rPr>
                <w:rFonts w:ascii="Aptos" w:hAnsi="Aptos"/>
                <w:color w:val="232D38"/>
                <w:sz w:val="14"/>
              </w:rPr>
              <w:t>Threshold depends on instrument/source/staleness/risk; versioned and approved, not hardcoded globally.</w:t>
            </w:r>
          </w:p>
        </w:tc>
      </w:tr>
      <w:tr>
        <w:trPr>
          <w:cantSplit/>
        </w:trPr>
        <w:tc>
          <w:tcPr>
            <w:tcW w:type="dxa" w:w="3331"/>
            <w:tcMar>
              <w:top w:w="80" w:type="dxa"/>
              <w:start w:w="90" w:type="dxa"/>
              <w:bottom w:w="80" w:type="dxa"/>
              <w:end w:w="90" w:type="dxa"/>
            </w:tcMar>
            <w:vAlign w:val="top"/>
            <w:shd w:fill="F7F9FB"/>
          </w:tcPr>
          <w:p>
            <w:pPr>
              <w:spacing w:after="30"/>
            </w:pPr>
            <w:r>
              <w:rPr>
                <w:rFonts w:ascii="Aptos" w:hAnsi="Aptos"/>
                <w:color w:val="232D38"/>
                <w:sz w:val="14"/>
              </w:rPr>
              <w:t>Reporting aggregate</w:t>
            </w:r>
          </w:p>
        </w:tc>
        <w:tc>
          <w:tcPr>
            <w:tcW w:type="dxa" w:w="3331"/>
            <w:tcMar>
              <w:top w:w="80" w:type="dxa"/>
              <w:start w:w="90" w:type="dxa"/>
              <w:bottom w:w="80" w:type="dxa"/>
              <w:end w:w="90" w:type="dxa"/>
            </w:tcMar>
            <w:vAlign w:val="top"/>
            <w:shd w:fill="F7F9FB"/>
          </w:tcPr>
          <w:p>
            <w:pPr>
              <w:spacing w:after="30"/>
            </w:pPr>
            <w:r>
              <w:rPr>
                <w:rFonts w:ascii="Aptos" w:hAnsi="Aptos"/>
                <w:color w:val="232D38"/>
                <w:sz w:val="14"/>
              </w:rPr>
              <w:t>Recompute from authoritative records and approved close/cutoff rules.</w:t>
            </w:r>
          </w:p>
        </w:tc>
        <w:tc>
          <w:tcPr>
            <w:tcW w:type="dxa" w:w="3331"/>
            <w:tcMar>
              <w:top w:w="80" w:type="dxa"/>
              <w:start w:w="90" w:type="dxa"/>
              <w:bottom w:w="80" w:type="dxa"/>
              <w:end w:w="90" w:type="dxa"/>
            </w:tcMar>
            <w:vAlign w:val="top"/>
            <w:shd w:fill="F7F9FB"/>
          </w:tcPr>
          <w:p>
            <w:pPr>
              <w:spacing w:after="30"/>
            </w:pPr>
            <w:r>
              <w:rPr>
                <w:rFonts w:ascii="Aptos" w:hAnsi="Aptos"/>
                <w:color w:val="232D38"/>
                <w:sz w:val="14"/>
              </w:rPr>
              <w:t>Only deterministic accounting/reporting tolerance approved by Finance/Risk; residuals need owner disposition.</w:t>
            </w:r>
          </w:p>
        </w:tc>
      </w:tr>
      <w:tr>
        <w:trPr>
          <w:cantSplit/>
        </w:trPr>
        <w:tc>
          <w:tcPr>
            <w:tcW w:type="dxa" w:w="3331"/>
            <w:tcMar>
              <w:top w:w="80" w:type="dxa"/>
              <w:start w:w="90" w:type="dxa"/>
              <w:bottom w:w="80" w:type="dxa"/>
              <w:end w:w="90" w:type="dxa"/>
            </w:tcMar>
            <w:vAlign w:val="top"/>
          </w:tcPr>
          <w:p>
            <w:pPr>
              <w:spacing w:after="30"/>
            </w:pPr>
            <w:r>
              <w:rPr>
                <w:rFonts w:ascii="Aptos" w:hAnsi="Aptos"/>
                <w:color w:val="232D38"/>
                <w:sz w:val="14"/>
              </w:rPr>
              <w:t>Eventual-consistency projection</w:t>
            </w:r>
          </w:p>
        </w:tc>
        <w:tc>
          <w:tcPr>
            <w:tcW w:type="dxa" w:w="3331"/>
            <w:tcMar>
              <w:top w:w="80" w:type="dxa"/>
              <w:start w:w="90" w:type="dxa"/>
              <w:bottom w:w="80" w:type="dxa"/>
              <w:end w:w="90" w:type="dxa"/>
            </w:tcMar>
            <w:vAlign w:val="top"/>
          </w:tcPr>
          <w:p>
            <w:pPr>
              <w:spacing w:after="30"/>
            </w:pPr>
            <w:r>
              <w:rPr>
                <w:rFonts w:ascii="Aptos" w:hAnsi="Aptos"/>
                <w:color w:val="232D38"/>
                <w:sz w:val="14"/>
              </w:rPr>
              <w:t>Compare sequence/watermark to authoritative Neon state and replay position.</w:t>
            </w:r>
          </w:p>
        </w:tc>
        <w:tc>
          <w:tcPr>
            <w:tcW w:type="dxa" w:w="3331"/>
            <w:tcMar>
              <w:top w:w="80" w:type="dxa"/>
              <w:start w:w="90" w:type="dxa"/>
              <w:bottom w:w="80" w:type="dxa"/>
              <w:end w:w="90" w:type="dxa"/>
            </w:tcMar>
            <w:vAlign w:val="top"/>
          </w:tcPr>
          <w:p>
            <w:pPr>
              <w:spacing w:after="30"/>
            </w:pPr>
            <w:r>
              <w:rPr>
                <w:rFonts w:ascii="Aptos" w:hAnsi="Aptos"/>
                <w:color w:val="232D38"/>
                <w:sz w:val="14"/>
              </w:rPr>
              <w:t>Lag allowed only within approved SLO; projection is marked stale and cannot authorize financial action.</w:t>
            </w:r>
          </w:p>
        </w:tc>
      </w:tr>
    </w:tbl>
    <w:p>
      <w:pPr>
        <w:spacing w:after="0"/>
      </w:pPr>
    </w:p>
    <w:p>
      <w:r>
        <w:rPr>
          <w:i w:val="0"/>
        </w:rPr>
        <w:t>Legacy references to 1 basis point or separate 0.1%/0.5%/1%/5% thresholds are not the universal active policy. Migrate them into class-specific versioned rules with owner, rationale, tests and review/expiry date.</w:t>
      </w:r>
    </w:p>
    <w:p>
      <w:pPr>
        <w:pStyle w:val="Heading2"/>
      </w:pPr>
      <w:r>
        <w:t>5.4 Regulatory Replay Engine</w:t>
      </w:r>
    </w:p>
    <w:p>
      <w:r>
        <w:rPr>
          <w:i w:val="0"/>
        </w:rPr>
        <w:t>Replay reconstructs what the system knew and which approved policy it applied at instruction time. It does not rewrite historical decisions using today’s policy. Offer (a) historical replay of effective-time evidence/policy and (b) current-policy re-evaluation, clearly labelled as a new result.</w:t>
      </w:r>
    </w:p>
    <w:p>
      <w:pPr>
        <w:pStyle w:val="ListBullet"/>
        <w:spacing w:after="50"/>
      </w:pPr>
      <w:r>
        <w:t>Input snapshot with source refs, normalized values, event/ingestion time and policy hash.</w:t>
      </w:r>
    </w:p>
    <w:p>
      <w:pPr>
        <w:pStyle w:val="ListBullet"/>
        <w:spacing w:after="50"/>
      </w:pPr>
      <w:r>
        <w:t>Identity/authorization checks, candidates/exclusions, route decision and reason codes.</w:t>
      </w:r>
    </w:p>
    <w:p>
      <w:pPr>
        <w:pStyle w:val="ListBullet"/>
        <w:spacing w:after="50"/>
      </w:pPr>
      <w:r>
        <w:t>External statuses and finality mapping, evidence hashes, database commit and outbox/event IDs.</w:t>
      </w:r>
    </w:p>
    <w:p>
      <w:pPr>
        <w:pStyle w:val="ListBullet"/>
        <w:spacing w:after="50"/>
      </w:pPr>
      <w:r>
        <w:t>Reconciliation sources, differences, tolerance policy, exceptions, approvals and corrections.</w:t>
      </w:r>
    </w:p>
    <w:p>
      <w:pPr>
        <w:pStyle w:val="ListBullet"/>
        <w:spacing w:after="50"/>
      </w:pPr>
      <w:r>
        <w:t>Deterministic reproduction and visibility of missing artifacts or nondeterminism.</w:t>
      </w:r>
    </w:p>
    <w:p>
      <w:pPr>
        <w:pStyle w:val="ListBullet"/>
        <w:spacing w:after="50"/>
      </w:pPr>
      <w:r>
        <w:t>Export index, hashes, authorization/signature where supported, access history and retention class.</w:t>
      </w:r>
    </w:p>
    <w:p>
      <w:pPr>
        <w:pStyle w:val="Heading2"/>
      </w:pPr>
      <w:r>
        <w:t>5.5 External claim register</w:t>
      </w:r>
    </w:p>
    <w:p>
      <w:r>
        <w:rPr>
          <w:i w:val="0"/>
        </w:rPr>
        <w:t>Register every material outward-facing claim before publication: performance, fees/savings, legal status, certifications, “real-time,” “atomic,” “compliant,” “bank-grade,” “zero downtime,” “bank partners” and “production-ready.” Store exact wording, status, scope, owner, evidence links, limitations, reviewer, review date and expiry.</w:t>
      </w:r>
    </w:p>
    <w:tbl>
      <w:tblPr>
        <w:tblStyle w:val="TableGrid"/>
        <w:tblW w:type="auto" w:w="0"/>
        <w:jc w:val="center"/>
        <w:tblLook w:firstColumn="1" w:firstRow="1" w:lastColumn="0" w:lastRow="0" w:noHBand="0" w:noVBand="1" w:val="04A0"/>
      </w:tblPr>
      <w:tblGrid>
        <w:gridCol w:w="4997"/>
        <w:gridCol w:w="4997"/>
      </w:tblGrid>
      <w:tr>
        <w:trPr>
          <w:tblHeader w:val="true"/>
          <w:cantSplit/>
        </w:trPr>
        <w:tc>
          <w:tcPr>
            <w:tcW w:type="dxa" w:w="2880"/>
            <w:shd w:fill="07111F"/>
            <w:tcMar>
              <w:top w:w="80" w:type="dxa"/>
              <w:start w:w="90" w:type="dxa"/>
              <w:bottom w:w="80" w:type="dxa"/>
              <w:end w:w="90" w:type="dxa"/>
            </w:tcMar>
            <w:vAlign w:val="center"/>
          </w:tcPr>
          <w:p>
            <w:r>
              <w:rPr>
                <w:rFonts w:ascii="Aptos" w:hAnsi="Aptos"/>
                <w:b/>
                <w:color w:val="FFFFFF"/>
                <w:sz w:val="15"/>
              </w:rPr>
              <w:t>Claim status</w:t>
            </w:r>
          </w:p>
        </w:tc>
        <w:tc>
          <w:tcPr>
            <w:tcW w:type="dxa" w:w="7056"/>
            <w:shd w:fill="07111F"/>
            <w:tcMar>
              <w:top w:w="80" w:type="dxa"/>
              <w:start w:w="90" w:type="dxa"/>
              <w:bottom w:w="80" w:type="dxa"/>
              <w:end w:w="90" w:type="dxa"/>
            </w:tcMar>
            <w:vAlign w:val="center"/>
          </w:tcPr>
          <w:p>
            <w:r>
              <w:rPr>
                <w:rFonts w:ascii="Aptos" w:hAnsi="Aptos"/>
                <w:b/>
                <w:color w:val="FFFFFF"/>
                <w:sz w:val="15"/>
              </w:rPr>
              <w:t>Meaning / treatment</w:t>
            </w:r>
          </w:p>
        </w:tc>
      </w:tr>
      <w:tr>
        <w:trPr>
          <w:cantSplit/>
        </w:trPr>
        <w:tc>
          <w:tcPr>
            <w:tcW w:type="dxa" w:w="4997"/>
            <w:tcMar>
              <w:top w:w="80" w:type="dxa"/>
              <w:start w:w="90" w:type="dxa"/>
              <w:bottom w:w="80" w:type="dxa"/>
              <w:end w:w="90" w:type="dxa"/>
            </w:tcMar>
            <w:vAlign w:val="top"/>
            <w:shd w:fill="F7F9FB"/>
          </w:tcPr>
          <w:p>
            <w:pPr>
              <w:spacing w:after="30"/>
            </w:pPr>
            <w:r>
              <w:rPr>
                <w:rFonts w:ascii="Aptos" w:hAnsi="Aptos"/>
                <w:color w:val="232D38"/>
                <w:sz w:val="15"/>
              </w:rPr>
              <w:t>VERIFIED_PRIMARY_DOCUMENT</w:t>
            </w:r>
          </w:p>
        </w:tc>
        <w:tc>
          <w:tcPr>
            <w:tcW w:type="dxa" w:w="4997"/>
            <w:tcMar>
              <w:top w:w="80" w:type="dxa"/>
              <w:start w:w="90" w:type="dxa"/>
              <w:bottom w:w="80" w:type="dxa"/>
              <w:end w:w="90" w:type="dxa"/>
            </w:tcMar>
            <w:vAlign w:val="top"/>
            <w:shd w:fill="F7F9FB"/>
          </w:tcPr>
          <w:p>
            <w:pPr>
              <w:spacing w:after="30"/>
            </w:pPr>
            <w:r>
              <w:rPr>
                <w:rFonts w:ascii="Aptos" w:hAnsi="Aptos"/>
                <w:color w:val="232D38"/>
                <w:sz w:val="15"/>
              </w:rPr>
              <w:t>Primary/authoritative source whose provenance was checked.</w:t>
            </w:r>
          </w:p>
        </w:tc>
      </w:tr>
      <w:tr>
        <w:trPr>
          <w:cantSplit/>
        </w:trPr>
        <w:tc>
          <w:tcPr>
            <w:tcW w:type="dxa" w:w="4997"/>
            <w:tcMar>
              <w:top w:w="80" w:type="dxa"/>
              <w:start w:w="90" w:type="dxa"/>
              <w:bottom w:w="80" w:type="dxa"/>
              <w:end w:w="90" w:type="dxa"/>
            </w:tcMar>
            <w:vAlign w:val="top"/>
          </w:tcPr>
          <w:p>
            <w:pPr>
              <w:spacing w:after="30"/>
            </w:pPr>
            <w:r>
              <w:rPr>
                <w:rFonts w:ascii="Aptos" w:hAnsi="Aptos"/>
                <w:color w:val="232D38"/>
                <w:sz w:val="15"/>
              </w:rPr>
              <w:t>EXECUTED_EXTERNAL_DOCUMENT</w:t>
            </w:r>
          </w:p>
        </w:tc>
        <w:tc>
          <w:tcPr>
            <w:tcW w:type="dxa" w:w="4997"/>
            <w:tcMar>
              <w:top w:w="80" w:type="dxa"/>
              <w:start w:w="90" w:type="dxa"/>
              <w:bottom w:w="80" w:type="dxa"/>
              <w:end w:w="90" w:type="dxa"/>
            </w:tcMar>
            <w:vAlign w:val="top"/>
          </w:tcPr>
          <w:p>
            <w:pPr>
              <w:spacing w:after="30"/>
            </w:pPr>
            <w:r>
              <w:rPr>
                <w:rFonts w:ascii="Aptos" w:hAnsi="Aptos"/>
                <w:color w:val="232D38"/>
                <w:sz w:val="15"/>
              </w:rPr>
              <w:t>Executed agreement/attestation within explicit scope.</w:t>
            </w:r>
          </w:p>
        </w:tc>
      </w:tr>
      <w:tr>
        <w:trPr>
          <w:cantSplit/>
        </w:trPr>
        <w:tc>
          <w:tcPr>
            <w:tcW w:type="dxa" w:w="4997"/>
            <w:tcMar>
              <w:top w:w="80" w:type="dxa"/>
              <w:start w:w="90" w:type="dxa"/>
              <w:bottom w:w="80" w:type="dxa"/>
              <w:end w:w="90" w:type="dxa"/>
            </w:tcMar>
            <w:vAlign w:val="top"/>
            <w:shd w:fill="F7F9FB"/>
          </w:tcPr>
          <w:p>
            <w:pPr>
              <w:spacing w:after="30"/>
            </w:pPr>
            <w:r>
              <w:rPr>
                <w:rFonts w:ascii="Aptos" w:hAnsi="Aptos"/>
                <w:color w:val="232D38"/>
                <w:sz w:val="15"/>
              </w:rPr>
              <w:t>MEASURED</w:t>
            </w:r>
          </w:p>
        </w:tc>
        <w:tc>
          <w:tcPr>
            <w:tcW w:type="dxa" w:w="4997"/>
            <w:tcMar>
              <w:top w:w="80" w:type="dxa"/>
              <w:start w:w="90" w:type="dxa"/>
              <w:bottom w:w="80" w:type="dxa"/>
              <w:end w:w="90" w:type="dxa"/>
            </w:tcMar>
            <w:vAlign w:val="top"/>
            <w:shd w:fill="F7F9FB"/>
          </w:tcPr>
          <w:p>
            <w:pPr>
              <w:spacing w:after="30"/>
            </w:pPr>
            <w:r>
              <w:rPr>
                <w:rFonts w:ascii="Aptos" w:hAnsi="Aptos"/>
                <w:color w:val="232D38"/>
                <w:sz w:val="15"/>
              </w:rPr>
              <w:t>Observed pilot/runtime data with method, sample, time window and limitations.</w:t>
            </w:r>
          </w:p>
        </w:tc>
      </w:tr>
      <w:tr>
        <w:trPr>
          <w:cantSplit/>
        </w:trPr>
        <w:tc>
          <w:tcPr>
            <w:tcW w:type="dxa" w:w="4997"/>
            <w:tcMar>
              <w:top w:w="80" w:type="dxa"/>
              <w:start w:w="90" w:type="dxa"/>
              <w:bottom w:w="80" w:type="dxa"/>
              <w:end w:w="90" w:type="dxa"/>
            </w:tcMar>
            <w:vAlign w:val="top"/>
          </w:tcPr>
          <w:p>
            <w:pPr>
              <w:spacing w:after="30"/>
            </w:pPr>
            <w:r>
              <w:rPr>
                <w:rFonts w:ascii="Aptos" w:hAnsi="Aptos"/>
                <w:color w:val="232D38"/>
                <w:sz w:val="15"/>
              </w:rPr>
              <w:t>EXTERNAL_SOURCE</w:t>
            </w:r>
          </w:p>
        </w:tc>
        <w:tc>
          <w:tcPr>
            <w:tcW w:type="dxa" w:w="4997"/>
            <w:tcMar>
              <w:top w:w="80" w:type="dxa"/>
              <w:start w:w="90" w:type="dxa"/>
              <w:bottom w:w="80" w:type="dxa"/>
              <w:end w:w="90" w:type="dxa"/>
            </w:tcMar>
            <w:vAlign w:val="top"/>
          </w:tcPr>
          <w:p>
            <w:pPr>
              <w:spacing w:after="30"/>
            </w:pPr>
            <w:r>
              <w:rPr>
                <w:rFonts w:ascii="Aptos" w:hAnsi="Aptos"/>
                <w:color w:val="232D38"/>
                <w:sz w:val="15"/>
              </w:rPr>
              <w:t>Third-party source; not proof of MITHQAL capability.</w:t>
            </w:r>
          </w:p>
        </w:tc>
      </w:tr>
      <w:tr>
        <w:trPr>
          <w:cantSplit/>
        </w:trPr>
        <w:tc>
          <w:tcPr>
            <w:tcW w:type="dxa" w:w="4997"/>
            <w:tcMar>
              <w:top w:w="80" w:type="dxa"/>
              <w:start w:w="90" w:type="dxa"/>
              <w:bottom w:w="80" w:type="dxa"/>
              <w:end w:w="90" w:type="dxa"/>
            </w:tcMar>
            <w:vAlign w:val="top"/>
            <w:shd w:fill="F7F9FB"/>
          </w:tcPr>
          <w:p>
            <w:pPr>
              <w:spacing w:after="30"/>
            </w:pPr>
            <w:r>
              <w:rPr>
                <w:rFonts w:ascii="Aptos" w:hAnsi="Aptos"/>
                <w:color w:val="232D38"/>
                <w:sz w:val="15"/>
              </w:rPr>
              <w:t>SIMULATED</w:t>
            </w:r>
          </w:p>
        </w:tc>
        <w:tc>
          <w:tcPr>
            <w:tcW w:type="dxa" w:w="4997"/>
            <w:tcMar>
              <w:top w:w="80" w:type="dxa"/>
              <w:start w:w="90" w:type="dxa"/>
              <w:bottom w:w="80" w:type="dxa"/>
              <w:end w:w="90" w:type="dxa"/>
            </w:tcMar>
            <w:vAlign w:val="top"/>
            <w:shd w:fill="F7F9FB"/>
          </w:tcPr>
          <w:p>
            <w:pPr>
              <w:spacing w:after="30"/>
            </w:pPr>
            <w:r>
              <w:rPr>
                <w:rFonts w:ascii="Aptos" w:hAnsi="Aptos"/>
                <w:color w:val="232D38"/>
                <w:sz w:val="15"/>
              </w:rPr>
              <w:t>Modelled/test output; never present as live/production performance.</w:t>
            </w:r>
          </w:p>
        </w:tc>
      </w:tr>
      <w:tr>
        <w:trPr>
          <w:cantSplit/>
        </w:trPr>
        <w:tc>
          <w:tcPr>
            <w:tcW w:type="dxa" w:w="4997"/>
            <w:tcMar>
              <w:top w:w="80" w:type="dxa"/>
              <w:start w:w="90" w:type="dxa"/>
              <w:bottom w:w="80" w:type="dxa"/>
              <w:end w:w="90" w:type="dxa"/>
            </w:tcMar>
            <w:vAlign w:val="top"/>
          </w:tcPr>
          <w:p>
            <w:pPr>
              <w:spacing w:after="30"/>
            </w:pPr>
            <w:r>
              <w:rPr>
                <w:rFonts w:ascii="Aptos" w:hAnsi="Aptos"/>
                <w:color w:val="232D38"/>
                <w:sz w:val="15"/>
              </w:rPr>
              <w:t>ASSUMED</w:t>
            </w:r>
          </w:p>
        </w:tc>
        <w:tc>
          <w:tcPr>
            <w:tcW w:type="dxa" w:w="4997"/>
            <w:tcMar>
              <w:top w:w="80" w:type="dxa"/>
              <w:start w:w="90" w:type="dxa"/>
              <w:bottom w:w="80" w:type="dxa"/>
              <w:end w:w="90" w:type="dxa"/>
            </w:tcMar>
            <w:vAlign w:val="top"/>
          </w:tcPr>
          <w:p>
            <w:pPr>
              <w:spacing w:after="30"/>
            </w:pPr>
            <w:r>
              <w:rPr>
                <w:rFonts w:ascii="Aptos" w:hAnsi="Aptos"/>
                <w:color w:val="232D38"/>
                <w:sz w:val="15"/>
              </w:rPr>
              <w:t>Planning hypothesis; visibly label it.</w:t>
            </w:r>
          </w:p>
        </w:tc>
      </w:tr>
      <w:tr>
        <w:trPr>
          <w:cantSplit/>
        </w:trPr>
        <w:tc>
          <w:tcPr>
            <w:tcW w:type="dxa" w:w="4997"/>
            <w:tcMar>
              <w:top w:w="80" w:type="dxa"/>
              <w:start w:w="90" w:type="dxa"/>
              <w:bottom w:w="80" w:type="dxa"/>
              <w:end w:w="90" w:type="dxa"/>
            </w:tcMar>
            <w:vAlign w:val="top"/>
            <w:shd w:fill="F7F9FB"/>
          </w:tcPr>
          <w:p>
            <w:pPr>
              <w:spacing w:after="30"/>
            </w:pPr>
            <w:r>
              <w:rPr>
                <w:rFonts w:ascii="Aptos" w:hAnsi="Aptos"/>
                <w:color w:val="232D38"/>
                <w:sz w:val="15"/>
              </w:rPr>
              <w:t>UNKNOWN / UNVERIFIED</w:t>
            </w:r>
          </w:p>
        </w:tc>
        <w:tc>
          <w:tcPr>
            <w:tcW w:type="dxa" w:w="4997"/>
            <w:tcMar>
              <w:top w:w="80" w:type="dxa"/>
              <w:start w:w="90" w:type="dxa"/>
              <w:bottom w:w="80" w:type="dxa"/>
              <w:end w:w="90" w:type="dxa"/>
            </w:tcMar>
            <w:vAlign w:val="top"/>
            <w:shd w:fill="F7F9FB"/>
          </w:tcPr>
          <w:p>
            <w:pPr>
              <w:spacing w:after="30"/>
            </w:pPr>
            <w:r>
              <w:rPr>
                <w:rFonts w:ascii="Aptos" w:hAnsi="Aptos"/>
                <w:color w:val="232D38"/>
                <w:sz w:val="15"/>
              </w:rPr>
              <w:t>Unsubstantiated; do not publish as fact.</w:t>
            </w:r>
          </w:p>
        </w:tc>
      </w:tr>
      <w:tr>
        <w:trPr>
          <w:cantSplit/>
        </w:trPr>
        <w:tc>
          <w:tcPr>
            <w:tcW w:type="dxa" w:w="4997"/>
            <w:tcMar>
              <w:top w:w="80" w:type="dxa"/>
              <w:start w:w="90" w:type="dxa"/>
              <w:bottom w:w="80" w:type="dxa"/>
              <w:end w:w="90" w:type="dxa"/>
            </w:tcMar>
            <w:vAlign w:val="top"/>
          </w:tcPr>
          <w:p>
            <w:pPr>
              <w:spacing w:after="30"/>
            </w:pPr>
            <w:r>
              <w:rPr>
                <w:rFonts w:ascii="Aptos" w:hAnsi="Aptos"/>
                <w:color w:val="232D38"/>
                <w:sz w:val="15"/>
              </w:rPr>
              <w:t>CONTRADICTED / EXPIRED</w:t>
            </w:r>
          </w:p>
        </w:tc>
        <w:tc>
          <w:tcPr>
            <w:tcW w:type="dxa" w:w="4997"/>
            <w:tcMar>
              <w:top w:w="80" w:type="dxa"/>
              <w:start w:w="90" w:type="dxa"/>
              <w:bottom w:w="80" w:type="dxa"/>
              <w:end w:w="90" w:type="dxa"/>
            </w:tcMar>
            <w:vAlign w:val="top"/>
          </w:tcPr>
          <w:p>
            <w:pPr>
              <w:spacing w:after="30"/>
            </w:pPr>
            <w:r>
              <w:rPr>
                <w:rFonts w:ascii="Aptos" w:hAnsi="Aptos"/>
                <w:color w:val="232D38"/>
                <w:sz w:val="15"/>
              </w:rPr>
              <w:t>Do not publish until resolved/revalidated.</w:t>
            </w:r>
          </w:p>
        </w:tc>
      </w:tr>
    </w:tbl>
    <w:p>
      <w:pPr>
        <w:spacing w:after="0"/>
      </w:pPr>
    </w:p>
    <w:p>
      <w:pPr>
        <w:pStyle w:val="Heading1"/>
      </w:pPr>
      <w:r>
        <w:t>PART VI — Runtime and Provider Architecture</w:t>
      </w:r>
    </w:p>
    <w:p>
      <w:pPr>
        <w:pStyle w:val="Heading2"/>
      </w:pPr>
      <w:r>
        <w:t>6.1 Target architecture overview</w:t>
      </w:r>
    </w:p>
    <w:p>
      <w:r>
        <w:rPr>
          <w:i w:val="0"/>
        </w:rPr>
        <w:t>The following is the canonical proposed division of responsibilities. Inspect current repository/provider setup before migration; do not blindly replatform a working component. Record any existing deviation and migrate safely. Verify provider features, plan limits and configuration in the actual account at implementation time.</w:t>
      </w:r>
    </w:p>
    <w:tbl>
      <w:tblPr>
        <w:tblStyle w:val="TableGrid"/>
        <w:tblW w:type="auto" w:w="0"/>
        <w:jc w:val="center"/>
        <w:tblLook w:firstColumn="1" w:firstRow="1" w:lastColumn="0" w:lastRow="0" w:noHBand="0" w:noVBand="1" w:val="04A0"/>
      </w:tblPr>
      <w:tblGrid>
        <w:gridCol w:w="3331"/>
        <w:gridCol w:w="3331"/>
        <w:gridCol w:w="3331"/>
      </w:tblGrid>
      <w:tr>
        <w:trPr>
          <w:tblHeader w:val="true"/>
          <w:cantSplit/>
        </w:trPr>
        <w:tc>
          <w:tcPr>
            <w:tcW w:type="dxa" w:w="1800"/>
            <w:shd w:fill="07111F"/>
            <w:tcMar>
              <w:top w:w="80" w:type="dxa"/>
              <w:start w:w="90" w:type="dxa"/>
              <w:bottom w:w="80" w:type="dxa"/>
              <w:end w:w="90" w:type="dxa"/>
            </w:tcMar>
            <w:vAlign w:val="center"/>
          </w:tcPr>
          <w:p>
            <w:r>
              <w:rPr>
                <w:rFonts w:ascii="Aptos" w:hAnsi="Aptos"/>
                <w:b/>
                <w:color w:val="FFFFFF"/>
                <w:sz w:val="14"/>
              </w:rPr>
              <w:t>Component</w:t>
            </w:r>
          </w:p>
        </w:tc>
        <w:tc>
          <w:tcPr>
            <w:tcW w:type="dxa" w:w="4968"/>
            <w:shd w:fill="07111F"/>
            <w:tcMar>
              <w:top w:w="80" w:type="dxa"/>
              <w:start w:w="90" w:type="dxa"/>
              <w:bottom w:w="80" w:type="dxa"/>
              <w:end w:w="90" w:type="dxa"/>
            </w:tcMar>
            <w:vAlign w:val="center"/>
          </w:tcPr>
          <w:p>
            <w:r>
              <w:rPr>
                <w:rFonts w:ascii="Aptos" w:hAnsi="Aptos"/>
                <w:b/>
                <w:color w:val="FFFFFF"/>
                <w:sz w:val="14"/>
              </w:rPr>
              <w:t>Canonical responsibility</w:t>
            </w:r>
          </w:p>
        </w:tc>
        <w:tc>
          <w:tcPr>
            <w:tcW w:type="dxa" w:w="3168"/>
            <w:shd w:fill="07111F"/>
            <w:tcMar>
              <w:top w:w="80" w:type="dxa"/>
              <w:start w:w="90" w:type="dxa"/>
              <w:bottom w:w="80" w:type="dxa"/>
              <w:end w:w="90" w:type="dxa"/>
            </w:tcMar>
            <w:vAlign w:val="center"/>
          </w:tcPr>
          <w:p>
            <w:r>
              <w:rPr>
                <w:rFonts w:ascii="Aptos" w:hAnsi="Aptos"/>
                <w:b/>
                <w:color w:val="FFFFFF"/>
                <w:sz w:val="14"/>
              </w:rPr>
              <w:t>Must not be treated as</w:t>
            </w:r>
          </w:p>
        </w:tc>
      </w:tr>
      <w:tr>
        <w:trPr>
          <w:cantSplit/>
        </w:trPr>
        <w:tc>
          <w:tcPr>
            <w:tcW w:type="dxa" w:w="3331"/>
            <w:tcMar>
              <w:top w:w="80" w:type="dxa"/>
              <w:start w:w="90" w:type="dxa"/>
              <w:bottom w:w="80" w:type="dxa"/>
              <w:end w:w="90" w:type="dxa"/>
            </w:tcMar>
            <w:vAlign w:val="top"/>
            <w:shd w:fill="F7F9FB"/>
          </w:tcPr>
          <w:p>
            <w:pPr>
              <w:spacing w:after="30"/>
            </w:pPr>
            <w:r>
              <w:rPr>
                <w:rFonts w:ascii="Aptos" w:hAnsi="Aptos"/>
                <w:color w:val="232D38"/>
                <w:sz w:val="14"/>
              </w:rPr>
              <w:t>GitHub</w:t>
            </w:r>
          </w:p>
        </w:tc>
        <w:tc>
          <w:tcPr>
            <w:tcW w:type="dxa" w:w="3331"/>
            <w:tcMar>
              <w:top w:w="80" w:type="dxa"/>
              <w:start w:w="90" w:type="dxa"/>
              <w:bottom w:w="80" w:type="dxa"/>
              <w:end w:w="90" w:type="dxa"/>
            </w:tcMar>
            <w:vAlign w:val="top"/>
            <w:shd w:fill="F7F9FB"/>
          </w:tcPr>
          <w:p>
            <w:pPr>
              <w:spacing w:after="30"/>
            </w:pPr>
            <w:r>
              <w:rPr>
                <w:rFonts w:ascii="Aptos" w:hAnsi="Aptos"/>
                <w:color w:val="232D38"/>
                <w:sz w:val="14"/>
              </w:rPr>
              <w:t>Versioned source, schemas/policies, tests, migrations, architecture decisions, CI and release provenance.</w:t>
            </w:r>
          </w:p>
        </w:tc>
        <w:tc>
          <w:tcPr>
            <w:tcW w:type="dxa" w:w="3331"/>
            <w:tcMar>
              <w:top w:w="80" w:type="dxa"/>
              <w:start w:w="90" w:type="dxa"/>
              <w:bottom w:w="80" w:type="dxa"/>
              <w:end w:w="90" w:type="dxa"/>
            </w:tcMar>
            <w:vAlign w:val="top"/>
            <w:shd w:fill="F7F9FB"/>
          </w:tcPr>
          <w:p>
            <w:pPr>
              <w:spacing w:after="30"/>
            </w:pPr>
            <w:r>
              <w:rPr>
                <w:rFonts w:ascii="Aptos" w:hAnsi="Aptos"/>
                <w:color w:val="232D38"/>
                <w:sz w:val="14"/>
              </w:rPr>
              <w:t>Proof of deployment, secret storage or legal truth.</w:t>
            </w:r>
          </w:p>
        </w:tc>
      </w:tr>
      <w:tr>
        <w:trPr>
          <w:cantSplit/>
        </w:trPr>
        <w:tc>
          <w:tcPr>
            <w:tcW w:type="dxa" w:w="3331"/>
            <w:tcMar>
              <w:top w:w="80" w:type="dxa"/>
              <w:start w:w="90" w:type="dxa"/>
              <w:bottom w:w="80" w:type="dxa"/>
              <w:end w:w="90" w:type="dxa"/>
            </w:tcMar>
            <w:vAlign w:val="top"/>
          </w:tcPr>
          <w:p>
            <w:pPr>
              <w:spacing w:after="30"/>
            </w:pPr>
            <w:r>
              <w:rPr>
                <w:rFonts w:ascii="Aptos" w:hAnsi="Aptos"/>
                <w:color w:val="232D38"/>
                <w:sz w:val="14"/>
              </w:rPr>
              <w:t>Vercel</w:t>
            </w:r>
          </w:p>
        </w:tc>
        <w:tc>
          <w:tcPr>
            <w:tcW w:type="dxa" w:w="3331"/>
            <w:tcMar>
              <w:top w:w="80" w:type="dxa"/>
              <w:start w:w="90" w:type="dxa"/>
              <w:bottom w:w="80" w:type="dxa"/>
              <w:end w:w="90" w:type="dxa"/>
            </w:tcMar>
            <w:vAlign w:val="top"/>
          </w:tcPr>
          <w:p>
            <w:pPr>
              <w:spacing w:after="30"/>
            </w:pPr>
            <w:r>
              <w:rPr>
                <w:rFonts w:ascii="Aptos" w:hAnsi="Aptos"/>
                <w:color w:val="232D38"/>
                <w:sz w:val="14"/>
              </w:rPr>
              <w:t>Application/API/UI runtime, deployment identity, previews and environment-specific configuration references.</w:t>
            </w:r>
          </w:p>
        </w:tc>
        <w:tc>
          <w:tcPr>
            <w:tcW w:type="dxa" w:w="3331"/>
            <w:tcMar>
              <w:top w:w="80" w:type="dxa"/>
              <w:start w:w="90" w:type="dxa"/>
              <w:bottom w:w="80" w:type="dxa"/>
              <w:end w:w="90" w:type="dxa"/>
            </w:tcMar>
            <w:vAlign w:val="top"/>
          </w:tcPr>
          <w:p>
            <w:pPr>
              <w:spacing w:after="30"/>
            </w:pPr>
            <w:r>
              <w:rPr>
                <w:rFonts w:ascii="Aptos" w:hAnsi="Aptos"/>
                <w:color w:val="232D38"/>
                <w:sz w:val="14"/>
              </w:rPr>
              <w:t>Financial system of record, legal approval or proof every integration works.</w:t>
            </w:r>
          </w:p>
        </w:tc>
      </w:tr>
      <w:tr>
        <w:trPr>
          <w:cantSplit/>
        </w:trPr>
        <w:tc>
          <w:tcPr>
            <w:tcW w:type="dxa" w:w="3331"/>
            <w:tcMar>
              <w:top w:w="80" w:type="dxa"/>
              <w:start w:w="90" w:type="dxa"/>
              <w:bottom w:w="80" w:type="dxa"/>
              <w:end w:w="90" w:type="dxa"/>
            </w:tcMar>
            <w:vAlign w:val="top"/>
            <w:shd w:fill="F7F9FB"/>
          </w:tcPr>
          <w:p>
            <w:pPr>
              <w:spacing w:after="30"/>
            </w:pPr>
            <w:r>
              <w:rPr>
                <w:rFonts w:ascii="Aptos" w:hAnsi="Aptos"/>
                <w:color w:val="232D38"/>
                <w:sz w:val="14"/>
              </w:rPr>
              <w:t>Inngest</w:t>
            </w:r>
          </w:p>
        </w:tc>
        <w:tc>
          <w:tcPr>
            <w:tcW w:type="dxa" w:w="3331"/>
            <w:tcMar>
              <w:top w:w="80" w:type="dxa"/>
              <w:start w:w="90" w:type="dxa"/>
              <w:bottom w:w="80" w:type="dxa"/>
              <w:end w:w="90" w:type="dxa"/>
            </w:tcMar>
            <w:vAlign w:val="top"/>
            <w:shd w:fill="F7F9FB"/>
          </w:tcPr>
          <w:p>
            <w:pPr>
              <w:spacing w:after="30"/>
            </w:pPr>
            <w:r>
              <w:rPr>
                <w:rFonts w:ascii="Aptos" w:hAnsi="Aptos"/>
                <w:color w:val="232D38"/>
                <w:sz w:val="14"/>
              </w:rPr>
              <w:t>Durable async orchestration, retries, scheduling, event workflows, retry visibility and controlled replay.</w:t>
            </w:r>
          </w:p>
        </w:tc>
        <w:tc>
          <w:tcPr>
            <w:tcW w:type="dxa" w:w="3331"/>
            <w:tcMar>
              <w:top w:w="80" w:type="dxa"/>
              <w:start w:w="90" w:type="dxa"/>
              <w:bottom w:w="80" w:type="dxa"/>
              <w:end w:w="90" w:type="dxa"/>
            </w:tcMar>
            <w:vAlign w:val="top"/>
            <w:shd w:fill="F7F9FB"/>
          </w:tcPr>
          <w:p>
            <w:pPr>
              <w:spacing w:after="30"/>
            </w:pPr>
            <w:r>
              <w:rPr>
                <w:rFonts w:ascii="Aptos" w:hAnsi="Aptos"/>
                <w:color w:val="232D38"/>
                <w:sz w:val="14"/>
              </w:rPr>
              <w:t>Authoritative ledger, exactly-once execution guarantee or legal finality authority.</w:t>
            </w:r>
          </w:p>
        </w:tc>
      </w:tr>
      <w:tr>
        <w:trPr>
          <w:cantSplit/>
        </w:trPr>
        <w:tc>
          <w:tcPr>
            <w:tcW w:type="dxa" w:w="3331"/>
            <w:tcMar>
              <w:top w:w="80" w:type="dxa"/>
              <w:start w:w="90" w:type="dxa"/>
              <w:bottom w:w="80" w:type="dxa"/>
              <w:end w:w="90" w:type="dxa"/>
            </w:tcMar>
            <w:vAlign w:val="top"/>
          </w:tcPr>
          <w:p>
            <w:pPr>
              <w:spacing w:after="30"/>
            </w:pPr>
            <w:r>
              <w:rPr>
                <w:rFonts w:ascii="Aptos" w:hAnsi="Aptos"/>
                <w:color w:val="232D38"/>
                <w:sz w:val="14"/>
              </w:rPr>
              <w:t>Neon/Postgres</w:t>
            </w:r>
          </w:p>
        </w:tc>
        <w:tc>
          <w:tcPr>
            <w:tcW w:type="dxa" w:w="3331"/>
            <w:tcMar>
              <w:top w:w="80" w:type="dxa"/>
              <w:start w:w="90" w:type="dxa"/>
              <w:bottom w:w="80" w:type="dxa"/>
              <w:end w:w="90" w:type="dxa"/>
            </w:tcMar>
            <w:vAlign w:val="top"/>
          </w:tcPr>
          <w:p>
            <w:pPr>
              <w:spacing w:after="30"/>
            </w:pPr>
            <w:r>
              <w:rPr>
                <w:rFonts w:ascii="Aptos" w:hAnsi="Aptos"/>
                <w:color w:val="232D38"/>
                <w:sz w:val="14"/>
              </w:rPr>
              <w:t>Proposed authoritative transactional system of record for canonical obligations, instruction state, journal/ledger, policy decisions, idempotency, outbox, reconciliation and evidence metadata.</w:t>
            </w:r>
          </w:p>
        </w:tc>
        <w:tc>
          <w:tcPr>
            <w:tcW w:type="dxa" w:w="3331"/>
            <w:tcMar>
              <w:top w:w="80" w:type="dxa"/>
              <w:start w:w="90" w:type="dxa"/>
              <w:bottom w:w="80" w:type="dxa"/>
              <w:end w:w="90" w:type="dxa"/>
            </w:tcMar>
            <w:vAlign w:val="top"/>
          </w:tcPr>
          <w:p>
            <w:pPr>
              <w:spacing w:after="30"/>
            </w:pPr>
            <w:r>
              <w:rPr>
                <w:rFonts w:ascii="Aptos" w:hAnsi="Aptos"/>
                <w:color w:val="232D38"/>
                <w:sz w:val="14"/>
              </w:rPr>
              <w:t>Proof account settings/backups/replicas are correct without verification.</w:t>
            </w:r>
          </w:p>
        </w:tc>
      </w:tr>
      <w:tr>
        <w:trPr>
          <w:cantSplit/>
        </w:trPr>
        <w:tc>
          <w:tcPr>
            <w:tcW w:type="dxa" w:w="3331"/>
            <w:tcMar>
              <w:top w:w="80" w:type="dxa"/>
              <w:start w:w="90" w:type="dxa"/>
              <w:bottom w:w="80" w:type="dxa"/>
              <w:end w:w="90" w:type="dxa"/>
            </w:tcMar>
            <w:vAlign w:val="top"/>
            <w:shd w:fill="F7F9FB"/>
          </w:tcPr>
          <w:p>
            <w:pPr>
              <w:spacing w:after="30"/>
            </w:pPr>
            <w:r>
              <w:rPr>
                <w:rFonts w:ascii="Aptos" w:hAnsi="Aptos"/>
                <w:color w:val="232D38"/>
                <w:sz w:val="14"/>
              </w:rPr>
              <w:t>Turso/libSQL</w:t>
            </w:r>
          </w:p>
        </w:tc>
        <w:tc>
          <w:tcPr>
            <w:tcW w:type="dxa" w:w="3331"/>
            <w:tcMar>
              <w:top w:w="80" w:type="dxa"/>
              <w:start w:w="90" w:type="dxa"/>
              <w:bottom w:w="80" w:type="dxa"/>
              <w:end w:w="90" w:type="dxa"/>
            </w:tcMar>
            <w:vAlign w:val="top"/>
            <w:shd w:fill="F7F9FB"/>
          </w:tcPr>
          <w:p>
            <w:pPr>
              <w:spacing w:after="30"/>
            </w:pPr>
            <w:r>
              <w:rPr>
                <w:rFonts w:ascii="Aptos" w:hAnsi="Aptos"/>
                <w:color w:val="232D38"/>
                <w:sz w:val="14"/>
              </w:rPr>
              <w:t>Proposed non-authoritative projections/read models, cache/edge reads and explicitly labelled demo/offline queue where necessary.</w:t>
            </w:r>
          </w:p>
        </w:tc>
        <w:tc>
          <w:tcPr>
            <w:tcW w:type="dxa" w:w="3331"/>
            <w:tcMar>
              <w:top w:w="80" w:type="dxa"/>
              <w:start w:w="90" w:type="dxa"/>
              <w:bottom w:w="80" w:type="dxa"/>
              <w:end w:w="90" w:type="dxa"/>
            </w:tcMar>
            <w:vAlign w:val="top"/>
            <w:shd w:fill="F7F9FB"/>
          </w:tcPr>
          <w:p>
            <w:pPr>
              <w:spacing w:after="30"/>
            </w:pPr>
            <w:r>
              <w:rPr>
                <w:rFonts w:ascii="Aptos" w:hAnsi="Aptos"/>
                <w:color w:val="232D38"/>
                <w:sz w:val="14"/>
              </w:rPr>
              <w:t>Second independent financial ledger or source of legal settlement truth.</w:t>
            </w:r>
          </w:p>
        </w:tc>
      </w:tr>
      <w:tr>
        <w:trPr>
          <w:cantSplit/>
        </w:trPr>
        <w:tc>
          <w:tcPr>
            <w:tcW w:type="dxa" w:w="3331"/>
            <w:tcMar>
              <w:top w:w="80" w:type="dxa"/>
              <w:start w:w="90" w:type="dxa"/>
              <w:bottom w:w="80" w:type="dxa"/>
              <w:end w:w="90" w:type="dxa"/>
            </w:tcMar>
            <w:vAlign w:val="top"/>
          </w:tcPr>
          <w:p>
            <w:pPr>
              <w:spacing w:after="30"/>
            </w:pPr>
            <w:r>
              <w:rPr>
                <w:rFonts w:ascii="Aptos" w:hAnsi="Aptos"/>
                <w:color w:val="232D38"/>
                <w:sz w:val="14"/>
              </w:rPr>
              <w:t>Provider secret stores</w:t>
            </w:r>
          </w:p>
        </w:tc>
        <w:tc>
          <w:tcPr>
            <w:tcW w:type="dxa" w:w="3331"/>
            <w:tcMar>
              <w:top w:w="80" w:type="dxa"/>
              <w:start w:w="90" w:type="dxa"/>
              <w:bottom w:w="80" w:type="dxa"/>
              <w:end w:w="90" w:type="dxa"/>
            </w:tcMar>
            <w:vAlign w:val="top"/>
          </w:tcPr>
          <w:p>
            <w:pPr>
              <w:spacing w:after="30"/>
            </w:pPr>
            <w:r>
              <w:rPr>
                <w:rFonts w:ascii="Aptos" w:hAnsi="Aptos"/>
                <w:color w:val="232D38"/>
                <w:sz w:val="14"/>
              </w:rPr>
              <w:t>Runtime secret delivery, least privilege, rotation and environment separation.</w:t>
            </w:r>
          </w:p>
        </w:tc>
        <w:tc>
          <w:tcPr>
            <w:tcW w:type="dxa" w:w="3331"/>
            <w:tcMar>
              <w:top w:w="80" w:type="dxa"/>
              <w:start w:w="90" w:type="dxa"/>
              <w:bottom w:w="80" w:type="dxa"/>
              <w:end w:w="90" w:type="dxa"/>
            </w:tcMar>
            <w:vAlign w:val="top"/>
          </w:tcPr>
          <w:p>
            <w:pPr>
              <w:spacing w:after="30"/>
            </w:pPr>
            <w:r>
              <w:rPr>
                <w:rFonts w:ascii="Aptos" w:hAnsi="Aptos"/>
                <w:color w:val="232D38"/>
                <w:sz w:val="14"/>
              </w:rPr>
              <w:t>A repository, chat transcript or documentation field.</w:t>
            </w:r>
          </w:p>
        </w:tc>
      </w:tr>
    </w:tbl>
    <w:p>
      <w:pPr>
        <w:spacing w:after="0"/>
      </w:pPr>
    </w:p>
    <w:p>
      <w:pPr>
        <w:keepLines/>
        <w:spacing w:before="100" w:after="120"/>
        <w:ind w:left="144" w:right="144"/>
        <w:shd w:fill="F7EDEB"/>
        <w:ind w:left="120" w:right="120"/>
        <w:pBdr>
          <w:top w:val="single" w:sz="5" w:space="5" w:color="CCD5DF"/>
          <w:left w:val="single" w:sz="5" w:space="5" w:color="CCD5DF"/>
          <w:bottom w:val="single" w:sz="5" w:space="5" w:color="CCD5DF"/>
          <w:right w:val="single" w:sz="5" w:space="5" w:color="CCD5DF"/>
        </w:pBdr>
      </w:pPr>
      <w:r>
        <w:rPr>
          <w:b/>
          <w:color w:val="07111F"/>
          <w:sz w:val="20"/>
        </w:rPr>
        <w:t>SINGLE WRITER FOR AUTHORITATIVE FINANCIAL STATE</w:t>
        <w:br/>
      </w:r>
      <w:r>
        <w:rPr>
          <w:color w:val="334155"/>
          <w:sz w:val="18"/>
        </w:rPr>
        <w:t>Neon is the proposed canonical write authority for transaction/obligation state. Turso can host projections and permitted demo/local data but must not independently commit authoritative financial settlement. If the code treats both databases as co-equal writers, that is a P0 architecture conflict; block real-value operation until resolved.</w:t>
      </w:r>
    </w:p>
    <w:p>
      <w:pPr>
        <w:pStyle w:val="Heading2"/>
      </w:pPr>
      <w:r>
        <w:t>6.2 Avoiding split-brain across Neon and Turso</w:t>
      </w:r>
    </w:p>
    <w:p>
      <w:r>
        <w:rPr>
          <w:i w:val="0"/>
        </w:rPr>
        <w:t>A request must not independently commit financial state to Neon and Turso as if a distributed transaction existed. The authoritative business transaction is committed in Neon. An outbox row is committed in the same Postgres transaction. A dispatcher delivers to Inngest/approved transport; delivery can repeat. Consumers are idempotent. Turso is a projection and can be rebuilt from authoritative event/outbox history or approved snapshot.</w:t>
      </w:r>
    </w:p>
    <w:p>
      <w:pPr>
        <w:spacing w:after="50"/>
        <w:ind w:left="403" w:hanging="403"/>
      </w:pPr>
      <w:r>
        <w:t>1. API validates command and writes instruction + state transition + idempotency result + outbox in one Neon transaction.</w:t>
      </w:r>
    </w:p>
    <w:p>
      <w:pPr>
        <w:spacing w:after="50"/>
        <w:ind w:left="403" w:hanging="403"/>
      </w:pPr>
      <w:r>
        <w:t>2. Dispatcher safely claims pending outbox rows with concurrency/lease controls, emits stable eventId and minimal payload, and records attempt/result.</w:t>
      </w:r>
    </w:p>
    <w:p>
      <w:pPr>
        <w:spacing w:after="50"/>
        <w:ind w:left="403" w:hanging="403"/>
      </w:pPr>
      <w:r>
        <w:t>3. Inngest validates event schema/version, checks durable workflow state, makes every side-effecting step idempotent, and records outcomes through commands to Neon.</w:t>
      </w:r>
    </w:p>
    <w:p>
      <w:pPr>
        <w:spacing w:after="50"/>
        <w:ind w:left="403" w:hanging="403"/>
      </w:pPr>
      <w:r>
        <w:t>4. Projector updates Turso from canonical records/events with sequence/watermark, duplicate detection and last-applied event ID.</w:t>
      </w:r>
    </w:p>
    <w:p>
      <w:pPr>
        <w:spacing w:after="50"/>
        <w:ind w:left="403" w:hanging="403"/>
      </w:pPr>
      <w:r>
        <w:t>5. Projection failure means stale/lagging and rebuild/replay; projected state cannot authorize finality or backing.</w:t>
      </w:r>
    </w:p>
    <w:p>
      <w:pPr>
        <w:spacing w:after="50"/>
        <w:ind w:left="403" w:hanging="403"/>
      </w:pPr>
      <w:r>
        <w:t>6. Reconcile outbox, workflow/event history, Neon state and Turso watermarks; dead-letter items remain visible until resolved.</w:t>
      </w:r>
    </w:p>
    <w:p>
      <w:pPr>
        <w:pStyle w:val="Heading2"/>
      </w:pPr>
      <w:r>
        <w:t>6.3 Transactional correctness and idempotency</w:t>
      </w:r>
    </w:p>
    <w:p>
      <w:pPr>
        <w:pStyle w:val="ListBullet"/>
        <w:spacing w:after="50"/>
      </w:pPr>
      <w:r>
        <w:t>Scope idempotency key to tenant/institution + operation + business object; persist request hash and first outcome. Reusing the key with a different body returns conflict.</w:t>
      </w:r>
    </w:p>
    <w:p>
      <w:pPr>
        <w:pStyle w:val="ListBullet"/>
        <w:spacing w:after="50"/>
      </w:pPr>
      <w:r>
        <w:t>Enforce unique business keys, constraints and state-transition predicates in the database; do not rely on application “check then insert”.</w:t>
      </w:r>
    </w:p>
    <w:p>
      <w:pPr>
        <w:pStyle w:val="ListBullet"/>
        <w:spacing w:after="50"/>
      </w:pPr>
      <w:r>
        <w:t>Use immutable business IDs and monotonic version/sequence where ordering matters. Provider event ID alone may not deduplicate equivalent business instructions.</w:t>
      </w:r>
    </w:p>
    <w:p>
      <w:pPr>
        <w:pStyle w:val="ListBullet"/>
        <w:spacing w:after="50"/>
      </w:pPr>
      <w:r>
        <w:t>Use outbox/inbox and unique consumer-effect keys for at-least-once delivery.</w:t>
      </w:r>
    </w:p>
    <w:p>
      <w:pPr>
        <w:pStyle w:val="ListBullet"/>
        <w:spacing w:after="50"/>
      </w:pPr>
      <w:r>
        <w:t>Classify errors: transient, business denial, uncertain external outcome, permanent validation or manual review.</w:t>
      </w:r>
    </w:p>
    <w:p>
      <w:pPr>
        <w:pStyle w:val="ListBullet"/>
        <w:spacing w:after="50"/>
      </w:pPr>
      <w:r>
        <w:t>After uncertain timeout, query the authoritative record by idempotency key/external reference before retrying side effect.</w:t>
      </w:r>
    </w:p>
    <w:p>
      <w:pPr>
        <w:pStyle w:val="ListBullet"/>
        <w:spacing w:after="50"/>
      </w:pPr>
      <w:r>
        <w:t>Do not claim end-to-end exactly-once. State where idempotency prevents duplicate business effects and where compensation applies.</w:t>
      </w:r>
    </w:p>
    <w:p>
      <w:pPr>
        <w:pStyle w:val="ListBullet"/>
        <w:spacing w:after="50"/>
      </w:pPr>
      <w:r>
        <w:t>Reject out-of-order events that violate version/state preconditions; a late callback cannot reverse newer authoritative state.</w:t>
      </w:r>
    </w:p>
    <w:p>
      <w:pPr>
        <w:pStyle w:val="Heading2"/>
      </w:pPr>
      <w:r>
        <w:t>6.4 API and event contract standards</w:t>
      </w:r>
    </w:p>
    <w:tbl>
      <w:tblPr>
        <w:tblStyle w:val="TableGrid"/>
        <w:tblW w:type="auto" w:w="0"/>
        <w:jc w:val="center"/>
        <w:tblLook w:firstColumn="1" w:firstRow="1" w:lastColumn="0" w:lastRow="0" w:noHBand="0" w:noVBand="1" w:val="04A0"/>
      </w:tblPr>
      <w:tblGrid>
        <w:gridCol w:w="4997"/>
        <w:gridCol w:w="4997"/>
      </w:tblGrid>
      <w:tr>
        <w:trPr>
          <w:tblHeader w:val="true"/>
          <w:cantSplit/>
        </w:trPr>
        <w:tc>
          <w:tcPr>
            <w:tcW w:type="dxa" w:w="1944"/>
            <w:shd w:fill="07111F"/>
            <w:tcMar>
              <w:top w:w="80" w:type="dxa"/>
              <w:start w:w="90" w:type="dxa"/>
              <w:bottom w:w="80" w:type="dxa"/>
              <w:end w:w="90" w:type="dxa"/>
            </w:tcMar>
            <w:vAlign w:val="center"/>
          </w:tcPr>
          <w:p>
            <w:r>
              <w:rPr>
                <w:rFonts w:ascii="Aptos" w:hAnsi="Aptos"/>
                <w:b/>
                <w:color w:val="FFFFFF"/>
                <w:sz w:val="15"/>
              </w:rPr>
              <w:t>Property</w:t>
            </w:r>
          </w:p>
        </w:tc>
        <w:tc>
          <w:tcPr>
            <w:tcW w:type="dxa" w:w="7992"/>
            <w:shd w:fill="07111F"/>
            <w:tcMar>
              <w:top w:w="80" w:type="dxa"/>
              <w:start w:w="90" w:type="dxa"/>
              <w:bottom w:w="80" w:type="dxa"/>
              <w:end w:w="90" w:type="dxa"/>
            </w:tcMar>
            <w:vAlign w:val="center"/>
          </w:tcPr>
          <w:p>
            <w:r>
              <w:rPr>
                <w:rFonts w:ascii="Aptos" w:hAnsi="Aptos"/>
                <w:b/>
                <w:color w:val="FFFFFF"/>
                <w:sz w:val="15"/>
              </w:rPr>
              <w:t>Requirement</w:t>
            </w:r>
          </w:p>
        </w:tc>
      </w:tr>
      <w:tr>
        <w:trPr>
          <w:cantSplit/>
        </w:trPr>
        <w:tc>
          <w:tcPr>
            <w:tcW w:type="dxa" w:w="4997"/>
            <w:tcMar>
              <w:top w:w="80" w:type="dxa"/>
              <w:start w:w="90" w:type="dxa"/>
              <w:bottom w:w="80" w:type="dxa"/>
              <w:end w:w="90" w:type="dxa"/>
            </w:tcMar>
            <w:vAlign w:val="top"/>
            <w:shd w:fill="F7F9FB"/>
          </w:tcPr>
          <w:p>
            <w:pPr>
              <w:spacing w:after="30"/>
            </w:pPr>
            <w:r>
              <w:rPr>
                <w:rFonts w:ascii="Aptos" w:hAnsi="Aptos"/>
                <w:color w:val="232D38"/>
                <w:sz w:val="15"/>
              </w:rPr>
              <w:t>Versioning</w:t>
            </w:r>
          </w:p>
        </w:tc>
        <w:tc>
          <w:tcPr>
            <w:tcW w:type="dxa" w:w="4997"/>
            <w:tcMar>
              <w:top w:w="80" w:type="dxa"/>
              <w:start w:w="90" w:type="dxa"/>
              <w:bottom w:w="80" w:type="dxa"/>
              <w:end w:w="90" w:type="dxa"/>
            </w:tcMar>
            <w:vAlign w:val="top"/>
            <w:shd w:fill="F7F9FB"/>
          </w:tcPr>
          <w:p>
            <w:pPr>
              <w:spacing w:after="30"/>
            </w:pPr>
            <w:r>
              <w:rPr>
                <w:rFonts w:ascii="Aptos" w:hAnsi="Aptos"/>
                <w:color w:val="232D38"/>
                <w:sz w:val="15"/>
              </w:rPr>
              <w:t>Every command/event has schema version; breaking changes have a compatibility window and migration plan.</w:t>
            </w:r>
          </w:p>
        </w:tc>
      </w:tr>
      <w:tr>
        <w:trPr>
          <w:cantSplit/>
        </w:trPr>
        <w:tc>
          <w:tcPr>
            <w:tcW w:type="dxa" w:w="4997"/>
            <w:tcMar>
              <w:top w:w="80" w:type="dxa"/>
              <w:start w:w="90" w:type="dxa"/>
              <w:bottom w:w="80" w:type="dxa"/>
              <w:end w:w="90" w:type="dxa"/>
            </w:tcMar>
            <w:vAlign w:val="top"/>
          </w:tcPr>
          <w:p>
            <w:pPr>
              <w:spacing w:after="30"/>
            </w:pPr>
            <w:r>
              <w:rPr>
                <w:rFonts w:ascii="Aptos" w:hAnsi="Aptos"/>
                <w:color w:val="232D38"/>
                <w:sz w:val="15"/>
              </w:rPr>
              <w:t>Correlation</w:t>
            </w:r>
          </w:p>
        </w:tc>
        <w:tc>
          <w:tcPr>
            <w:tcW w:type="dxa" w:w="4997"/>
            <w:tcMar>
              <w:top w:w="80" w:type="dxa"/>
              <w:start w:w="90" w:type="dxa"/>
              <w:bottom w:w="80" w:type="dxa"/>
              <w:end w:w="90" w:type="dxa"/>
            </w:tcMar>
            <w:vAlign w:val="top"/>
          </w:tcPr>
          <w:p>
            <w:pPr>
              <w:spacing w:after="30"/>
            </w:pPr>
            <w:r>
              <w:rPr>
                <w:rFonts w:ascii="Aptos" w:hAnsi="Aptos"/>
                <w:color w:val="232D38"/>
                <w:sz w:val="15"/>
              </w:rPr>
              <w:t>correlationId, causationId, instructionId, obligationId, institutionId, environment and traceId as applicable.</w:t>
            </w:r>
          </w:p>
        </w:tc>
      </w:tr>
      <w:tr>
        <w:trPr>
          <w:cantSplit/>
        </w:trPr>
        <w:tc>
          <w:tcPr>
            <w:tcW w:type="dxa" w:w="4997"/>
            <w:tcMar>
              <w:top w:w="80" w:type="dxa"/>
              <w:start w:w="90" w:type="dxa"/>
              <w:bottom w:w="80" w:type="dxa"/>
              <w:end w:w="90" w:type="dxa"/>
            </w:tcMar>
            <w:vAlign w:val="top"/>
            <w:shd w:fill="F7F9FB"/>
          </w:tcPr>
          <w:p>
            <w:pPr>
              <w:spacing w:after="30"/>
            </w:pPr>
            <w:r>
              <w:rPr>
                <w:rFonts w:ascii="Aptos" w:hAnsi="Aptos"/>
                <w:color w:val="232D38"/>
                <w:sz w:val="15"/>
              </w:rPr>
              <w:t>Security</w:t>
            </w:r>
          </w:p>
        </w:tc>
        <w:tc>
          <w:tcPr>
            <w:tcW w:type="dxa" w:w="4997"/>
            <w:tcMar>
              <w:top w:w="80" w:type="dxa"/>
              <w:start w:w="90" w:type="dxa"/>
              <w:bottom w:w="80" w:type="dxa"/>
              <w:end w:w="90" w:type="dxa"/>
            </w:tcMar>
            <w:vAlign w:val="top"/>
            <w:shd w:fill="F7F9FB"/>
          </w:tcPr>
          <w:p>
            <w:pPr>
              <w:spacing w:after="30"/>
            </w:pPr>
            <w:r>
              <w:rPr>
                <w:rFonts w:ascii="Aptos" w:hAnsi="Aptos"/>
                <w:color w:val="232D38"/>
                <w:sz w:val="15"/>
              </w:rPr>
              <w:t>Authentication + authorization + tenant/institution scope; validate signatures/timestamps/replay where supported.</w:t>
            </w:r>
          </w:p>
        </w:tc>
      </w:tr>
      <w:tr>
        <w:trPr>
          <w:cantSplit/>
        </w:trPr>
        <w:tc>
          <w:tcPr>
            <w:tcW w:type="dxa" w:w="4997"/>
            <w:tcMar>
              <w:top w:w="80" w:type="dxa"/>
              <w:start w:w="90" w:type="dxa"/>
              <w:bottom w:w="80" w:type="dxa"/>
              <w:end w:w="90" w:type="dxa"/>
            </w:tcMar>
            <w:vAlign w:val="top"/>
          </w:tcPr>
          <w:p>
            <w:pPr>
              <w:spacing w:after="30"/>
            </w:pPr>
            <w:r>
              <w:rPr>
                <w:rFonts w:ascii="Aptos" w:hAnsi="Aptos"/>
                <w:color w:val="232D38"/>
                <w:sz w:val="15"/>
              </w:rPr>
              <w:t>Payload minimization</w:t>
            </w:r>
          </w:p>
        </w:tc>
        <w:tc>
          <w:tcPr>
            <w:tcW w:type="dxa" w:w="4997"/>
            <w:tcMar>
              <w:top w:w="80" w:type="dxa"/>
              <w:start w:w="90" w:type="dxa"/>
              <w:bottom w:w="80" w:type="dxa"/>
              <w:end w:w="90" w:type="dxa"/>
            </w:tcMar>
            <w:vAlign w:val="top"/>
          </w:tcPr>
          <w:p>
            <w:pPr>
              <w:spacing w:after="30"/>
            </w:pPr>
            <w:r>
              <w:rPr>
                <w:rFonts w:ascii="Aptos" w:hAnsi="Aptos"/>
                <w:color w:val="232D38"/>
                <w:sz w:val="15"/>
              </w:rPr>
              <w:t>Events carry IDs/minimal routing metadata; restricted payload stays in approved storage unless needed.</w:t>
            </w:r>
          </w:p>
        </w:tc>
      </w:tr>
      <w:tr>
        <w:trPr>
          <w:cantSplit/>
        </w:trPr>
        <w:tc>
          <w:tcPr>
            <w:tcW w:type="dxa" w:w="4997"/>
            <w:tcMar>
              <w:top w:w="80" w:type="dxa"/>
              <w:start w:w="90" w:type="dxa"/>
              <w:bottom w:w="80" w:type="dxa"/>
              <w:end w:w="90" w:type="dxa"/>
            </w:tcMar>
            <w:vAlign w:val="top"/>
            <w:shd w:fill="F7F9FB"/>
          </w:tcPr>
          <w:p>
            <w:pPr>
              <w:spacing w:after="30"/>
            </w:pPr>
            <w:r>
              <w:rPr>
                <w:rFonts w:ascii="Aptos" w:hAnsi="Aptos"/>
                <w:color w:val="232D38"/>
                <w:sz w:val="15"/>
              </w:rPr>
              <w:t>Event identity</w:t>
            </w:r>
          </w:p>
        </w:tc>
        <w:tc>
          <w:tcPr>
            <w:tcW w:type="dxa" w:w="4997"/>
            <w:tcMar>
              <w:top w:w="80" w:type="dxa"/>
              <w:start w:w="90" w:type="dxa"/>
              <w:bottom w:w="80" w:type="dxa"/>
              <w:end w:w="90" w:type="dxa"/>
            </w:tcMar>
            <w:vAlign w:val="top"/>
            <w:shd w:fill="F7F9FB"/>
          </w:tcPr>
          <w:p>
            <w:pPr>
              <w:spacing w:after="30"/>
            </w:pPr>
            <w:r>
              <w:rPr>
                <w:rFonts w:ascii="Aptos" w:hAnsi="Aptos"/>
                <w:color w:val="232D38"/>
                <w:sz w:val="15"/>
              </w:rPr>
              <w:t>Stable eventId, provider/source ref, emittedAt, schemaVersion and policy version/hash as relevant.</w:t>
            </w:r>
          </w:p>
        </w:tc>
      </w:tr>
      <w:tr>
        <w:trPr>
          <w:cantSplit/>
        </w:trPr>
        <w:tc>
          <w:tcPr>
            <w:tcW w:type="dxa" w:w="4997"/>
            <w:tcMar>
              <w:top w:w="80" w:type="dxa"/>
              <w:start w:w="90" w:type="dxa"/>
              <w:bottom w:w="80" w:type="dxa"/>
              <w:end w:w="90" w:type="dxa"/>
            </w:tcMar>
            <w:vAlign w:val="top"/>
          </w:tcPr>
          <w:p>
            <w:pPr>
              <w:spacing w:after="30"/>
            </w:pPr>
            <w:r>
              <w:rPr>
                <w:rFonts w:ascii="Aptos" w:hAnsi="Aptos"/>
                <w:color w:val="232D38"/>
                <w:sz w:val="15"/>
              </w:rPr>
              <w:t>Error model</w:t>
            </w:r>
          </w:p>
        </w:tc>
        <w:tc>
          <w:tcPr>
            <w:tcW w:type="dxa" w:w="4997"/>
            <w:tcMar>
              <w:top w:w="80" w:type="dxa"/>
              <w:start w:w="90" w:type="dxa"/>
              <w:bottom w:w="80" w:type="dxa"/>
              <w:end w:w="90" w:type="dxa"/>
            </w:tcMar>
            <w:vAlign w:val="top"/>
          </w:tcPr>
          <w:p>
            <w:pPr>
              <w:spacing w:after="30"/>
            </w:pPr>
            <w:r>
              <w:rPr>
                <w:rFonts w:ascii="Aptos" w:hAnsi="Aptos"/>
                <w:color w:val="232D38"/>
                <w:sz w:val="15"/>
              </w:rPr>
              <w:t>Machine-readable code, retryability, safe user message, restricted diagnostic ref; no secret/PII leakage.</w:t>
            </w:r>
          </w:p>
        </w:tc>
      </w:tr>
      <w:tr>
        <w:trPr>
          <w:cantSplit/>
        </w:trPr>
        <w:tc>
          <w:tcPr>
            <w:tcW w:type="dxa" w:w="4997"/>
            <w:tcMar>
              <w:top w:w="80" w:type="dxa"/>
              <w:start w:w="90" w:type="dxa"/>
              <w:bottom w:w="80" w:type="dxa"/>
              <w:end w:w="90" w:type="dxa"/>
            </w:tcMar>
            <w:vAlign w:val="top"/>
            <w:shd w:fill="F7F9FB"/>
          </w:tcPr>
          <w:p>
            <w:pPr>
              <w:spacing w:after="30"/>
            </w:pPr>
            <w:r>
              <w:rPr>
                <w:rFonts w:ascii="Aptos" w:hAnsi="Aptos"/>
                <w:color w:val="232D38"/>
                <w:sz w:val="15"/>
              </w:rPr>
              <w:t>Compatibility</w:t>
            </w:r>
          </w:p>
        </w:tc>
        <w:tc>
          <w:tcPr>
            <w:tcW w:type="dxa" w:w="4997"/>
            <w:tcMar>
              <w:top w:w="80" w:type="dxa"/>
              <w:start w:w="90" w:type="dxa"/>
              <w:bottom w:w="80" w:type="dxa"/>
              <w:end w:w="90" w:type="dxa"/>
            </w:tcMar>
            <w:vAlign w:val="top"/>
            <w:shd w:fill="F7F9FB"/>
          </w:tcPr>
          <w:p>
            <w:pPr>
              <w:spacing w:after="30"/>
            </w:pPr>
            <w:r>
              <w:rPr>
                <w:rFonts w:ascii="Aptos" w:hAnsi="Aptos"/>
                <w:color w:val="232D38"/>
                <w:sz w:val="15"/>
              </w:rPr>
              <w:t>Reject unsupported versions safely; no silent defaults for legally material fields.</w:t>
            </w:r>
          </w:p>
        </w:tc>
      </w:tr>
      <w:tr>
        <w:trPr>
          <w:cantSplit/>
        </w:trPr>
        <w:tc>
          <w:tcPr>
            <w:tcW w:type="dxa" w:w="4997"/>
            <w:tcMar>
              <w:top w:w="80" w:type="dxa"/>
              <w:start w:w="90" w:type="dxa"/>
              <w:bottom w:w="80" w:type="dxa"/>
              <w:end w:w="90" w:type="dxa"/>
            </w:tcMar>
            <w:vAlign w:val="top"/>
          </w:tcPr>
          <w:p>
            <w:pPr>
              <w:spacing w:after="30"/>
            </w:pPr>
            <w:r>
              <w:rPr>
                <w:rFonts w:ascii="Aptos" w:hAnsi="Aptos"/>
                <w:color w:val="232D38"/>
                <w:sz w:val="15"/>
              </w:rPr>
              <w:t>Observability</w:t>
            </w:r>
          </w:p>
        </w:tc>
        <w:tc>
          <w:tcPr>
            <w:tcW w:type="dxa" w:w="4997"/>
            <w:tcMar>
              <w:top w:w="80" w:type="dxa"/>
              <w:start w:w="90" w:type="dxa"/>
              <w:bottom w:w="80" w:type="dxa"/>
              <w:end w:w="90" w:type="dxa"/>
            </w:tcMar>
            <w:vAlign w:val="top"/>
          </w:tcPr>
          <w:p>
            <w:pPr>
              <w:spacing w:after="30"/>
            </w:pPr>
            <w:r>
              <w:rPr>
                <w:rFonts w:ascii="Aptos" w:hAnsi="Aptos"/>
                <w:color w:val="232D38"/>
                <w:sz w:val="15"/>
              </w:rPr>
              <w:t>Trace link, structured logs, redaction, environment and deployment version.</w:t>
            </w:r>
          </w:p>
        </w:tc>
      </w:tr>
    </w:tbl>
    <w:p>
      <w:pPr>
        <w:spacing w:after="0"/>
      </w:pPr>
    </w:p>
    <w:p>
      <w:pPr>
        <w:pStyle w:val="Heading2"/>
      </w:pPr>
      <w:r>
        <w:t>6.5 Vercel application/API requirements</w:t>
      </w:r>
    </w:p>
    <w:p>
      <w:pPr>
        <w:pStyle w:val="ListBullet"/>
        <w:spacing w:after="50"/>
      </w:pPr>
      <w:r>
        <w:t>Separate user-facing paths from privileged command APIs. UI displays state but cannot define canonical state or mint.</w:t>
      </w:r>
    </w:p>
    <w:p>
      <w:pPr>
        <w:pStyle w:val="ListBullet"/>
        <w:spacing w:after="50"/>
      </w:pPr>
      <w:r>
        <w:t>Enforce authorization server-side; hiding controls in a client is not access control.</w:t>
      </w:r>
    </w:p>
    <w:p>
      <w:pPr>
        <w:pStyle w:val="ListBullet"/>
        <w:spacing w:after="50"/>
      </w:pPr>
      <w:r>
        <w:t>Separate development, preview, demo/staging and approved production configuration. Never expose privileged credentials to browser bundles.</w:t>
      </w:r>
    </w:p>
    <w:p>
      <w:pPr>
        <w:pStyle w:val="ListBullet"/>
        <w:spacing w:after="50"/>
      </w:pPr>
      <w:r>
        <w:t>Verify deployment SHA, environment, domain, build identity, route health and logs before classifying deployment.</w:t>
      </w:r>
    </w:p>
    <w:p>
      <w:pPr>
        <w:pStyle w:val="ListBullet"/>
        <w:spacing w:after="50"/>
      </w:pPr>
      <w:r>
        <w:t>Set request timeouts, payload limits, rate limits, abuse controls and safe handling of serverless limits/cold starts.</w:t>
      </w:r>
    </w:p>
    <w:p>
      <w:pPr>
        <w:pStyle w:val="ListBullet"/>
        <w:spacing w:after="50"/>
      </w:pPr>
      <w:r>
        <w:t>Long-running work belongs in durable orchestration. A request may report accepted/pending only after durable commit; it cannot pretend whole settlement is complete.</w:t>
      </w:r>
    </w:p>
    <w:p>
      <w:pPr>
        <w:pStyle w:val="ListBullet"/>
        <w:spacing w:after="50"/>
      </w:pPr>
      <w:r>
        <w:t>Rollback only with schema/workflow compatibility; never destroy audit history to reverse a deployment.</w:t>
      </w:r>
    </w:p>
    <w:p>
      <w:pPr>
        <w:pStyle w:val="Heading2"/>
      </w:pPr>
      <w:r>
        <w:t>6.6 Inngest workflow requirements</w:t>
      </w:r>
    </w:p>
    <w:p>
      <w:pPr>
        <w:pStyle w:val="ListBullet"/>
        <w:spacing w:after="50"/>
      </w:pPr>
      <w:r>
        <w:t>Catalog trigger, schema, auth context, idempotency key, retry policy, timeout, cancellation, concurrency/rate limits, compensation and observability for every workflow.</w:t>
      </w:r>
    </w:p>
    <w:p>
      <w:pPr>
        <w:pStyle w:val="ListBullet"/>
        <w:spacing w:after="50"/>
      </w:pPr>
      <w:r>
        <w:t>Retry transient failures only; business denials, stale legal status and authorization failures are not retryable until governing inputs change.</w:t>
      </w:r>
    </w:p>
    <w:p>
      <w:pPr>
        <w:pStyle w:val="ListBullet"/>
        <w:spacing w:after="50"/>
      </w:pPr>
      <w:r>
        <w:t>Use durable steps/checkpoints, but keep legally authoritative state in Neon and reread it before consequential actions.</w:t>
      </w:r>
    </w:p>
    <w:p>
      <w:pPr>
        <w:pStyle w:val="ListBullet"/>
        <w:spacing w:after="50"/>
      </w:pPr>
      <w:r>
        <w:t>Provide dead-letter/manual recovery, replay permissions, event expiry handling and incident alerts.</w:t>
      </w:r>
    </w:p>
    <w:p>
      <w:pPr>
        <w:pStyle w:val="ListBullet"/>
        <w:spacing w:after="50"/>
      </w:pPr>
      <w:r>
        <w:t>Never put signing keys, database passwords or large restricted evidence into events; use secret references and evidence IDs.</w:t>
      </w:r>
    </w:p>
    <w:p>
      <w:pPr>
        <w:pStyle w:val="ListBullet"/>
        <w:spacing w:after="50"/>
      </w:pPr>
      <w:r>
        <w:t>Distinguish event-delivery acknowledgement from successful business workflow completion.</w:t>
      </w:r>
    </w:p>
    <w:p>
      <w:pPr>
        <w:pStyle w:val="ListBullet"/>
        <w:spacing w:after="50"/>
      </w:pPr>
      <w:r>
        <w:t>An endpoint existing does not prove provider delivery/signature verification works; verify live provider configuration with safe probes.</w:t>
      </w:r>
    </w:p>
    <w:p>
      <w:pPr>
        <w:pStyle w:val="Heading2"/>
      </w:pPr>
      <w:r>
        <w:t>6.7 Neon/Postgres requirements</w:t>
      </w:r>
    </w:p>
    <w:p>
      <w:pPr>
        <w:pStyle w:val="ListBullet"/>
        <w:spacing w:after="50"/>
      </w:pPr>
      <w:r>
        <w:t>Use relational constraints for unique business keys, idempotency, valid states, required legal fields and foreign keys.</w:t>
      </w:r>
    </w:p>
    <w:p>
      <w:pPr>
        <w:pStyle w:val="ListBullet"/>
        <w:spacing w:after="50"/>
      </w:pPr>
      <w:r>
        <w:t>Keep authoritative instruction/obligation state, append-only journal/audit, policy decisions, outbox/inbox, reconciliation cases and evidence metadata.</w:t>
      </w:r>
    </w:p>
    <w:p>
      <w:pPr>
        <w:pStyle w:val="ListBullet"/>
        <w:spacing w:after="50"/>
      </w:pPr>
      <w:r>
        <w:t>Separate migration role from runtime role; runtime should not have DDL/superuser privileges without specific justified approval.</w:t>
      </w:r>
    </w:p>
    <w:p>
      <w:pPr>
        <w:pStyle w:val="ListBullet"/>
        <w:spacing w:after="50"/>
      </w:pPr>
      <w:r>
        <w:t>Define backup/restore/PITR according to actual plan/config; never assume free tier has a particular RPO/RTO.</w:t>
      </w:r>
    </w:p>
    <w:p>
      <w:pPr>
        <w:pStyle w:val="ListBullet"/>
        <w:spacing w:after="50"/>
      </w:pPr>
      <w:r>
        <w:t>Set pooling/connection limits and test serverless concurrency under actual account limits; avoid retry storms/connection exhaustion.</w:t>
      </w:r>
    </w:p>
    <w:p>
      <w:pPr>
        <w:pStyle w:val="ListBullet"/>
        <w:spacing w:after="50"/>
      </w:pPr>
      <w:r>
        <w:t>Review indexes/plans for institution, instruction, obligation, idempotency key, state, createdAt and outbox status.</w:t>
      </w:r>
    </w:p>
    <w:p>
      <w:pPr>
        <w:pStyle w:val="ListBullet"/>
        <w:spacing w:after="50"/>
      </w:pPr>
      <w:r>
        <w:t>Define retention/partitioning/archival that preserves legal/evidence records and enables replay.</w:t>
      </w:r>
    </w:p>
    <w:p>
      <w:pPr>
        <w:pStyle w:val="ListBullet"/>
        <w:spacing w:after="50"/>
      </w:pPr>
      <w:r>
        <w:t>Do not rely only on application validation for uniqueness, balance invariants or state monotonicity.</w:t>
      </w:r>
    </w:p>
    <w:p>
      <w:pPr>
        <w:pStyle w:val="Heading2"/>
      </w:pPr>
      <w:r>
        <w:t>6.8 Turso/libSQL requirements</w:t>
      </w:r>
    </w:p>
    <w:p>
      <w:pPr>
        <w:pStyle w:val="ListBullet"/>
        <w:spacing w:after="50"/>
      </w:pPr>
      <w:r>
        <w:t>Use for named projection/read models or permitted demo/offline queue; label each table’s authority level.</w:t>
      </w:r>
    </w:p>
    <w:p>
      <w:pPr>
        <w:pStyle w:val="ListBullet"/>
        <w:spacing w:after="50"/>
      </w:pPr>
      <w:r>
        <w:t>Every projection records lastAppliedEventId/sequence, source snapshot/version, updatedAt and projection schema version.</w:t>
      </w:r>
    </w:p>
    <w:p>
      <w:pPr>
        <w:pStyle w:val="ListBullet"/>
        <w:spacing w:after="50"/>
      </w:pPr>
      <w:r>
        <w:t>Stale/partial projections are visible and excluded from authorization, finality, backing eligibility and gate decisions.</w:t>
      </w:r>
    </w:p>
    <w:p>
      <w:pPr>
        <w:pStyle w:val="ListBullet"/>
        <w:spacing w:after="50"/>
      </w:pPr>
      <w:r>
        <w:t>Consumers detect gaps, duplicates and out-of-order events; provide full rebuild from Neon/outbox/evidence history.</w:t>
      </w:r>
    </w:p>
    <w:p>
      <w:pPr>
        <w:pStyle w:val="ListBullet"/>
        <w:spacing w:after="50"/>
      </w:pPr>
      <w:r>
        <w:t>Offline/local commands are PENDING_SUBMISSION, not committed settlement; reconnect submits idempotently and checks conflicts.</w:t>
      </w:r>
    </w:p>
    <w:p>
      <w:pPr>
        <w:pStyle w:val="ListBullet"/>
        <w:spacing w:after="50"/>
      </w:pPr>
      <w:r>
        <w:t>Never accept independent authoritative financial writes in both databases. Mismatch triggers safe halt, not last-write-wins.</w:t>
      </w:r>
    </w:p>
    <w:p>
      <w:pPr>
        <w:pStyle w:val="ListBullet"/>
        <w:spacing w:after="50"/>
      </w:pPr>
      <w:r>
        <w:t>If Turso is unavailable, degrade or reject reads according to tested rules; never pretend its projection is current.</w:t>
      </w:r>
    </w:p>
    <w:p>
      <w:pPr>
        <w:pStyle w:val="Heading2"/>
      </w:pPr>
      <w:r>
        <w:t>6.9 GitHub repository and release management</w:t>
      </w:r>
    </w:p>
    <w:p>
      <w:pPr>
        <w:pStyle w:val="ListBullet"/>
        <w:spacing w:after="50"/>
      </w:pPr>
      <w:r>
        <w:t>Protect canonical branch; use reviewed pull requests, required CI, immutable release tags and commit/release provenance where available.</w:t>
      </w:r>
    </w:p>
    <w:p>
      <w:pPr>
        <w:pStyle w:val="ListBullet"/>
        <w:spacing w:after="50"/>
      </w:pPr>
      <w:r>
        <w:t>Version canonical docs, schemas, ADRs, tests, migration scripts and policy registry. Generated reports identify generator/input versions.</w:t>
      </w:r>
    </w:p>
    <w:p>
      <w:pPr>
        <w:pStyle w:val="ListBullet"/>
        <w:spacing w:after="50"/>
      </w:pPr>
      <w:r>
        <w:t>Keep secrets out of Git history, issues, CI logs, code samples and artifacts. Secret scans cover relevant branches/history, not merely current source.</w:t>
      </w:r>
    </w:p>
    <w:p>
      <w:pPr>
        <w:pStyle w:val="ListBullet"/>
        <w:spacing w:after="50"/>
      </w:pPr>
      <w:r>
        <w:t>Release manifest contains commit SHA, blueprint ID/hash, schema/migration version, config revision, lockfile hashes, tests/results, deviations and gates.</w:t>
      </w:r>
    </w:p>
    <w:p>
      <w:pPr>
        <w:pStyle w:val="ListBullet"/>
        <w:spacing w:after="50"/>
      </w:pPr>
      <w:r>
        <w:t>Never force-push/delete history during recovery; snapshot before remediation and record nonrecoverable artifacts.</w:t>
      </w:r>
    </w:p>
    <w:p>
      <w:pPr>
        <w:pStyle w:val="ListBullet"/>
        <w:spacing w:after="50"/>
      </w:pPr>
      <w:r>
        <w:t>A contradiction scanner must report exact files/types/paths/exclusions; scan runtime configs, tests, schemas, migrations, workflows, docs and shipped generated files, not only src/lib/*.ts.</w:t>
      </w:r>
    </w:p>
    <w:p>
      <w:pPr>
        <w:pStyle w:val="Heading2"/>
      </w:pPr>
      <w:r>
        <w:t>6.10 Provider harmony acceptance</w:t>
      </w:r>
    </w:p>
    <w:p>
      <w:r>
        <w:rPr>
          <w:i w:val="0"/>
        </w:rPr>
        <w:t>Harmony means one approved end-to-end operation passes across the declared stack, not that each dashboard is green. In a non-production environment prove: API receives command; Neon commits instruction/outbox; dispatcher delivers; Inngest progresses idempotently; authoritative state updates; Turso projection catches up; evidence/logs show outcome; reconciliation agrees; outage/retry/replay remains safe.</w:t>
      </w:r>
    </w:p>
    <w:tbl>
      <w:tblPr>
        <w:tblStyle w:val="TableGrid"/>
        <w:tblW w:type="auto" w:w="0"/>
        <w:jc w:val="center"/>
        <w:tblLook w:firstColumn="1" w:firstRow="1" w:lastColumn="0" w:lastRow="0" w:noHBand="0" w:noVBand="1" w:val="04A0"/>
      </w:tblPr>
      <w:tblGrid>
        <w:gridCol w:w="4997"/>
        <w:gridCol w:w="4997"/>
      </w:tblGrid>
      <w:tr>
        <w:trPr>
          <w:tblHeader w:val="true"/>
          <w:cantSplit/>
        </w:trPr>
        <w:tc>
          <w:tcPr>
            <w:tcW w:type="dxa" w:w="1728"/>
            <w:shd w:fill="07111F"/>
            <w:tcMar>
              <w:top w:w="80" w:type="dxa"/>
              <w:start w:w="90" w:type="dxa"/>
              <w:bottom w:w="80" w:type="dxa"/>
              <w:end w:w="90" w:type="dxa"/>
            </w:tcMar>
            <w:vAlign w:val="center"/>
          </w:tcPr>
          <w:p>
            <w:r>
              <w:rPr>
                <w:rFonts w:ascii="Aptos" w:hAnsi="Aptos"/>
                <w:b/>
                <w:color w:val="FFFFFF"/>
                <w:sz w:val="15"/>
              </w:rPr>
              <w:t>Provider</w:t>
            </w:r>
          </w:p>
        </w:tc>
        <w:tc>
          <w:tcPr>
            <w:tcW w:type="dxa" w:w="8208"/>
            <w:shd w:fill="07111F"/>
            <w:tcMar>
              <w:top w:w="80" w:type="dxa"/>
              <w:start w:w="90" w:type="dxa"/>
              <w:bottom w:w="80" w:type="dxa"/>
              <w:end w:w="90" w:type="dxa"/>
            </w:tcMar>
            <w:vAlign w:val="center"/>
          </w:tcPr>
          <w:p>
            <w:r>
              <w:rPr>
                <w:rFonts w:ascii="Aptos" w:hAnsi="Aptos"/>
                <w:b/>
                <w:color w:val="FFFFFF"/>
                <w:sz w:val="15"/>
              </w:rPr>
              <w:t>Minimum direct verification</w:t>
            </w:r>
          </w:p>
        </w:tc>
      </w:tr>
      <w:tr>
        <w:trPr>
          <w:cantSplit/>
        </w:trPr>
        <w:tc>
          <w:tcPr>
            <w:tcW w:type="dxa" w:w="4997"/>
            <w:tcMar>
              <w:top w:w="80" w:type="dxa"/>
              <w:start w:w="90" w:type="dxa"/>
              <w:bottom w:w="80" w:type="dxa"/>
              <w:end w:w="90" w:type="dxa"/>
            </w:tcMar>
            <w:vAlign w:val="top"/>
            <w:shd w:fill="F7F9FB"/>
          </w:tcPr>
          <w:p>
            <w:pPr>
              <w:spacing w:after="30"/>
            </w:pPr>
            <w:r>
              <w:rPr>
                <w:rFonts w:ascii="Aptos" w:hAnsi="Aptos"/>
                <w:color w:val="232D38"/>
                <w:sz w:val="15"/>
              </w:rPr>
              <w:t>GitHub</w:t>
            </w:r>
          </w:p>
        </w:tc>
        <w:tc>
          <w:tcPr>
            <w:tcW w:type="dxa" w:w="4997"/>
            <w:tcMar>
              <w:top w:w="80" w:type="dxa"/>
              <w:start w:w="90" w:type="dxa"/>
              <w:bottom w:w="80" w:type="dxa"/>
              <w:end w:w="90" w:type="dxa"/>
            </w:tcMar>
            <w:vAlign w:val="top"/>
            <w:shd w:fill="F7F9FB"/>
          </w:tcPr>
          <w:p>
            <w:pPr>
              <w:spacing w:after="30"/>
            </w:pPr>
            <w:r>
              <w:rPr>
                <w:rFonts w:ascii="Aptos" w:hAnsi="Aptos"/>
                <w:color w:val="232D38"/>
                <w:sz w:val="15"/>
              </w:rPr>
              <w:t>Repository/branch/commit identity, branch protection, workflow, lockfile, test artifact and release manifest.</w:t>
            </w:r>
          </w:p>
        </w:tc>
      </w:tr>
      <w:tr>
        <w:trPr>
          <w:cantSplit/>
        </w:trPr>
        <w:tc>
          <w:tcPr>
            <w:tcW w:type="dxa" w:w="4997"/>
            <w:tcMar>
              <w:top w:w="80" w:type="dxa"/>
              <w:start w:w="90" w:type="dxa"/>
              <w:bottom w:w="80" w:type="dxa"/>
              <w:end w:w="90" w:type="dxa"/>
            </w:tcMar>
            <w:vAlign w:val="top"/>
          </w:tcPr>
          <w:p>
            <w:pPr>
              <w:spacing w:after="30"/>
            </w:pPr>
            <w:r>
              <w:rPr>
                <w:rFonts w:ascii="Aptos" w:hAnsi="Aptos"/>
                <w:color w:val="232D38"/>
                <w:sz w:val="15"/>
              </w:rPr>
              <w:t>Vercel</w:t>
            </w:r>
          </w:p>
        </w:tc>
        <w:tc>
          <w:tcPr>
            <w:tcW w:type="dxa" w:w="4997"/>
            <w:tcMar>
              <w:top w:w="80" w:type="dxa"/>
              <w:start w:w="90" w:type="dxa"/>
              <w:bottom w:w="80" w:type="dxa"/>
              <w:end w:w="90" w:type="dxa"/>
            </w:tcMar>
            <w:vAlign w:val="top"/>
          </w:tcPr>
          <w:p>
            <w:pPr>
              <w:spacing w:after="30"/>
            </w:pPr>
            <w:r>
              <w:rPr>
                <w:rFonts w:ascii="Aptos" w:hAnsi="Aptos"/>
                <w:color w:val="232D38"/>
                <w:sz w:val="15"/>
              </w:rPr>
              <w:t>Deployment identity/URL/environment, exact commit, route health, server-side function behavior, logs/traces, secrets only by reference.</w:t>
            </w:r>
          </w:p>
        </w:tc>
      </w:tr>
      <w:tr>
        <w:trPr>
          <w:cantSplit/>
        </w:trPr>
        <w:tc>
          <w:tcPr>
            <w:tcW w:type="dxa" w:w="4997"/>
            <w:tcMar>
              <w:top w:w="80" w:type="dxa"/>
              <w:start w:w="90" w:type="dxa"/>
              <w:bottom w:w="80" w:type="dxa"/>
              <w:end w:w="90" w:type="dxa"/>
            </w:tcMar>
            <w:vAlign w:val="top"/>
            <w:shd w:fill="F7F9FB"/>
          </w:tcPr>
          <w:p>
            <w:pPr>
              <w:spacing w:after="30"/>
            </w:pPr>
            <w:r>
              <w:rPr>
                <w:rFonts w:ascii="Aptos" w:hAnsi="Aptos"/>
                <w:color w:val="232D38"/>
                <w:sz w:val="15"/>
              </w:rPr>
              <w:t>Inngest</w:t>
            </w:r>
          </w:p>
        </w:tc>
        <w:tc>
          <w:tcPr>
            <w:tcW w:type="dxa" w:w="4997"/>
            <w:tcMar>
              <w:top w:w="80" w:type="dxa"/>
              <w:start w:w="90" w:type="dxa"/>
              <w:bottom w:w="80" w:type="dxa"/>
              <w:end w:w="90" w:type="dxa"/>
            </w:tcMar>
            <w:vAlign w:val="top"/>
            <w:shd w:fill="F7F9FB"/>
          </w:tcPr>
          <w:p>
            <w:pPr>
              <w:spacing w:after="30"/>
            </w:pPr>
            <w:r>
              <w:rPr>
                <w:rFonts w:ascii="Aptos" w:hAnsi="Aptos"/>
                <w:color w:val="232D38"/>
                <w:sz w:val="15"/>
              </w:rPr>
              <w:t>Provider delivery/signature verification, function execution, retries/backoff, duplicate delivery, failed event and replay controls.</w:t>
            </w:r>
          </w:p>
        </w:tc>
      </w:tr>
      <w:tr>
        <w:trPr>
          <w:cantSplit/>
        </w:trPr>
        <w:tc>
          <w:tcPr>
            <w:tcW w:type="dxa" w:w="4997"/>
            <w:tcMar>
              <w:top w:w="80" w:type="dxa"/>
              <w:start w:w="90" w:type="dxa"/>
              <w:bottom w:w="80" w:type="dxa"/>
              <w:end w:w="90" w:type="dxa"/>
            </w:tcMar>
            <w:vAlign w:val="top"/>
          </w:tcPr>
          <w:p>
            <w:pPr>
              <w:spacing w:after="30"/>
            </w:pPr>
            <w:r>
              <w:rPr>
                <w:rFonts w:ascii="Aptos" w:hAnsi="Aptos"/>
                <w:color w:val="232D38"/>
                <w:sz w:val="15"/>
              </w:rPr>
              <w:t>Neon</w:t>
            </w:r>
          </w:p>
        </w:tc>
        <w:tc>
          <w:tcPr>
            <w:tcW w:type="dxa" w:w="4997"/>
            <w:tcMar>
              <w:top w:w="80" w:type="dxa"/>
              <w:start w:w="90" w:type="dxa"/>
              <w:bottom w:w="80" w:type="dxa"/>
              <w:end w:w="90" w:type="dxa"/>
            </w:tcMar>
            <w:vAlign w:val="top"/>
          </w:tcPr>
          <w:p>
            <w:pPr>
              <w:spacing w:after="30"/>
            </w:pPr>
            <w:r>
              <w:rPr>
                <w:rFonts w:ascii="Aptos" w:hAnsi="Aptos"/>
                <w:color w:val="232D38"/>
                <w:sz w:val="15"/>
              </w:rPr>
              <w:t>Authenticated connection, role privileges, schema/migration, transactional write/read, constraints, outbox consistency and restore evidence.</w:t>
            </w:r>
          </w:p>
        </w:tc>
      </w:tr>
      <w:tr>
        <w:trPr>
          <w:cantSplit/>
        </w:trPr>
        <w:tc>
          <w:tcPr>
            <w:tcW w:type="dxa" w:w="4997"/>
            <w:tcMar>
              <w:top w:w="80" w:type="dxa"/>
              <w:start w:w="90" w:type="dxa"/>
              <w:bottom w:w="80" w:type="dxa"/>
              <w:end w:w="90" w:type="dxa"/>
            </w:tcMar>
            <w:vAlign w:val="top"/>
            <w:shd w:fill="F7F9FB"/>
          </w:tcPr>
          <w:p>
            <w:pPr>
              <w:spacing w:after="30"/>
            </w:pPr>
            <w:r>
              <w:rPr>
                <w:rFonts w:ascii="Aptos" w:hAnsi="Aptos"/>
                <w:color w:val="232D38"/>
                <w:sz w:val="15"/>
              </w:rPr>
              <w:t>Turso</w:t>
            </w:r>
          </w:p>
        </w:tc>
        <w:tc>
          <w:tcPr>
            <w:tcW w:type="dxa" w:w="4997"/>
            <w:tcMar>
              <w:top w:w="80" w:type="dxa"/>
              <w:start w:w="90" w:type="dxa"/>
              <w:bottom w:w="80" w:type="dxa"/>
              <w:end w:w="90" w:type="dxa"/>
            </w:tcMar>
            <w:vAlign w:val="top"/>
            <w:shd w:fill="F7F9FB"/>
          </w:tcPr>
          <w:p>
            <w:pPr>
              <w:spacing w:after="30"/>
            </w:pPr>
            <w:r>
              <w:rPr>
                <w:rFonts w:ascii="Aptos" w:hAnsi="Aptos"/>
                <w:color w:val="232D38"/>
                <w:sz w:val="15"/>
              </w:rPr>
              <w:t>Authenticated connection, projection schema, watermark/lag, idempotent update, rebuild/replay and outage degradation.</w:t>
            </w:r>
          </w:p>
        </w:tc>
      </w:tr>
    </w:tbl>
    <w:p>
      <w:pPr>
        <w:spacing w:after="0"/>
      </w:pPr>
    </w:p>
    <w:p>
      <w:pPr>
        <w:pStyle w:val="Heading2"/>
      </w:pPr>
      <w:r>
        <w:t>6.11 AI/ML, optimization boundaries and cost governance</w:t>
      </w:r>
    </w:p>
    <w:p>
      <w:r>
        <w:rPr>
          <w:i w:val="0"/>
        </w:rPr>
        <w:t>Rules-based optimization may be used first. Any learned or generative component must be explicitly classified by use, inputs, output, risk tier and deployment status. AI can propose, explain or rank eligible options; it cannot independently change legal classification, sanctions results, eligibility, backing amounts, issuance authority, finality status, production gates or approved risk limits.</w:t>
      </w:r>
    </w:p>
    <w:p>
      <w:pPr>
        <w:pStyle w:val="ListBullet"/>
        <w:spacing w:after="50"/>
      </w:pPr>
      <w:r>
        <w:t>Hard constraints are evaluated by deterministic, versioned policy independent of model output. If a model output conflicts with an invariant, the invariant wins and the conflict is logged.</w:t>
      </w:r>
    </w:p>
    <w:p>
      <w:pPr>
        <w:pStyle w:val="ListBullet"/>
        <w:spacing w:after="50"/>
      </w:pPr>
      <w:r>
        <w:t>Persist model/provider/version, prompt/config hash where applicable, feature/input snapshot, timestamp, confidence or uncertainty signal, explanation/reason codes, final policy decision and human override.</w:t>
      </w:r>
    </w:p>
    <w:p>
      <w:pPr>
        <w:pStyle w:val="ListBullet"/>
        <w:spacing w:after="50"/>
      </w:pPr>
      <w:r>
        <w:t>Measure drift, false accepts/denials, route selection quality, bias relevant to institutional outcomes, latency, cost per decision and failure under missing/stale data.</w:t>
      </w:r>
    </w:p>
    <w:p>
      <w:pPr>
        <w:pStyle w:val="ListBullet"/>
        <w:spacing w:after="50"/>
      </w:pPr>
      <w:r>
        <w:t>Use offline fixtures and shadow-mode evaluation before decision-support use. Require independent validation and approved rollback criteria before material automation.</w:t>
      </w:r>
    </w:p>
    <w:p>
      <w:pPr>
        <w:pStyle w:val="ListBullet"/>
        <w:spacing w:after="50"/>
      </w:pPr>
      <w:r>
        <w:t>Model/provider outage or malformed response falls back only to approved deterministic rules or a safe hold; do not silently default to an unreviewed route.</w:t>
      </w:r>
    </w:p>
    <w:p>
      <w:pPr>
        <w:pStyle w:val="ListBullet"/>
        <w:spacing w:after="50"/>
      </w:pPr>
      <w:r>
        <w:t>No AI agent may approve legal opinions, regulatory status, entity facts, production authorization, insurance coverage, live backing or its own change.</w:t>
      </w:r>
    </w:p>
    <w:p>
      <w:pPr>
        <w:pStyle w:val="ListBullet"/>
        <w:spacing w:after="50"/>
      </w:pPr>
      <w:r>
        <w:t>Cost safety: do not upgrade provider plans, activate paid model capabilities, increase quotas, enable metered services or incur commitments without explicit owner approval and a recorded budget ceiling.</w:t>
      </w:r>
    </w:p>
    <w:p>
      <w:pPr>
        <w:pStyle w:val="ListBullet"/>
        <w:spacing w:after="50"/>
      </w:pPr>
      <w:r>
        <w:t>“Free-tier” availability is a current provider-plan assumption to verify, not an operational guarantee or a basis for claiming production-grade reliability. Keep demo cost controls distinct from production risk requirements.</w:t>
      </w:r>
    </w:p>
    <w:p>
      <w:pPr>
        <w:pStyle w:val="Heading1"/>
      </w:pPr>
      <w:r>
        <w:t>PART VII — Security, Data Governance, Reliability and Operations</w:t>
      </w:r>
    </w:p>
    <w:p>
      <w:pPr>
        <w:pStyle w:val="Heading2"/>
      </w:pPr>
      <w:r>
        <w:t>7.1 Security principles</w:t>
      </w:r>
    </w:p>
    <w:p>
      <w:pPr>
        <w:pStyle w:val="ListBullet"/>
        <w:spacing w:after="50"/>
      </w:pPr>
      <w:r>
        <w:t>Assume compromise is possible; maintain financial invariants after a service, credential, operator or integration is compromised.</w:t>
      </w:r>
    </w:p>
    <w:p>
      <w:pPr>
        <w:pStyle w:val="ListBullet"/>
        <w:spacing w:after="50"/>
      </w:pPr>
      <w:r>
        <w:t>Use least privilege, short-lived credentials where supported, MFA for privileged identities, isolated environments, restricted egress and documented rotation.</w:t>
      </w:r>
    </w:p>
    <w:p>
      <w:pPr>
        <w:pStyle w:val="ListBullet"/>
        <w:spacing w:after="50"/>
      </w:pPr>
      <w:r>
        <w:t>Separate duties for request, authorization, execution, deployment and reconciliation; assess common cloud admins/keys that collapse nominal separation.</w:t>
      </w:r>
    </w:p>
    <w:p>
      <w:pPr>
        <w:pStyle w:val="ListBullet"/>
        <w:spacing w:after="50"/>
      </w:pPr>
      <w:r>
        <w:t>Use managed key storage and HSM/MPC or equivalent controls where required by risk/legal assessment; do not claim such controls exist until verified.</w:t>
      </w:r>
    </w:p>
    <w:p>
      <w:pPr>
        <w:pStyle w:val="ListBullet"/>
        <w:spacing w:after="50"/>
      </w:pPr>
      <w:r>
        <w:t>Use TLS in transit and platform-supported encryption at rest; document key ownership, rotation, access, backup and compromise response.</w:t>
      </w:r>
    </w:p>
    <w:p>
      <w:pPr>
        <w:pStyle w:val="ListBullet"/>
        <w:spacing w:after="50"/>
      </w:pPr>
      <w:r>
        <w:t>Protect logs/evidence using append-only or tamper-evident mechanisms, access controls, integrity hashes and tested retention.</w:t>
      </w:r>
    </w:p>
    <w:p>
      <w:pPr>
        <w:pStyle w:val="ListBullet"/>
        <w:spacing w:after="50"/>
      </w:pPr>
      <w:r>
        <w:t>Threat-model API abuse, tenant-isolation failure, replay, key compromise, insider threat, CI supply chain, dependency compromise, database exfiltration, event injection and denial of service.</w:t>
      </w:r>
    </w:p>
    <w:p>
      <w:pPr>
        <w:pStyle w:val="ListBullet"/>
        <w:spacing w:after="50"/>
      </w:pPr>
      <w:r>
        <w:t>No secret values in blueprints, docs, tickets, screenshots, fixtures, source, event payloads, browser bundles or chat. Use placeholders and secret-name/status inventory only.</w:t>
      </w:r>
    </w:p>
    <w:p>
      <w:pPr>
        <w:pStyle w:val="Heading2"/>
      </w:pPr>
      <w:r>
        <w:t>7.2 Credential incident handling</w:t>
      </w:r>
    </w:p>
    <w:p>
      <w:r>
        <w:rPr>
          <w:i w:val="0"/>
        </w:rPr>
        <w:t>Any credential pasted into chat, an untrusted file, plaintext repository or exposed log is compromised if it may remain active. Record only secret name/category, provider, environment, exposure surface, date/status and rotation evidence—never its value. An authorized owner must revoke/rotate through provider-native tools; replacement values belong only in secure provider secret management or an approved vault. Revoke excess access and review provider audit logs for misuse. Never embed credentials in this blueprint or forensic reports.</w:t>
      </w:r>
    </w:p>
    <w:p>
      <w:pPr>
        <w:pStyle w:val="Heading2"/>
      </w:pPr>
      <w:r>
        <w:t>7.3 Data classification</w:t>
      </w:r>
    </w:p>
    <w:tbl>
      <w:tblPr>
        <w:tblStyle w:val="TableGrid"/>
        <w:tblW w:type="auto" w:w="0"/>
        <w:jc w:val="center"/>
        <w:tblLook w:firstColumn="1" w:firstRow="1" w:lastColumn="0" w:lastRow="0" w:noHBand="0" w:noVBand="1" w:val="04A0"/>
      </w:tblPr>
      <w:tblGrid>
        <w:gridCol w:w="3331"/>
        <w:gridCol w:w="3331"/>
        <w:gridCol w:w="3331"/>
      </w:tblGrid>
      <w:tr>
        <w:trPr>
          <w:tblHeader w:val="true"/>
          <w:cantSplit/>
        </w:trPr>
        <w:tc>
          <w:tcPr>
            <w:tcW w:type="dxa" w:w="1872"/>
            <w:shd w:fill="07111F"/>
            <w:tcMar>
              <w:top w:w="80" w:type="dxa"/>
              <w:start w:w="90" w:type="dxa"/>
              <w:bottom w:w="80" w:type="dxa"/>
              <w:end w:w="90" w:type="dxa"/>
            </w:tcMar>
            <w:vAlign w:val="center"/>
          </w:tcPr>
          <w:p>
            <w:r>
              <w:rPr>
                <w:rFonts w:ascii="Aptos" w:hAnsi="Aptos"/>
                <w:b/>
                <w:color w:val="FFFFFF"/>
                <w:sz w:val="14"/>
              </w:rPr>
              <w:t>Class</w:t>
            </w:r>
          </w:p>
        </w:tc>
        <w:tc>
          <w:tcPr>
            <w:tcW w:type="dxa" w:w="3672"/>
            <w:shd w:fill="07111F"/>
            <w:tcMar>
              <w:top w:w="80" w:type="dxa"/>
              <w:start w:w="90" w:type="dxa"/>
              <w:bottom w:w="80" w:type="dxa"/>
              <w:end w:w="90" w:type="dxa"/>
            </w:tcMar>
            <w:vAlign w:val="center"/>
          </w:tcPr>
          <w:p>
            <w:r>
              <w:rPr>
                <w:rFonts w:ascii="Aptos" w:hAnsi="Aptos"/>
                <w:b/>
                <w:color w:val="FFFFFF"/>
                <w:sz w:val="14"/>
              </w:rPr>
              <w:t>Examples</w:t>
            </w:r>
          </w:p>
        </w:tc>
        <w:tc>
          <w:tcPr>
            <w:tcW w:type="dxa" w:w="4392"/>
            <w:shd w:fill="07111F"/>
            <w:tcMar>
              <w:top w:w="80" w:type="dxa"/>
              <w:start w:w="90" w:type="dxa"/>
              <w:bottom w:w="80" w:type="dxa"/>
              <w:end w:w="90" w:type="dxa"/>
            </w:tcMar>
            <w:vAlign w:val="center"/>
          </w:tcPr>
          <w:p>
            <w:r>
              <w:rPr>
                <w:rFonts w:ascii="Aptos" w:hAnsi="Aptos"/>
                <w:b/>
                <w:color w:val="FFFFFF"/>
                <w:sz w:val="14"/>
              </w:rPr>
              <w:t>Control minimum</w:t>
            </w:r>
          </w:p>
        </w:tc>
      </w:tr>
      <w:tr>
        <w:trPr>
          <w:cantSplit/>
        </w:trPr>
        <w:tc>
          <w:tcPr>
            <w:tcW w:type="dxa" w:w="3331"/>
            <w:tcMar>
              <w:top w:w="80" w:type="dxa"/>
              <w:start w:w="90" w:type="dxa"/>
              <w:bottom w:w="80" w:type="dxa"/>
              <w:end w:w="90" w:type="dxa"/>
            </w:tcMar>
            <w:vAlign w:val="top"/>
            <w:shd w:fill="F7F9FB"/>
          </w:tcPr>
          <w:p>
            <w:pPr>
              <w:spacing w:after="30"/>
            </w:pPr>
            <w:r>
              <w:rPr>
                <w:rFonts w:ascii="Aptos" w:hAnsi="Aptos"/>
                <w:color w:val="232D38"/>
                <w:sz w:val="14"/>
              </w:rPr>
              <w:t>PUBLIC</w:t>
            </w:r>
          </w:p>
        </w:tc>
        <w:tc>
          <w:tcPr>
            <w:tcW w:type="dxa" w:w="3331"/>
            <w:tcMar>
              <w:top w:w="80" w:type="dxa"/>
              <w:start w:w="90" w:type="dxa"/>
              <w:bottom w:w="80" w:type="dxa"/>
              <w:end w:w="90" w:type="dxa"/>
            </w:tcMar>
            <w:vAlign w:val="top"/>
            <w:shd w:fill="F7F9FB"/>
          </w:tcPr>
          <w:p>
            <w:pPr>
              <w:spacing w:after="30"/>
            </w:pPr>
            <w:r>
              <w:rPr>
                <w:rFonts w:ascii="Aptos" w:hAnsi="Aptos"/>
                <w:color w:val="232D38"/>
                <w:sz w:val="14"/>
              </w:rPr>
              <w:t>Approved marketing facts and public materials.</w:t>
            </w:r>
          </w:p>
        </w:tc>
        <w:tc>
          <w:tcPr>
            <w:tcW w:type="dxa" w:w="3331"/>
            <w:tcMar>
              <w:top w:w="80" w:type="dxa"/>
              <w:start w:w="90" w:type="dxa"/>
              <w:bottom w:w="80" w:type="dxa"/>
              <w:end w:w="90" w:type="dxa"/>
            </w:tcMar>
            <w:vAlign w:val="top"/>
            <w:shd w:fill="F7F9FB"/>
          </w:tcPr>
          <w:p>
            <w:pPr>
              <w:spacing w:after="30"/>
            </w:pPr>
            <w:r>
              <w:rPr>
                <w:rFonts w:ascii="Aptos" w:hAnsi="Aptos"/>
                <w:color w:val="232D38"/>
                <w:sz w:val="14"/>
              </w:rPr>
              <w:t>Publication approval and claim-register validation.</w:t>
            </w:r>
          </w:p>
        </w:tc>
      </w:tr>
      <w:tr>
        <w:trPr>
          <w:cantSplit/>
        </w:trPr>
        <w:tc>
          <w:tcPr>
            <w:tcW w:type="dxa" w:w="3331"/>
            <w:tcMar>
              <w:top w:w="80" w:type="dxa"/>
              <w:start w:w="90" w:type="dxa"/>
              <w:bottom w:w="80" w:type="dxa"/>
              <w:end w:w="90" w:type="dxa"/>
            </w:tcMar>
            <w:vAlign w:val="top"/>
          </w:tcPr>
          <w:p>
            <w:pPr>
              <w:spacing w:after="30"/>
            </w:pPr>
            <w:r>
              <w:rPr>
                <w:rFonts w:ascii="Aptos" w:hAnsi="Aptos"/>
                <w:color w:val="232D38"/>
                <w:sz w:val="14"/>
              </w:rPr>
              <w:t>INTERNAL</w:t>
            </w:r>
          </w:p>
        </w:tc>
        <w:tc>
          <w:tcPr>
            <w:tcW w:type="dxa" w:w="3331"/>
            <w:tcMar>
              <w:top w:w="80" w:type="dxa"/>
              <w:start w:w="90" w:type="dxa"/>
              <w:bottom w:w="80" w:type="dxa"/>
              <w:end w:w="90" w:type="dxa"/>
            </w:tcMar>
            <w:vAlign w:val="top"/>
          </w:tcPr>
          <w:p>
            <w:pPr>
              <w:spacing w:after="30"/>
            </w:pPr>
            <w:r>
              <w:rPr>
                <w:rFonts w:ascii="Aptos" w:hAnsi="Aptos"/>
                <w:color w:val="232D38"/>
                <w:sz w:val="14"/>
              </w:rPr>
              <w:t>Generic design and non-sensitive operations.</w:t>
            </w:r>
          </w:p>
        </w:tc>
        <w:tc>
          <w:tcPr>
            <w:tcW w:type="dxa" w:w="3331"/>
            <w:tcMar>
              <w:top w:w="80" w:type="dxa"/>
              <w:start w:w="90" w:type="dxa"/>
              <w:bottom w:w="80" w:type="dxa"/>
              <w:end w:w="90" w:type="dxa"/>
            </w:tcMar>
            <w:vAlign w:val="top"/>
          </w:tcPr>
          <w:p>
            <w:pPr>
              <w:spacing w:after="30"/>
            </w:pPr>
            <w:r>
              <w:rPr>
                <w:rFonts w:ascii="Aptos" w:hAnsi="Aptos"/>
                <w:color w:val="232D38"/>
                <w:sz w:val="14"/>
              </w:rPr>
              <w:t>Workspace access, change control, no public link without approval.</w:t>
            </w:r>
          </w:p>
        </w:tc>
      </w:tr>
      <w:tr>
        <w:trPr>
          <w:cantSplit/>
        </w:trPr>
        <w:tc>
          <w:tcPr>
            <w:tcW w:type="dxa" w:w="3331"/>
            <w:tcMar>
              <w:top w:w="80" w:type="dxa"/>
              <w:start w:w="90" w:type="dxa"/>
              <w:bottom w:w="80" w:type="dxa"/>
              <w:end w:w="90" w:type="dxa"/>
            </w:tcMar>
            <w:vAlign w:val="top"/>
            <w:shd w:fill="F7F9FB"/>
          </w:tcPr>
          <w:p>
            <w:pPr>
              <w:spacing w:after="30"/>
            </w:pPr>
            <w:r>
              <w:rPr>
                <w:rFonts w:ascii="Aptos" w:hAnsi="Aptos"/>
                <w:color w:val="232D38"/>
                <w:sz w:val="14"/>
              </w:rPr>
              <w:t>CONFIDENTIAL</w:t>
            </w:r>
          </w:p>
        </w:tc>
        <w:tc>
          <w:tcPr>
            <w:tcW w:type="dxa" w:w="3331"/>
            <w:tcMar>
              <w:top w:w="80" w:type="dxa"/>
              <w:start w:w="90" w:type="dxa"/>
              <w:bottom w:w="80" w:type="dxa"/>
              <w:end w:w="90" w:type="dxa"/>
            </w:tcMar>
            <w:vAlign w:val="top"/>
            <w:shd w:fill="F7F9FB"/>
          </w:tcPr>
          <w:p>
            <w:pPr>
              <w:spacing w:after="30"/>
            </w:pPr>
            <w:r>
              <w:rPr>
                <w:rFonts w:ascii="Aptos" w:hAnsi="Aptos"/>
                <w:color w:val="232D38"/>
                <w:sz w:val="14"/>
              </w:rPr>
              <w:t>Bank proposal, commercial terms, internal risk plans, partner correspondence.</w:t>
            </w:r>
          </w:p>
        </w:tc>
        <w:tc>
          <w:tcPr>
            <w:tcW w:type="dxa" w:w="3331"/>
            <w:tcMar>
              <w:top w:w="80" w:type="dxa"/>
              <w:start w:w="90" w:type="dxa"/>
              <w:bottom w:w="80" w:type="dxa"/>
              <w:end w:w="90" w:type="dxa"/>
            </w:tcMar>
            <w:vAlign w:val="top"/>
            <w:shd w:fill="F7F9FB"/>
          </w:tcPr>
          <w:p>
            <w:pPr>
              <w:spacing w:after="30"/>
            </w:pPr>
            <w:r>
              <w:rPr>
                <w:rFonts w:ascii="Aptos" w:hAnsi="Aptos"/>
                <w:color w:val="232D38"/>
                <w:sz w:val="14"/>
              </w:rPr>
              <w:t>Need-to-know access, encryption, retention and sharing approval.</w:t>
            </w:r>
          </w:p>
        </w:tc>
      </w:tr>
      <w:tr>
        <w:trPr>
          <w:cantSplit/>
        </w:trPr>
        <w:tc>
          <w:tcPr>
            <w:tcW w:type="dxa" w:w="3331"/>
            <w:tcMar>
              <w:top w:w="80" w:type="dxa"/>
              <w:start w:w="90" w:type="dxa"/>
              <w:bottom w:w="80" w:type="dxa"/>
              <w:end w:w="90" w:type="dxa"/>
            </w:tcMar>
            <w:vAlign w:val="top"/>
          </w:tcPr>
          <w:p>
            <w:pPr>
              <w:spacing w:after="30"/>
            </w:pPr>
            <w:r>
              <w:rPr>
                <w:rFonts w:ascii="Aptos" w:hAnsi="Aptos"/>
                <w:color w:val="232D38"/>
                <w:sz w:val="14"/>
              </w:rPr>
              <w:t>RESTRICTED</w:t>
            </w:r>
          </w:p>
        </w:tc>
        <w:tc>
          <w:tcPr>
            <w:tcW w:type="dxa" w:w="3331"/>
            <w:tcMar>
              <w:top w:w="80" w:type="dxa"/>
              <w:start w:w="90" w:type="dxa"/>
              <w:bottom w:w="80" w:type="dxa"/>
              <w:end w:w="90" w:type="dxa"/>
            </w:tcMar>
            <w:vAlign w:val="top"/>
          </w:tcPr>
          <w:p>
            <w:pPr>
              <w:spacing w:after="30"/>
            </w:pPr>
            <w:r>
              <w:rPr>
                <w:rFonts w:ascii="Aptos" w:hAnsi="Aptos"/>
                <w:color w:val="232D38"/>
                <w:sz w:val="14"/>
              </w:rPr>
              <w:t>Transactions, institution/customer details, compliance outcomes, legal opinions and account evidence.</w:t>
            </w:r>
          </w:p>
        </w:tc>
        <w:tc>
          <w:tcPr>
            <w:tcW w:type="dxa" w:w="3331"/>
            <w:tcMar>
              <w:top w:w="80" w:type="dxa"/>
              <w:start w:w="90" w:type="dxa"/>
              <w:bottom w:w="80" w:type="dxa"/>
              <w:end w:w="90" w:type="dxa"/>
            </w:tcMar>
            <w:vAlign w:val="top"/>
          </w:tcPr>
          <w:p>
            <w:pPr>
              <w:spacing w:after="30"/>
            </w:pPr>
            <w:r>
              <w:rPr>
                <w:rFonts w:ascii="Aptos" w:hAnsi="Aptos"/>
                <w:color w:val="232D38"/>
                <w:sz w:val="14"/>
              </w:rPr>
              <w:t>Role-based access, purpose limitation, data minimization, audit and approved storage/residency.</w:t>
            </w:r>
          </w:p>
        </w:tc>
      </w:tr>
      <w:tr>
        <w:trPr>
          <w:cantSplit/>
        </w:trPr>
        <w:tc>
          <w:tcPr>
            <w:tcW w:type="dxa" w:w="3331"/>
            <w:tcMar>
              <w:top w:w="80" w:type="dxa"/>
              <w:start w:w="90" w:type="dxa"/>
              <w:bottom w:w="80" w:type="dxa"/>
              <w:end w:w="90" w:type="dxa"/>
            </w:tcMar>
            <w:vAlign w:val="top"/>
            <w:shd w:fill="F7F9FB"/>
          </w:tcPr>
          <w:p>
            <w:pPr>
              <w:spacing w:after="30"/>
            </w:pPr>
            <w:r>
              <w:rPr>
                <w:rFonts w:ascii="Aptos" w:hAnsi="Aptos"/>
                <w:color w:val="232D38"/>
                <w:sz w:val="14"/>
              </w:rPr>
              <w:t>HIGHLY_RESTRICTED</w:t>
            </w:r>
          </w:p>
        </w:tc>
        <w:tc>
          <w:tcPr>
            <w:tcW w:type="dxa" w:w="3331"/>
            <w:tcMar>
              <w:top w:w="80" w:type="dxa"/>
              <w:start w:w="90" w:type="dxa"/>
              <w:bottom w:w="80" w:type="dxa"/>
              <w:end w:w="90" w:type="dxa"/>
            </w:tcMar>
            <w:vAlign w:val="top"/>
            <w:shd w:fill="F7F9FB"/>
          </w:tcPr>
          <w:p>
            <w:pPr>
              <w:spacing w:after="30"/>
            </w:pPr>
            <w:r>
              <w:rPr>
                <w:rFonts w:ascii="Aptos" w:hAnsi="Aptos"/>
                <w:color w:val="232D38"/>
                <w:sz w:val="14"/>
              </w:rPr>
              <w:t>Secrets/private keys/credentials and applicable regulated identity/security data.</w:t>
            </w:r>
          </w:p>
        </w:tc>
        <w:tc>
          <w:tcPr>
            <w:tcW w:type="dxa" w:w="3331"/>
            <w:tcMar>
              <w:top w:w="80" w:type="dxa"/>
              <w:start w:w="90" w:type="dxa"/>
              <w:bottom w:w="80" w:type="dxa"/>
              <w:end w:w="90" w:type="dxa"/>
            </w:tcMar>
            <w:vAlign w:val="top"/>
            <w:shd w:fill="F7F9FB"/>
          </w:tcPr>
          <w:p>
            <w:pPr>
              <w:spacing w:after="30"/>
            </w:pPr>
            <w:r>
              <w:rPr>
                <w:rFonts w:ascii="Aptos" w:hAnsi="Aptos"/>
                <w:color w:val="232D38"/>
                <w:sz w:val="14"/>
              </w:rPr>
              <w:t>Never in ordinary logs/docs/chat; secure secret store/vault, audited access and rapid rotation.</w:t>
            </w:r>
          </w:p>
        </w:tc>
      </w:tr>
    </w:tbl>
    <w:p>
      <w:pPr>
        <w:spacing w:after="0"/>
      </w:pPr>
    </w:p>
    <w:p>
      <w:pPr>
        <w:pStyle w:val="Heading2"/>
      </w:pPr>
      <w:r>
        <w:t>7.4 Data governance and lifecycle</w:t>
      </w:r>
    </w:p>
    <w:p>
      <w:pPr>
        <w:pStyle w:val="ListBullet"/>
        <w:spacing w:after="50"/>
      </w:pPr>
      <w:r>
        <w:t>Maintain data inventory, purpose, legal basis/contract, controller/processor roles, location/residency, recipients, retention, deletion/export and applicable subject-access obligations.</w:t>
      </w:r>
    </w:p>
    <w:p>
      <w:pPr>
        <w:pStyle w:val="ListBullet"/>
        <w:spacing w:after="50"/>
      </w:pPr>
      <w:r>
        <w:t>Store only minimum data required for service, risk controls, evidence and legal record; avoid copying full records across every provider.</w:t>
      </w:r>
    </w:p>
    <w:p>
      <w:pPr>
        <w:pStyle w:val="ListBullet"/>
        <w:spacing w:after="50"/>
      </w:pPr>
      <w:r>
        <w:t>Use opaque references/tokenization for account identifiers where feasible; control de-tokenization separately.</w:t>
      </w:r>
    </w:p>
    <w:p>
      <w:pPr>
        <w:pStyle w:val="ListBullet"/>
        <w:spacing w:after="50"/>
      </w:pPr>
      <w:r>
        <w:t>Define tenant/institution partitioning at API and DB layers. Test cross-tenant reads/writes, event injection and evidence export.</w:t>
      </w:r>
    </w:p>
    <w:p>
      <w:pPr>
        <w:pStyle w:val="ListBullet"/>
        <w:spacing w:after="50"/>
      </w:pPr>
      <w:r>
        <w:t>Separate retention for operational logs, financial/legal records, security logs, traces, caches, provider events and backups.</w:t>
      </w:r>
    </w:p>
    <w:p>
      <w:pPr>
        <w:pStyle w:val="ListBullet"/>
        <w:spacing w:after="50"/>
      </w:pPr>
      <w:r>
        <w:t>Apply legal hold only through documented authority; do not retain everything indefinitely without justification.</w:t>
      </w:r>
    </w:p>
    <w:p>
      <w:pPr>
        <w:pStyle w:val="ListBullet"/>
        <w:spacing w:after="50"/>
      </w:pPr>
      <w:r>
        <w:t>Validate currency/asset identifiers, decimal precision, timezone/timestamps, sequence ordering, freshness, duplicate mapping and required fields.</w:t>
      </w:r>
    </w:p>
    <w:p>
      <w:pPr>
        <w:pStyle w:val="Heading2"/>
      </w:pPr>
      <w:r>
        <w:t>7.5 Security assurance plan</w:t>
      </w:r>
    </w:p>
    <w:tbl>
      <w:tblPr>
        <w:tblStyle w:val="TableGrid"/>
        <w:tblW w:type="auto" w:w="0"/>
        <w:jc w:val="center"/>
        <w:tblLook w:firstColumn="1" w:firstRow="1" w:lastColumn="0" w:lastRow="0" w:noHBand="0" w:noVBand="1" w:val="04A0"/>
      </w:tblPr>
      <w:tblGrid>
        <w:gridCol w:w="4997"/>
        <w:gridCol w:w="4997"/>
      </w:tblGrid>
      <w:tr>
        <w:trPr>
          <w:tblHeader w:val="true"/>
          <w:cantSplit/>
        </w:trPr>
        <w:tc>
          <w:tcPr>
            <w:tcW w:type="dxa" w:w="2088"/>
            <w:shd w:fill="07111F"/>
            <w:tcMar>
              <w:top w:w="80" w:type="dxa"/>
              <w:start w:w="90" w:type="dxa"/>
              <w:bottom w:w="80" w:type="dxa"/>
              <w:end w:w="90" w:type="dxa"/>
            </w:tcMar>
            <w:vAlign w:val="center"/>
          </w:tcPr>
          <w:p>
            <w:r>
              <w:rPr>
                <w:rFonts w:ascii="Aptos" w:hAnsi="Aptos"/>
                <w:b/>
                <w:color w:val="FFFFFF"/>
                <w:sz w:val="15"/>
              </w:rPr>
              <w:t>Layer</w:t>
            </w:r>
          </w:p>
        </w:tc>
        <w:tc>
          <w:tcPr>
            <w:tcW w:type="dxa" w:w="7848"/>
            <w:shd w:fill="07111F"/>
            <w:tcMar>
              <w:top w:w="80" w:type="dxa"/>
              <w:start w:w="90" w:type="dxa"/>
              <w:bottom w:w="80" w:type="dxa"/>
              <w:end w:w="90" w:type="dxa"/>
            </w:tcMar>
            <w:vAlign w:val="center"/>
          </w:tcPr>
          <w:p>
            <w:r>
              <w:rPr>
                <w:rFonts w:ascii="Aptos" w:hAnsi="Aptos"/>
                <w:b/>
                <w:color w:val="FFFFFF"/>
                <w:sz w:val="15"/>
              </w:rPr>
              <w:t>Required evidence before production review</w:t>
            </w:r>
          </w:p>
        </w:tc>
      </w:tr>
      <w:tr>
        <w:trPr>
          <w:cantSplit/>
        </w:trPr>
        <w:tc>
          <w:tcPr>
            <w:tcW w:type="dxa" w:w="4997"/>
            <w:tcMar>
              <w:top w:w="80" w:type="dxa"/>
              <w:start w:w="90" w:type="dxa"/>
              <w:bottom w:w="80" w:type="dxa"/>
              <w:end w:w="90" w:type="dxa"/>
            </w:tcMar>
            <w:vAlign w:val="top"/>
            <w:shd w:fill="F7F9FB"/>
          </w:tcPr>
          <w:p>
            <w:pPr>
              <w:spacing w:after="30"/>
            </w:pPr>
            <w:r>
              <w:rPr>
                <w:rFonts w:ascii="Aptos" w:hAnsi="Aptos"/>
                <w:color w:val="232D38"/>
                <w:sz w:val="15"/>
              </w:rPr>
              <w:t>Code</w:t>
            </w:r>
          </w:p>
        </w:tc>
        <w:tc>
          <w:tcPr>
            <w:tcW w:type="dxa" w:w="4997"/>
            <w:tcMar>
              <w:top w:w="80" w:type="dxa"/>
              <w:start w:w="90" w:type="dxa"/>
              <w:bottom w:w="80" w:type="dxa"/>
              <w:end w:w="90" w:type="dxa"/>
            </w:tcMar>
            <w:vAlign w:val="top"/>
            <w:shd w:fill="F7F9FB"/>
          </w:tcPr>
          <w:p>
            <w:pPr>
              <w:spacing w:after="30"/>
            </w:pPr>
            <w:r>
              <w:rPr>
                <w:rFonts w:ascii="Aptos" w:hAnsi="Aptos"/>
                <w:color w:val="232D38"/>
                <w:sz w:val="15"/>
              </w:rPr>
              <w:t>Static analysis, dependency/SCA, secret scan across relevant history, peer review, type checking, tests and risky API/authorization review.</w:t>
            </w:r>
          </w:p>
        </w:tc>
      </w:tr>
      <w:tr>
        <w:trPr>
          <w:cantSplit/>
        </w:trPr>
        <w:tc>
          <w:tcPr>
            <w:tcW w:type="dxa" w:w="4997"/>
            <w:tcMar>
              <w:top w:w="80" w:type="dxa"/>
              <w:start w:w="90" w:type="dxa"/>
              <w:bottom w:w="80" w:type="dxa"/>
              <w:end w:w="90" w:type="dxa"/>
            </w:tcMar>
            <w:vAlign w:val="top"/>
          </w:tcPr>
          <w:p>
            <w:pPr>
              <w:spacing w:after="30"/>
            </w:pPr>
            <w:r>
              <w:rPr>
                <w:rFonts w:ascii="Aptos" w:hAnsi="Aptos"/>
                <w:color w:val="232D38"/>
                <w:sz w:val="15"/>
              </w:rPr>
              <w:t>Application</w:t>
            </w:r>
          </w:p>
        </w:tc>
        <w:tc>
          <w:tcPr>
            <w:tcW w:type="dxa" w:w="4997"/>
            <w:tcMar>
              <w:top w:w="80" w:type="dxa"/>
              <w:start w:w="90" w:type="dxa"/>
              <w:bottom w:w="80" w:type="dxa"/>
              <w:end w:w="90" w:type="dxa"/>
            </w:tcMar>
            <w:vAlign w:val="top"/>
          </w:tcPr>
          <w:p>
            <w:pPr>
              <w:spacing w:after="30"/>
            </w:pPr>
            <w:r>
              <w:rPr>
                <w:rFonts w:ascii="Aptos" w:hAnsi="Aptos"/>
                <w:color w:val="232D38"/>
                <w:sz w:val="15"/>
              </w:rPr>
              <w:t>DAST/equivalent, authorization/tenant-boundary tests, rate limits, input validation, injection/SSRF checks, safe errors and log redaction.</w:t>
            </w:r>
          </w:p>
        </w:tc>
      </w:tr>
      <w:tr>
        <w:trPr>
          <w:cantSplit/>
        </w:trPr>
        <w:tc>
          <w:tcPr>
            <w:tcW w:type="dxa" w:w="4997"/>
            <w:tcMar>
              <w:top w:w="80" w:type="dxa"/>
              <w:start w:w="90" w:type="dxa"/>
              <w:bottom w:w="80" w:type="dxa"/>
              <w:end w:w="90" w:type="dxa"/>
            </w:tcMar>
            <w:vAlign w:val="top"/>
            <w:shd w:fill="F7F9FB"/>
          </w:tcPr>
          <w:p>
            <w:pPr>
              <w:spacing w:after="30"/>
            </w:pPr>
            <w:r>
              <w:rPr>
                <w:rFonts w:ascii="Aptos" w:hAnsi="Aptos"/>
                <w:color w:val="232D38"/>
                <w:sz w:val="15"/>
              </w:rPr>
              <w:t>Infrastructure/provider</w:t>
            </w:r>
          </w:p>
        </w:tc>
        <w:tc>
          <w:tcPr>
            <w:tcW w:type="dxa" w:w="4997"/>
            <w:tcMar>
              <w:top w:w="80" w:type="dxa"/>
              <w:start w:w="90" w:type="dxa"/>
              <w:bottom w:w="80" w:type="dxa"/>
              <w:end w:w="90" w:type="dxa"/>
            </w:tcMar>
            <w:vAlign w:val="top"/>
            <w:shd w:fill="F7F9FB"/>
          </w:tcPr>
          <w:p>
            <w:pPr>
              <w:spacing w:after="30"/>
            </w:pPr>
            <w:r>
              <w:rPr>
                <w:rFonts w:ascii="Aptos" w:hAnsi="Aptos"/>
                <w:color w:val="232D38"/>
                <w:sz w:val="15"/>
              </w:rPr>
              <w:t>Cloud/IAM review, secret configuration, environment separation, DB roles, network rules and deployment provenance.</w:t>
            </w:r>
          </w:p>
        </w:tc>
      </w:tr>
      <w:tr>
        <w:trPr>
          <w:cantSplit/>
        </w:trPr>
        <w:tc>
          <w:tcPr>
            <w:tcW w:type="dxa" w:w="4997"/>
            <w:tcMar>
              <w:top w:w="80" w:type="dxa"/>
              <w:start w:w="90" w:type="dxa"/>
              <w:bottom w:w="80" w:type="dxa"/>
              <w:end w:w="90" w:type="dxa"/>
            </w:tcMar>
            <w:vAlign w:val="top"/>
          </w:tcPr>
          <w:p>
            <w:pPr>
              <w:spacing w:after="30"/>
            </w:pPr>
            <w:r>
              <w:rPr>
                <w:rFonts w:ascii="Aptos" w:hAnsi="Aptos"/>
                <w:color w:val="232D38"/>
                <w:sz w:val="15"/>
              </w:rPr>
              <w:t>Financial correctness</w:t>
            </w:r>
          </w:p>
        </w:tc>
        <w:tc>
          <w:tcPr>
            <w:tcW w:type="dxa" w:w="4997"/>
            <w:tcMar>
              <w:top w:w="80" w:type="dxa"/>
              <w:start w:w="90" w:type="dxa"/>
              <w:bottom w:w="80" w:type="dxa"/>
              <w:end w:w="90" w:type="dxa"/>
            </w:tcMar>
            <w:vAlign w:val="top"/>
          </w:tcPr>
          <w:p>
            <w:pPr>
              <w:spacing w:after="30"/>
            </w:pPr>
            <w:r>
              <w:rPr>
                <w:rFonts w:ascii="Aptos" w:hAnsi="Aptos"/>
                <w:color w:val="232D38"/>
                <w:sz w:val="15"/>
              </w:rPr>
              <w:t>Ledger invariants, idempotency, double-spend/duplicate-backing tests, concurrency/race tests, event replay and reconciliation.</w:t>
            </w:r>
          </w:p>
        </w:tc>
      </w:tr>
      <w:tr>
        <w:trPr>
          <w:cantSplit/>
        </w:trPr>
        <w:tc>
          <w:tcPr>
            <w:tcW w:type="dxa" w:w="4997"/>
            <w:tcMar>
              <w:top w:w="80" w:type="dxa"/>
              <w:start w:w="90" w:type="dxa"/>
              <w:bottom w:w="80" w:type="dxa"/>
              <w:end w:w="90" w:type="dxa"/>
            </w:tcMar>
            <w:vAlign w:val="top"/>
            <w:shd w:fill="F7F9FB"/>
          </w:tcPr>
          <w:p>
            <w:pPr>
              <w:spacing w:after="30"/>
            </w:pPr>
            <w:r>
              <w:rPr>
                <w:rFonts w:ascii="Aptos" w:hAnsi="Aptos"/>
                <w:color w:val="232D38"/>
                <w:sz w:val="15"/>
              </w:rPr>
              <w:t>Operational resilience</w:t>
            </w:r>
          </w:p>
        </w:tc>
        <w:tc>
          <w:tcPr>
            <w:tcW w:type="dxa" w:w="4997"/>
            <w:tcMar>
              <w:top w:w="80" w:type="dxa"/>
              <w:start w:w="90" w:type="dxa"/>
              <w:bottom w:w="80" w:type="dxa"/>
              <w:end w:w="90" w:type="dxa"/>
            </w:tcMar>
            <w:vAlign w:val="top"/>
            <w:shd w:fill="F7F9FB"/>
          </w:tcPr>
          <w:p>
            <w:pPr>
              <w:spacing w:after="30"/>
            </w:pPr>
            <w:r>
              <w:rPr>
                <w:rFonts w:ascii="Aptos" w:hAnsi="Aptos"/>
                <w:color w:val="232D38"/>
                <w:sz w:val="15"/>
              </w:rPr>
              <w:t>Failover, retry storm, provider outage, restore, backup verification, key compromise, insider/privilege compromise and safe-halt drills.</w:t>
            </w:r>
          </w:p>
        </w:tc>
      </w:tr>
      <w:tr>
        <w:trPr>
          <w:cantSplit/>
        </w:trPr>
        <w:tc>
          <w:tcPr>
            <w:tcW w:type="dxa" w:w="4997"/>
            <w:tcMar>
              <w:top w:w="80" w:type="dxa"/>
              <w:start w:w="90" w:type="dxa"/>
              <w:bottom w:w="80" w:type="dxa"/>
              <w:end w:w="90" w:type="dxa"/>
            </w:tcMar>
            <w:vAlign w:val="top"/>
          </w:tcPr>
          <w:p>
            <w:pPr>
              <w:spacing w:after="30"/>
            </w:pPr>
            <w:r>
              <w:rPr>
                <w:rFonts w:ascii="Aptos" w:hAnsi="Aptos"/>
                <w:color w:val="232D38"/>
                <w:sz w:val="15"/>
              </w:rPr>
              <w:t>Independent assurance</w:t>
            </w:r>
          </w:p>
        </w:tc>
        <w:tc>
          <w:tcPr>
            <w:tcW w:type="dxa" w:w="4997"/>
            <w:tcMar>
              <w:top w:w="80" w:type="dxa"/>
              <w:start w:w="90" w:type="dxa"/>
              <w:bottom w:w="80" w:type="dxa"/>
              <w:end w:w="90" w:type="dxa"/>
            </w:tcMar>
            <w:vAlign w:val="top"/>
          </w:tcPr>
          <w:p>
            <w:pPr>
              <w:spacing w:after="30"/>
            </w:pPr>
            <w:r>
              <w:rPr>
                <w:rFonts w:ascii="Aptos" w:hAnsi="Aptos"/>
                <w:color w:val="232D38"/>
                <w:sz w:val="15"/>
              </w:rPr>
              <w:t>Qualified external security/technology/financial control reviewer; defined scope, findings, remediation and retest.</w:t>
            </w:r>
          </w:p>
        </w:tc>
      </w:tr>
    </w:tbl>
    <w:p>
      <w:pPr>
        <w:spacing w:after="0"/>
      </w:pPr>
    </w:p>
    <w:p>
      <w:pPr>
        <w:pStyle w:val="Heading2"/>
      </w:pPr>
      <w:r>
        <w:t>7.6 Observability and incident operations</w:t>
      </w:r>
    </w:p>
    <w:p>
      <w:r>
        <w:rPr>
          <w:i w:val="0"/>
        </w:rPr>
        <w:t>Use structured logs, traces, metrics and durable audit records with correlation IDs, deployment/policy versions and safe redaction. Alerts must identify an actionable condition and named owner. Detect stale evidence, missed event delivery, stuck outbox rows, overdue retries, projection lag, reconciliation breaks, auth failures, gate expiry and unauthorized policy changes.</w:t>
      </w:r>
    </w:p>
    <w:tbl>
      <w:tblPr>
        <w:tblStyle w:val="TableGrid"/>
        <w:tblW w:type="auto" w:w="0"/>
        <w:jc w:val="center"/>
        <w:tblLook w:firstColumn="1" w:firstRow="1" w:lastColumn="0" w:lastRow="0" w:noHBand="0" w:noVBand="1" w:val="04A0"/>
      </w:tblPr>
      <w:tblGrid>
        <w:gridCol w:w="3331"/>
        <w:gridCol w:w="3331"/>
        <w:gridCol w:w="3331"/>
      </w:tblGrid>
      <w:tr>
        <w:trPr>
          <w:tblHeader w:val="true"/>
          <w:cantSplit/>
        </w:trPr>
        <w:tc>
          <w:tcPr>
            <w:tcW w:type="dxa" w:w="1872"/>
            <w:shd w:fill="07111F"/>
            <w:tcMar>
              <w:top w:w="80" w:type="dxa"/>
              <w:start w:w="90" w:type="dxa"/>
              <w:bottom w:w="80" w:type="dxa"/>
              <w:end w:w="90" w:type="dxa"/>
            </w:tcMar>
            <w:vAlign w:val="center"/>
          </w:tcPr>
          <w:p>
            <w:r>
              <w:rPr>
                <w:rFonts w:ascii="Aptos" w:hAnsi="Aptos"/>
                <w:b/>
                <w:color w:val="FFFFFF"/>
                <w:sz w:val="14"/>
              </w:rPr>
              <w:t>Severity</w:t>
            </w:r>
          </w:p>
        </w:tc>
        <w:tc>
          <w:tcPr>
            <w:tcW w:type="dxa" w:w="3744"/>
            <w:shd w:fill="07111F"/>
            <w:tcMar>
              <w:top w:w="80" w:type="dxa"/>
              <w:start w:w="90" w:type="dxa"/>
              <w:bottom w:w="80" w:type="dxa"/>
              <w:end w:w="90" w:type="dxa"/>
            </w:tcMar>
            <w:vAlign w:val="center"/>
          </w:tcPr>
          <w:p>
            <w:r>
              <w:rPr>
                <w:rFonts w:ascii="Aptos" w:hAnsi="Aptos"/>
                <w:b/>
                <w:color w:val="FFFFFF"/>
                <w:sz w:val="14"/>
              </w:rPr>
              <w:t>Examples</w:t>
            </w:r>
          </w:p>
        </w:tc>
        <w:tc>
          <w:tcPr>
            <w:tcW w:type="dxa" w:w="4320"/>
            <w:shd w:fill="07111F"/>
            <w:tcMar>
              <w:top w:w="80" w:type="dxa"/>
              <w:start w:w="90" w:type="dxa"/>
              <w:bottom w:w="80" w:type="dxa"/>
              <w:end w:w="90" w:type="dxa"/>
            </w:tcMar>
            <w:vAlign w:val="center"/>
          </w:tcPr>
          <w:p>
            <w:r>
              <w:rPr>
                <w:rFonts w:ascii="Aptos" w:hAnsi="Aptos"/>
                <w:b/>
                <w:color w:val="FFFFFF"/>
                <w:sz w:val="14"/>
              </w:rPr>
              <w:t>Expected response</w:t>
            </w:r>
          </w:p>
        </w:tc>
      </w:tr>
      <w:tr>
        <w:trPr>
          <w:cantSplit/>
        </w:trPr>
        <w:tc>
          <w:tcPr>
            <w:tcW w:type="dxa" w:w="3331"/>
            <w:tcMar>
              <w:top w:w="80" w:type="dxa"/>
              <w:start w:w="90" w:type="dxa"/>
              <w:bottom w:w="80" w:type="dxa"/>
              <w:end w:w="90" w:type="dxa"/>
            </w:tcMar>
            <w:vAlign w:val="top"/>
            <w:shd w:fill="F7F9FB"/>
          </w:tcPr>
          <w:p>
            <w:pPr>
              <w:spacing w:after="30"/>
            </w:pPr>
            <w:r>
              <w:rPr>
                <w:rFonts w:ascii="Aptos" w:hAnsi="Aptos"/>
                <w:color w:val="232D38"/>
                <w:sz w:val="14"/>
              </w:rPr>
              <w:t>SEV-0 / integrity-threatening</w:t>
            </w:r>
          </w:p>
        </w:tc>
        <w:tc>
          <w:tcPr>
            <w:tcW w:type="dxa" w:w="3331"/>
            <w:tcMar>
              <w:top w:w="80" w:type="dxa"/>
              <w:start w:w="90" w:type="dxa"/>
              <w:bottom w:w="80" w:type="dxa"/>
              <w:end w:w="90" w:type="dxa"/>
            </w:tcMar>
            <w:vAlign w:val="top"/>
            <w:shd w:fill="F7F9FB"/>
          </w:tcPr>
          <w:p>
            <w:pPr>
              <w:spacing w:after="30"/>
            </w:pPr>
            <w:r>
              <w:rPr>
                <w:rFonts w:ascii="Aptos" w:hAnsi="Aptos"/>
                <w:color w:val="232D38"/>
                <w:sz w:val="14"/>
              </w:rPr>
              <w:t>Unauthorized MTQ/financial state, double count/spend, false legal finality, evidence tampering, key compromise affecting value.</w:t>
            </w:r>
          </w:p>
        </w:tc>
        <w:tc>
          <w:tcPr>
            <w:tcW w:type="dxa" w:w="3331"/>
            <w:tcMar>
              <w:top w:w="80" w:type="dxa"/>
              <w:start w:w="90" w:type="dxa"/>
              <w:bottom w:w="80" w:type="dxa"/>
              <w:end w:w="90" w:type="dxa"/>
            </w:tcMar>
            <w:vAlign w:val="top"/>
            <w:shd w:fill="F7F9FB"/>
          </w:tcPr>
          <w:p>
            <w:pPr>
              <w:spacing w:after="30"/>
            </w:pPr>
            <w:r>
              <w:rPr>
                <w:rFonts w:ascii="Aptos" w:hAnsi="Aptos"/>
                <w:color w:val="232D38"/>
                <w:sz w:val="14"/>
              </w:rPr>
              <w:t>Immediate safe halt of affected functions; notify designated authorities/counterparties per plan; preserve evidence; no automatic resume.</w:t>
            </w:r>
          </w:p>
        </w:tc>
      </w:tr>
      <w:tr>
        <w:trPr>
          <w:cantSplit/>
        </w:trPr>
        <w:tc>
          <w:tcPr>
            <w:tcW w:type="dxa" w:w="3331"/>
            <w:tcMar>
              <w:top w:w="80" w:type="dxa"/>
              <w:start w:w="90" w:type="dxa"/>
              <w:bottom w:w="80" w:type="dxa"/>
              <w:end w:w="90" w:type="dxa"/>
            </w:tcMar>
            <w:vAlign w:val="top"/>
          </w:tcPr>
          <w:p>
            <w:pPr>
              <w:spacing w:after="30"/>
            </w:pPr>
            <w:r>
              <w:rPr>
                <w:rFonts w:ascii="Aptos" w:hAnsi="Aptos"/>
                <w:color w:val="232D38"/>
                <w:sz w:val="14"/>
              </w:rPr>
              <w:t>SEV-1 / material availability/control</w:t>
            </w:r>
          </w:p>
        </w:tc>
        <w:tc>
          <w:tcPr>
            <w:tcW w:type="dxa" w:w="3331"/>
            <w:tcMar>
              <w:top w:w="80" w:type="dxa"/>
              <w:start w:w="90" w:type="dxa"/>
              <w:bottom w:w="80" w:type="dxa"/>
              <w:end w:w="90" w:type="dxa"/>
            </w:tcMar>
            <w:vAlign w:val="top"/>
          </w:tcPr>
          <w:p>
            <w:pPr>
              <w:spacing w:after="30"/>
            </w:pPr>
            <w:r>
              <w:rPr>
                <w:rFonts w:ascii="Aptos" w:hAnsi="Aptos"/>
                <w:color w:val="232D38"/>
                <w:sz w:val="14"/>
              </w:rPr>
              <w:t>Authoritative DB unavailable, core event flow stuck, material reconciliation break, required compliance service unavailable.</w:t>
            </w:r>
          </w:p>
        </w:tc>
        <w:tc>
          <w:tcPr>
            <w:tcW w:type="dxa" w:w="3331"/>
            <w:tcMar>
              <w:top w:w="80" w:type="dxa"/>
              <w:start w:w="90" w:type="dxa"/>
              <w:bottom w:w="80" w:type="dxa"/>
              <w:end w:w="90" w:type="dxa"/>
            </w:tcMar>
            <w:vAlign w:val="top"/>
          </w:tcPr>
          <w:p>
            <w:pPr>
              <w:spacing w:after="30"/>
            </w:pPr>
            <w:r>
              <w:rPr>
                <w:rFonts w:ascii="Aptos" w:hAnsi="Aptos"/>
                <w:color w:val="232D38"/>
                <w:sz w:val="14"/>
              </w:rPr>
              <w:t>Block affected flows or use only approved fallback; escalate; restore/reconcile before reopening.</w:t>
            </w:r>
          </w:p>
        </w:tc>
      </w:tr>
      <w:tr>
        <w:trPr>
          <w:cantSplit/>
        </w:trPr>
        <w:tc>
          <w:tcPr>
            <w:tcW w:type="dxa" w:w="3331"/>
            <w:tcMar>
              <w:top w:w="80" w:type="dxa"/>
              <w:start w:w="90" w:type="dxa"/>
              <w:bottom w:w="80" w:type="dxa"/>
              <w:end w:w="90" w:type="dxa"/>
            </w:tcMar>
            <w:vAlign w:val="top"/>
            <w:shd w:fill="F7F9FB"/>
          </w:tcPr>
          <w:p>
            <w:pPr>
              <w:spacing w:after="30"/>
            </w:pPr>
            <w:r>
              <w:rPr>
                <w:rFonts w:ascii="Aptos" w:hAnsi="Aptos"/>
                <w:color w:val="232D38"/>
                <w:sz w:val="14"/>
              </w:rPr>
              <w:t>SEV-2 / degraded</w:t>
            </w:r>
          </w:p>
        </w:tc>
        <w:tc>
          <w:tcPr>
            <w:tcW w:type="dxa" w:w="3331"/>
            <w:tcMar>
              <w:top w:w="80" w:type="dxa"/>
              <w:start w:w="90" w:type="dxa"/>
              <w:bottom w:w="80" w:type="dxa"/>
              <w:end w:w="90" w:type="dxa"/>
            </w:tcMar>
            <w:vAlign w:val="top"/>
            <w:shd w:fill="F7F9FB"/>
          </w:tcPr>
          <w:p>
            <w:pPr>
              <w:spacing w:after="30"/>
            </w:pPr>
            <w:r>
              <w:rPr>
                <w:rFonts w:ascii="Aptos" w:hAnsi="Aptos"/>
                <w:color w:val="232D38"/>
                <w:sz w:val="14"/>
              </w:rPr>
              <w:t>Projection delay, noncritical dashboard/report issue, bounded retry failure without integrity effect.</w:t>
            </w:r>
          </w:p>
        </w:tc>
        <w:tc>
          <w:tcPr>
            <w:tcW w:type="dxa" w:w="3331"/>
            <w:tcMar>
              <w:top w:w="80" w:type="dxa"/>
              <w:start w:w="90" w:type="dxa"/>
              <w:bottom w:w="80" w:type="dxa"/>
              <w:end w:w="90" w:type="dxa"/>
            </w:tcMar>
            <w:vAlign w:val="top"/>
            <w:shd w:fill="F7F9FB"/>
          </w:tcPr>
          <w:p>
            <w:pPr>
              <w:spacing w:after="30"/>
            </w:pPr>
            <w:r>
              <w:rPr>
                <w:rFonts w:ascii="Aptos" w:hAnsi="Aptos"/>
                <w:color w:val="232D38"/>
                <w:sz w:val="14"/>
              </w:rPr>
              <w:t>Degrade transparently, open case and remediate to agreed SLA.</w:t>
            </w:r>
          </w:p>
        </w:tc>
      </w:tr>
      <w:tr>
        <w:trPr>
          <w:cantSplit/>
        </w:trPr>
        <w:tc>
          <w:tcPr>
            <w:tcW w:type="dxa" w:w="3331"/>
            <w:tcMar>
              <w:top w:w="80" w:type="dxa"/>
              <w:start w:w="90" w:type="dxa"/>
              <w:bottom w:w="80" w:type="dxa"/>
              <w:end w:w="90" w:type="dxa"/>
            </w:tcMar>
            <w:vAlign w:val="top"/>
          </w:tcPr>
          <w:p>
            <w:pPr>
              <w:spacing w:after="30"/>
            </w:pPr>
            <w:r>
              <w:rPr>
                <w:rFonts w:ascii="Aptos" w:hAnsi="Aptos"/>
                <w:color w:val="232D38"/>
                <w:sz w:val="14"/>
              </w:rPr>
              <w:t>SEV-3 / minor</w:t>
            </w:r>
          </w:p>
        </w:tc>
        <w:tc>
          <w:tcPr>
            <w:tcW w:type="dxa" w:w="3331"/>
            <w:tcMar>
              <w:top w:w="80" w:type="dxa"/>
              <w:start w:w="90" w:type="dxa"/>
              <w:bottom w:w="80" w:type="dxa"/>
              <w:end w:w="90" w:type="dxa"/>
            </w:tcMar>
            <w:vAlign w:val="top"/>
          </w:tcPr>
          <w:p>
            <w:pPr>
              <w:spacing w:after="30"/>
            </w:pPr>
            <w:r>
              <w:rPr>
                <w:rFonts w:ascii="Aptos" w:hAnsi="Aptos"/>
                <w:color w:val="232D38"/>
                <w:sz w:val="14"/>
              </w:rPr>
              <w:t>Cosmetic defect with no control/financial impact.</w:t>
            </w:r>
          </w:p>
        </w:tc>
        <w:tc>
          <w:tcPr>
            <w:tcW w:type="dxa" w:w="3331"/>
            <w:tcMar>
              <w:top w:w="80" w:type="dxa"/>
              <w:start w:w="90" w:type="dxa"/>
              <w:bottom w:w="80" w:type="dxa"/>
              <w:end w:w="90" w:type="dxa"/>
            </w:tcMar>
            <w:vAlign w:val="top"/>
          </w:tcPr>
          <w:p>
            <w:pPr>
              <w:spacing w:after="30"/>
            </w:pPr>
            <w:r>
              <w:rPr>
                <w:rFonts w:ascii="Aptos" w:hAnsi="Aptos"/>
                <w:color w:val="232D38"/>
                <w:sz w:val="14"/>
              </w:rPr>
              <w:t>Track backlog and release after review.</w:t>
            </w:r>
          </w:p>
        </w:tc>
      </w:tr>
    </w:tbl>
    <w:p>
      <w:pPr>
        <w:spacing w:after="0"/>
      </w:pPr>
    </w:p>
    <w:p>
      <w:pPr>
        <w:pStyle w:val="Heading2"/>
      </w:pPr>
      <w:r>
        <w:t>7.7 Disaster recovery and wind-down</w:t>
      </w:r>
    </w:p>
    <w:p>
      <w:r>
        <w:rPr>
          <w:i w:val="0"/>
        </w:rPr>
        <w:t>For each dependency document backup/restore capability, tested RPO/RTO, activation authority, integrity checks, failback, communication and actual recovery evidence. Targets must reflect actual plan/configuration, not aspiration. Wind-down covers cessation, participant notice, transaction-state/evidence export, outstanding obligations, custodian continuity, keys, disputes, retention/deletion and an authorized successor where legally available.</w:t>
      </w:r>
    </w:p>
    <w:p>
      <w:pPr>
        <w:pStyle w:val="Heading1"/>
      </w:pPr>
      <w:r>
        <w:t>PART VIII — Commercial Strategy, Bank Value, GTM and Pilot Design</w:t>
      </w:r>
    </w:p>
    <w:p>
      <w:pPr>
        <w:pStyle w:val="Heading2"/>
      </w:pPr>
      <w:r>
        <w:t>8.1 Commercial thesis and moat hypothesis</w:t>
      </w:r>
    </w:p>
    <w:p>
      <w:r>
        <w:rPr>
          <w:i w:val="0"/>
        </w:rPr>
        <w:t>MITHQAL’s potential differentiator is not just a faster API or new unit. The moat hypothesis is Institutional Settlement Intelligence: an explainable combination of legal-obligation metadata, finality mapping, liquidity availability, counterparty exposure, policy-constrained routing, compliance orchestration/evidence, reconciliation, failure management and regulatory replay. This is unproven until a strategically useful bank/customer validates the problem, uses the product and demonstrates measured value.</w:t>
      </w:r>
    </w:p>
    <w:p>
      <w:pPr>
        <w:pStyle w:val="Heading2"/>
      </w:pPr>
      <w:r>
        <w:t>8.2 First buyer problem</w:t>
      </w:r>
    </w:p>
    <w:p>
      <w:r>
        <w:rPr>
          <w:i w:val="0"/>
        </w:rPr>
        <w:t>Choose the first design partner for a material, measurable settlement-coordination problem, integration readiness, executive ownership, legal/regulatory feasibility and willingness to share baseline data—not simply ease of contact. Start with one problem and one corridor. Do not call a corridor “best” until a documented comparison supports it.</w:t>
      </w:r>
    </w:p>
    <w:p>
      <w:pPr>
        <w:pStyle w:val="Heading2"/>
      </w:pPr>
      <w:r>
        <w:t>8.3 Corridor Pain Index (CPI)</w:t>
      </w:r>
    </w:p>
    <w:p>
      <w:r>
        <w:rPr>
          <w:i w:val="0"/>
        </w:rPr>
        <w:t>CPI ranks corridors for investigation. Legal/regulatory permission, data access and bank readiness are hard feasibility gates; high commercial score cannot offset them. Version the index and tag each input MEASURED, EXTERNAL_SOURCE, ASSUMED or UNKNOWN with source/date/sample/confidence.</w:t>
      </w:r>
    </w:p>
    <w:tbl>
      <w:tblPr>
        <w:tblStyle w:val="TableGrid"/>
        <w:tblW w:type="auto" w:w="0"/>
        <w:jc w:val="center"/>
        <w:tblLook w:firstColumn="1" w:firstRow="1" w:lastColumn="0" w:lastRow="0" w:noHBand="0" w:noVBand="1" w:val="04A0"/>
      </w:tblPr>
      <w:tblGrid>
        <w:gridCol w:w="3331"/>
        <w:gridCol w:w="3331"/>
        <w:gridCol w:w="3331"/>
      </w:tblGrid>
      <w:tr>
        <w:trPr>
          <w:tblHeader w:val="true"/>
          <w:cantSplit/>
        </w:trPr>
        <w:tc>
          <w:tcPr>
            <w:tcW w:type="dxa" w:w="2160"/>
            <w:shd w:fill="07111F"/>
            <w:tcMar>
              <w:top w:w="80" w:type="dxa"/>
              <w:start w:w="90" w:type="dxa"/>
              <w:bottom w:w="80" w:type="dxa"/>
              <w:end w:w="90" w:type="dxa"/>
            </w:tcMar>
            <w:vAlign w:val="center"/>
          </w:tcPr>
          <w:p>
            <w:r>
              <w:rPr>
                <w:rFonts w:ascii="Aptos" w:hAnsi="Aptos"/>
                <w:b/>
                <w:color w:val="FFFFFF"/>
                <w:sz w:val="14"/>
              </w:rPr>
              <w:t>Dimension</w:t>
            </w:r>
          </w:p>
        </w:tc>
        <w:tc>
          <w:tcPr>
            <w:tcW w:type="dxa" w:w="3960"/>
            <w:shd w:fill="07111F"/>
            <w:tcMar>
              <w:top w:w="80" w:type="dxa"/>
              <w:start w:w="90" w:type="dxa"/>
              <w:bottom w:w="80" w:type="dxa"/>
              <w:end w:w="90" w:type="dxa"/>
            </w:tcMar>
            <w:vAlign w:val="center"/>
          </w:tcPr>
          <w:p>
            <w:r>
              <w:rPr>
                <w:rFonts w:ascii="Aptos" w:hAnsi="Aptos"/>
                <w:b/>
                <w:color w:val="FFFFFF"/>
                <w:sz w:val="14"/>
              </w:rPr>
              <w:t>Possible measurement</w:t>
            </w:r>
          </w:p>
        </w:tc>
        <w:tc>
          <w:tcPr>
            <w:tcW w:type="dxa" w:w="3816"/>
            <w:shd w:fill="07111F"/>
            <w:tcMar>
              <w:top w:w="80" w:type="dxa"/>
              <w:start w:w="90" w:type="dxa"/>
              <w:bottom w:w="80" w:type="dxa"/>
              <w:end w:w="90" w:type="dxa"/>
            </w:tcMar>
            <w:vAlign w:val="center"/>
          </w:tcPr>
          <w:p>
            <w:r>
              <w:rPr>
                <w:rFonts w:ascii="Aptos" w:hAnsi="Aptos"/>
                <w:b/>
                <w:color w:val="FFFFFF"/>
                <w:sz w:val="14"/>
              </w:rPr>
              <w:t>Guardrail</w:t>
            </w:r>
          </w:p>
        </w:tc>
      </w:tr>
      <w:tr>
        <w:trPr>
          <w:cantSplit/>
        </w:trPr>
        <w:tc>
          <w:tcPr>
            <w:tcW w:type="dxa" w:w="3331"/>
            <w:tcMar>
              <w:top w:w="80" w:type="dxa"/>
              <w:start w:w="90" w:type="dxa"/>
              <w:bottom w:w="80" w:type="dxa"/>
              <w:end w:w="90" w:type="dxa"/>
            </w:tcMar>
            <w:vAlign w:val="top"/>
            <w:shd w:fill="F7F9FB"/>
          </w:tcPr>
          <w:p>
            <w:pPr>
              <w:spacing w:after="30"/>
            </w:pPr>
            <w:r>
              <w:rPr>
                <w:rFonts w:ascii="Aptos" w:hAnsi="Aptos"/>
                <w:color w:val="232D38"/>
                <w:sz w:val="14"/>
              </w:rPr>
              <w:t>Settlement friction</w:t>
            </w:r>
          </w:p>
        </w:tc>
        <w:tc>
          <w:tcPr>
            <w:tcW w:type="dxa" w:w="3331"/>
            <w:tcMar>
              <w:top w:w="80" w:type="dxa"/>
              <w:start w:w="90" w:type="dxa"/>
              <w:bottom w:w="80" w:type="dxa"/>
              <w:end w:w="90" w:type="dxa"/>
            </w:tcMar>
            <w:vAlign w:val="top"/>
            <w:shd w:fill="F7F9FB"/>
          </w:tcPr>
          <w:p>
            <w:pPr>
              <w:spacing w:after="30"/>
            </w:pPr>
            <w:r>
              <w:rPr>
                <w:rFonts w:ascii="Aptos" w:hAnsi="Aptos"/>
                <w:color w:val="232D38"/>
                <w:sz w:val="14"/>
              </w:rPr>
              <w:t>Median/p90 elapsed time, failure/return/repair rate, manual-intervention minutes.</w:t>
            </w:r>
          </w:p>
        </w:tc>
        <w:tc>
          <w:tcPr>
            <w:tcW w:type="dxa" w:w="3331"/>
            <w:tcMar>
              <w:top w:w="80" w:type="dxa"/>
              <w:start w:w="90" w:type="dxa"/>
              <w:bottom w:w="80" w:type="dxa"/>
              <w:end w:w="90" w:type="dxa"/>
            </w:tcMar>
            <w:vAlign w:val="top"/>
            <w:shd w:fill="F7F9FB"/>
          </w:tcPr>
          <w:p>
            <w:pPr>
              <w:spacing w:after="30"/>
            </w:pPr>
            <w:r>
              <w:rPr>
                <w:rFonts w:ascii="Aptos" w:hAnsi="Aptos"/>
                <w:color w:val="232D38"/>
                <w:sz w:val="14"/>
              </w:rPr>
              <w:t>Comparable definitions/time windows; include exceptions and outliers.</w:t>
            </w:r>
          </w:p>
        </w:tc>
      </w:tr>
      <w:tr>
        <w:trPr>
          <w:cantSplit/>
        </w:trPr>
        <w:tc>
          <w:tcPr>
            <w:tcW w:type="dxa" w:w="3331"/>
            <w:tcMar>
              <w:top w:w="80" w:type="dxa"/>
              <w:start w:w="90" w:type="dxa"/>
              <w:bottom w:w="80" w:type="dxa"/>
              <w:end w:w="90" w:type="dxa"/>
            </w:tcMar>
            <w:vAlign w:val="top"/>
          </w:tcPr>
          <w:p>
            <w:pPr>
              <w:spacing w:after="30"/>
            </w:pPr>
            <w:r>
              <w:rPr>
                <w:rFonts w:ascii="Aptos" w:hAnsi="Aptos"/>
                <w:color w:val="232D38"/>
                <w:sz w:val="14"/>
              </w:rPr>
              <w:t>Economic cost</w:t>
            </w:r>
          </w:p>
        </w:tc>
        <w:tc>
          <w:tcPr>
            <w:tcW w:type="dxa" w:w="3331"/>
            <w:tcMar>
              <w:top w:w="80" w:type="dxa"/>
              <w:start w:w="90" w:type="dxa"/>
              <w:bottom w:w="80" w:type="dxa"/>
              <w:end w:w="90" w:type="dxa"/>
            </w:tcMar>
            <w:vAlign w:val="top"/>
          </w:tcPr>
          <w:p>
            <w:pPr>
              <w:spacing w:after="30"/>
            </w:pPr>
            <w:r>
              <w:rPr>
                <w:rFonts w:ascii="Aptos" w:hAnsi="Aptos"/>
                <w:color w:val="232D38"/>
                <w:sz w:val="14"/>
              </w:rPr>
              <w:t>Bank/correspondent fees, FX spread, operational/exception cost and liquidity carry.</w:t>
            </w:r>
          </w:p>
        </w:tc>
        <w:tc>
          <w:tcPr>
            <w:tcW w:type="dxa" w:w="3331"/>
            <w:tcMar>
              <w:top w:w="80" w:type="dxa"/>
              <w:start w:w="90" w:type="dxa"/>
              <w:bottom w:w="80" w:type="dxa"/>
              <w:end w:w="90" w:type="dxa"/>
            </w:tcMar>
            <w:vAlign w:val="top"/>
          </w:tcPr>
          <w:p>
            <w:pPr>
              <w:spacing w:after="30"/>
            </w:pPr>
            <w:r>
              <w:rPr>
                <w:rFonts w:ascii="Aptos" w:hAnsi="Aptos"/>
                <w:color w:val="232D38"/>
                <w:sz w:val="14"/>
              </w:rPr>
              <w:t>No savings claim until baseline and target use comparable populations.</w:t>
            </w:r>
          </w:p>
        </w:tc>
      </w:tr>
      <w:tr>
        <w:trPr>
          <w:cantSplit/>
        </w:trPr>
        <w:tc>
          <w:tcPr>
            <w:tcW w:type="dxa" w:w="3331"/>
            <w:tcMar>
              <w:top w:w="80" w:type="dxa"/>
              <w:start w:w="90" w:type="dxa"/>
              <w:bottom w:w="80" w:type="dxa"/>
              <w:end w:w="90" w:type="dxa"/>
            </w:tcMar>
            <w:vAlign w:val="top"/>
            <w:shd w:fill="F7F9FB"/>
          </w:tcPr>
          <w:p>
            <w:pPr>
              <w:spacing w:after="30"/>
            </w:pPr>
            <w:r>
              <w:rPr>
                <w:rFonts w:ascii="Aptos" w:hAnsi="Aptos"/>
                <w:color w:val="232D38"/>
                <w:sz w:val="14"/>
              </w:rPr>
              <w:t>Liquidity timing</w:t>
            </w:r>
          </w:p>
        </w:tc>
        <w:tc>
          <w:tcPr>
            <w:tcW w:type="dxa" w:w="3331"/>
            <w:tcMar>
              <w:top w:w="80" w:type="dxa"/>
              <w:start w:w="90" w:type="dxa"/>
              <w:bottom w:w="80" w:type="dxa"/>
              <w:end w:w="90" w:type="dxa"/>
            </w:tcMar>
            <w:vAlign w:val="top"/>
            <w:shd w:fill="F7F9FB"/>
          </w:tcPr>
          <w:p>
            <w:pPr>
              <w:spacing w:after="30"/>
            </w:pPr>
            <w:r>
              <w:rPr>
                <w:rFonts w:ascii="Aptos" w:hAnsi="Aptos"/>
                <w:color w:val="232D38"/>
                <w:sz w:val="14"/>
              </w:rPr>
              <w:t>Amount/time balances held, cutoffs, funding windows, trapped liquidity and missed windows.</w:t>
            </w:r>
          </w:p>
        </w:tc>
        <w:tc>
          <w:tcPr>
            <w:tcW w:type="dxa" w:w="3331"/>
            <w:tcMar>
              <w:top w:w="80" w:type="dxa"/>
              <w:start w:w="90" w:type="dxa"/>
              <w:bottom w:w="80" w:type="dxa"/>
              <w:end w:w="90" w:type="dxa"/>
            </w:tcMar>
            <w:vAlign w:val="top"/>
            <w:shd w:fill="F7F9FB"/>
          </w:tcPr>
          <w:p>
            <w:pPr>
              <w:spacing w:after="30"/>
            </w:pPr>
            <w:r>
              <w:rPr>
                <w:rFonts w:ascii="Aptos" w:hAnsi="Aptos"/>
                <w:color w:val="232D38"/>
                <w:sz w:val="14"/>
              </w:rPr>
              <w:t>Nominal balances are not automatically available liquidity.</w:t>
            </w:r>
          </w:p>
        </w:tc>
      </w:tr>
      <w:tr>
        <w:trPr>
          <w:cantSplit/>
        </w:trPr>
        <w:tc>
          <w:tcPr>
            <w:tcW w:type="dxa" w:w="3331"/>
            <w:tcMar>
              <w:top w:w="80" w:type="dxa"/>
              <w:start w:w="90" w:type="dxa"/>
              <w:bottom w:w="80" w:type="dxa"/>
              <w:end w:w="90" w:type="dxa"/>
            </w:tcMar>
            <w:vAlign w:val="top"/>
          </w:tcPr>
          <w:p>
            <w:pPr>
              <w:spacing w:after="30"/>
            </w:pPr>
            <w:r>
              <w:rPr>
                <w:rFonts w:ascii="Aptos" w:hAnsi="Aptos"/>
                <w:color w:val="232D38"/>
                <w:sz w:val="14"/>
              </w:rPr>
              <w:t>Data/integration readiness</w:t>
            </w:r>
          </w:p>
        </w:tc>
        <w:tc>
          <w:tcPr>
            <w:tcW w:type="dxa" w:w="3331"/>
            <w:tcMar>
              <w:top w:w="80" w:type="dxa"/>
              <w:start w:w="90" w:type="dxa"/>
              <w:bottom w:w="80" w:type="dxa"/>
              <w:end w:w="90" w:type="dxa"/>
            </w:tcMar>
            <w:vAlign w:val="top"/>
          </w:tcPr>
          <w:p>
            <w:pPr>
              <w:spacing w:after="30"/>
            </w:pPr>
            <w:r>
              <w:rPr>
                <w:rFonts w:ascii="Aptos" w:hAnsi="Aptos"/>
                <w:color w:val="232D38"/>
                <w:sz w:val="14"/>
              </w:rPr>
              <w:t>Status events, API/SFTP/host-to-host paths, stable refs, reconciliation inputs.</w:t>
            </w:r>
          </w:p>
        </w:tc>
        <w:tc>
          <w:tcPr>
            <w:tcW w:type="dxa" w:w="3331"/>
            <w:tcMar>
              <w:top w:w="80" w:type="dxa"/>
              <w:start w:w="90" w:type="dxa"/>
              <w:bottom w:w="80" w:type="dxa"/>
              <w:end w:w="90" w:type="dxa"/>
            </w:tcMar>
            <w:vAlign w:val="top"/>
          </w:tcPr>
          <w:p>
            <w:pPr>
              <w:spacing w:after="30"/>
            </w:pPr>
            <w:r>
              <w:rPr>
                <w:rFonts w:ascii="Aptos" w:hAnsi="Aptos"/>
                <w:color w:val="232D38"/>
                <w:sz w:val="14"/>
              </w:rPr>
              <w:t>Inaccessible evidence can make an otherwise painful corridor infeasible.</w:t>
            </w:r>
          </w:p>
        </w:tc>
      </w:tr>
      <w:tr>
        <w:trPr>
          <w:cantSplit/>
        </w:trPr>
        <w:tc>
          <w:tcPr>
            <w:tcW w:type="dxa" w:w="3331"/>
            <w:tcMar>
              <w:top w:w="80" w:type="dxa"/>
              <w:start w:w="90" w:type="dxa"/>
              <w:bottom w:w="80" w:type="dxa"/>
              <w:end w:w="90" w:type="dxa"/>
            </w:tcMar>
            <w:vAlign w:val="top"/>
            <w:shd w:fill="F7F9FB"/>
          </w:tcPr>
          <w:p>
            <w:pPr>
              <w:spacing w:after="30"/>
            </w:pPr>
            <w:r>
              <w:rPr>
                <w:rFonts w:ascii="Aptos" w:hAnsi="Aptos"/>
                <w:color w:val="232D38"/>
                <w:sz w:val="14"/>
              </w:rPr>
              <w:t>Failure burden</w:t>
            </w:r>
          </w:p>
        </w:tc>
        <w:tc>
          <w:tcPr>
            <w:tcW w:type="dxa" w:w="3331"/>
            <w:tcMar>
              <w:top w:w="80" w:type="dxa"/>
              <w:start w:w="90" w:type="dxa"/>
              <w:bottom w:w="80" w:type="dxa"/>
              <w:end w:w="90" w:type="dxa"/>
            </w:tcMar>
            <w:vAlign w:val="top"/>
            <w:shd w:fill="F7F9FB"/>
          </w:tcPr>
          <w:p>
            <w:pPr>
              <w:spacing w:after="30"/>
            </w:pPr>
            <w:r>
              <w:rPr>
                <w:rFonts w:ascii="Aptos" w:hAnsi="Aptos"/>
                <w:color w:val="232D38"/>
                <w:sz w:val="14"/>
              </w:rPr>
              <w:t>Duplicates, missing references, reconciliation breaks, escalations and dispute cycles.</w:t>
            </w:r>
          </w:p>
        </w:tc>
        <w:tc>
          <w:tcPr>
            <w:tcW w:type="dxa" w:w="3331"/>
            <w:tcMar>
              <w:top w:w="80" w:type="dxa"/>
              <w:start w:w="90" w:type="dxa"/>
              <w:bottom w:w="80" w:type="dxa"/>
              <w:end w:w="90" w:type="dxa"/>
            </w:tcMar>
            <w:vAlign w:val="top"/>
            <w:shd w:fill="F7F9FB"/>
          </w:tcPr>
          <w:p>
            <w:pPr>
              <w:spacing w:after="30"/>
            </w:pPr>
            <w:r>
              <w:rPr>
                <w:rFonts w:ascii="Aptos" w:hAnsi="Aptos"/>
                <w:color w:val="232D38"/>
                <w:sz w:val="14"/>
              </w:rPr>
              <w:t>Avoid double-counting one incident across metrics.</w:t>
            </w:r>
          </w:p>
        </w:tc>
      </w:tr>
      <w:tr>
        <w:trPr>
          <w:cantSplit/>
        </w:trPr>
        <w:tc>
          <w:tcPr>
            <w:tcW w:type="dxa" w:w="3331"/>
            <w:tcMar>
              <w:top w:w="80" w:type="dxa"/>
              <w:start w:w="90" w:type="dxa"/>
              <w:bottom w:w="80" w:type="dxa"/>
              <w:end w:w="90" w:type="dxa"/>
            </w:tcMar>
            <w:vAlign w:val="top"/>
          </w:tcPr>
          <w:p>
            <w:pPr>
              <w:spacing w:after="30"/>
            </w:pPr>
            <w:r>
              <w:rPr>
                <w:rFonts w:ascii="Aptos" w:hAnsi="Aptos"/>
                <w:color w:val="232D38"/>
                <w:sz w:val="14"/>
              </w:rPr>
              <w:t>Strategic/partner fit</w:t>
            </w:r>
          </w:p>
        </w:tc>
        <w:tc>
          <w:tcPr>
            <w:tcW w:type="dxa" w:w="3331"/>
            <w:tcMar>
              <w:top w:w="80" w:type="dxa"/>
              <w:start w:w="90" w:type="dxa"/>
              <w:bottom w:w="80" w:type="dxa"/>
              <w:end w:w="90" w:type="dxa"/>
            </w:tcMar>
            <w:vAlign w:val="top"/>
          </w:tcPr>
          <w:p>
            <w:pPr>
              <w:spacing w:after="30"/>
            </w:pPr>
            <w:r>
              <w:rPr>
                <w:rFonts w:ascii="Aptos" w:hAnsi="Aptos"/>
                <w:color w:val="232D38"/>
                <w:sz w:val="14"/>
              </w:rPr>
              <w:t>Accountable sponsor, pilot authority, technical team, implementation appetite and willingness to review.</w:t>
            </w:r>
          </w:p>
        </w:tc>
        <w:tc>
          <w:tcPr>
            <w:tcW w:type="dxa" w:w="3331"/>
            <w:tcMar>
              <w:top w:w="80" w:type="dxa"/>
              <w:start w:w="90" w:type="dxa"/>
              <w:bottom w:w="80" w:type="dxa"/>
              <w:end w:w="90" w:type="dxa"/>
            </w:tcMar>
            <w:vAlign w:val="top"/>
          </w:tcPr>
          <w:p>
            <w:pPr>
              <w:spacing w:after="30"/>
            </w:pPr>
            <w:r>
              <w:rPr>
                <w:rFonts w:ascii="Aptos" w:hAnsi="Aptos"/>
                <w:color w:val="232D38"/>
                <w:sz w:val="14"/>
              </w:rPr>
              <w:t>Interest is not a contract; pipeline stages require evidence.</w:t>
            </w:r>
          </w:p>
        </w:tc>
      </w:tr>
    </w:tbl>
    <w:p>
      <w:pPr>
        <w:spacing w:after="0"/>
      </w:pPr>
    </w:p>
    <w:p>
      <w:r>
        <w:rPr>
          <w:i w:val="0"/>
        </w:rPr>
        <w:t>A weighted 0–100 formula may be used only after owner-approved weights/normalization rules are versioned. Do not rank with false numerical certainty when critical inputs are UNKNOWN. Display legal/operational feasibility separately from commercial score. Compare three to five candidates with limitations rather than inventing an optimized answer from missing data.</w:t>
      </w:r>
    </w:p>
    <w:p>
      <w:pPr>
        <w:pStyle w:val="Heading2"/>
      </w:pPr>
      <w:r>
        <w:t>8.4 Bank ROI and MITHQAL contribution</w:t>
      </w:r>
    </w:p>
    <w:p>
      <w:pPr>
        <w:keepLines/>
        <w:spacing w:before="100" w:after="120"/>
        <w:ind w:left="144" w:right="144"/>
        <w:shd w:fill="EEF2F6"/>
        <w:ind w:left="120" w:right="120"/>
        <w:pBdr>
          <w:top w:val="single" w:sz="5" w:space="5" w:color="CCD5DF"/>
          <w:left w:val="single" w:sz="5" w:space="5" w:color="CCD5DF"/>
          <w:bottom w:val="single" w:sz="5" w:space="5" w:color="CCD5DF"/>
          <w:right w:val="single" w:sz="5" w:space="5" w:color="CCD5DF"/>
        </w:pBdr>
      </w:pPr>
      <w:r>
        <w:rPr>
          <w:b/>
          <w:color w:val="07111F"/>
          <w:sz w:val="20"/>
        </w:rPr>
        <w:t>BANK VALUE FORMULA</w:t>
        <w:br/>
      </w:r>
      <w:r>
        <w:rPr>
          <w:color w:val="334155"/>
          <w:sz w:val="18"/>
        </w:rPr>
        <w:t>Bank ROI = measured FX savings + measured operating savings + measured liquidity benefits + substantiated new revenue − integration cost − ongoing compliance cost − risk/capital cost − maintenance/support cost.</w:t>
      </w:r>
    </w:p>
    <w:p>
      <w:pPr>
        <w:keepLines/>
        <w:spacing w:before="100" w:after="120"/>
        <w:ind w:left="144" w:right="144"/>
        <w:shd w:fill="EEF2F6"/>
        <w:ind w:left="120" w:right="120"/>
        <w:pBdr>
          <w:top w:val="single" w:sz="5" w:space="5" w:color="CCD5DF"/>
          <w:left w:val="single" w:sz="5" w:space="5" w:color="CCD5DF"/>
          <w:bottom w:val="single" w:sz="5" w:space="5" w:color="CCD5DF"/>
          <w:right w:val="single" w:sz="5" w:space="5" w:color="CCD5DF"/>
        </w:pBdr>
      </w:pPr>
      <w:r>
        <w:rPr>
          <w:b/>
          <w:color w:val="07111F"/>
          <w:sz w:val="20"/>
        </w:rPr>
        <w:t>MITHQAL CONTRIBUTION FORMULA</w:t>
        <w:br/>
      </w:r>
      <w:r>
        <w:rPr>
          <w:color w:val="334155"/>
          <w:sz w:val="18"/>
        </w:rPr>
        <w:t>Contribution margin = MITHQAL revenue − bank/provider costs − FX costs − liquidity costs − compliance costs − infrastructure costs − support costs − risk/insurance costs.</w:t>
      </w:r>
    </w:p>
    <w:p>
      <w:r>
        <w:rPr>
          <w:i w:val="0"/>
        </w:rPr>
        <w:t>Separate observed, sourced, assumed and unknown inputs; run sensitivity/break-even scenarios. Include integration effort, exception workload, actual latency, security review, procurement, compliance and operational ownership. Illustrative 7 bps or ~1.79-second figures in historic blueprint examples are simulated unless new evidence proves otherwise.</w:t>
      </w:r>
    </w:p>
    <w:p>
      <w:pPr>
        <w:pStyle w:val="Heading2"/>
      </w:pPr>
      <w:r>
        <w:t>8.5 Potential revenue streams and pricing constraints</w:t>
      </w:r>
    </w:p>
    <w:tbl>
      <w:tblPr>
        <w:tblStyle w:val="TableGrid"/>
        <w:tblW w:type="auto" w:w="0"/>
        <w:jc w:val="center"/>
        <w:tblLook w:firstColumn="1" w:firstRow="1" w:lastColumn="0" w:lastRow="0" w:noHBand="0" w:noVBand="1" w:val="04A0"/>
      </w:tblPr>
      <w:tblGrid>
        <w:gridCol w:w="4997"/>
        <w:gridCol w:w="4997"/>
      </w:tblGrid>
      <w:tr>
        <w:trPr>
          <w:tblHeader w:val="true"/>
          <w:cantSplit/>
        </w:trPr>
        <w:tc>
          <w:tcPr>
            <w:tcW w:type="dxa" w:w="2880"/>
            <w:shd w:fill="07111F"/>
            <w:tcMar>
              <w:top w:w="80" w:type="dxa"/>
              <w:start w:w="90" w:type="dxa"/>
              <w:bottom w:w="80" w:type="dxa"/>
              <w:end w:w="90" w:type="dxa"/>
            </w:tcMar>
            <w:vAlign w:val="center"/>
          </w:tcPr>
          <w:p>
            <w:r>
              <w:rPr>
                <w:rFonts w:ascii="Aptos" w:hAnsi="Aptos"/>
                <w:b/>
                <w:color w:val="FFFFFF"/>
                <w:sz w:val="15"/>
              </w:rPr>
              <w:t>Potential stream</w:t>
            </w:r>
          </w:p>
        </w:tc>
        <w:tc>
          <w:tcPr>
            <w:tcW w:type="dxa" w:w="7056"/>
            <w:shd w:fill="07111F"/>
            <w:tcMar>
              <w:top w:w="80" w:type="dxa"/>
              <w:start w:w="90" w:type="dxa"/>
              <w:bottom w:w="80" w:type="dxa"/>
              <w:end w:w="90" w:type="dxa"/>
            </w:tcMar>
            <w:vAlign w:val="center"/>
          </w:tcPr>
          <w:p>
            <w:r>
              <w:rPr>
                <w:rFonts w:ascii="Aptos" w:hAnsi="Aptos"/>
                <w:b/>
                <w:color w:val="FFFFFF"/>
                <w:sz w:val="15"/>
              </w:rPr>
              <w:t>Validation questions</w:t>
            </w:r>
          </w:p>
        </w:tc>
      </w:tr>
      <w:tr>
        <w:trPr>
          <w:cantSplit/>
        </w:trPr>
        <w:tc>
          <w:tcPr>
            <w:tcW w:type="dxa" w:w="4997"/>
            <w:tcMar>
              <w:top w:w="80" w:type="dxa"/>
              <w:start w:w="90" w:type="dxa"/>
              <w:bottom w:w="80" w:type="dxa"/>
              <w:end w:w="90" w:type="dxa"/>
            </w:tcMar>
            <w:vAlign w:val="top"/>
            <w:shd w:fill="F7F9FB"/>
          </w:tcPr>
          <w:p>
            <w:pPr>
              <w:spacing w:after="30"/>
            </w:pPr>
            <w:r>
              <w:rPr>
                <w:rFonts w:ascii="Aptos" w:hAnsi="Aptos"/>
                <w:color w:val="232D38"/>
                <w:sz w:val="15"/>
              </w:rPr>
              <w:t>Institutional origination/service fee</w:t>
            </w:r>
          </w:p>
        </w:tc>
        <w:tc>
          <w:tcPr>
            <w:tcW w:type="dxa" w:w="4997"/>
            <w:tcMar>
              <w:top w:w="80" w:type="dxa"/>
              <w:start w:w="90" w:type="dxa"/>
              <w:bottom w:w="80" w:type="dxa"/>
              <w:end w:w="90" w:type="dxa"/>
            </w:tcMar>
            <w:vAlign w:val="top"/>
            <w:shd w:fill="F7F9FB"/>
          </w:tcPr>
          <w:p>
            <w:pPr>
              <w:spacing w:after="30"/>
            </w:pPr>
            <w:r>
              <w:rPr>
                <w:rFonts w:ascii="Aptos" w:hAnsi="Aptos"/>
                <w:color w:val="232D38"/>
                <w:sz w:val="15"/>
              </w:rPr>
              <w:t>Who pays, what service is delivered, price basis, tax treatment and legal authority?</w:t>
            </w:r>
          </w:p>
        </w:tc>
      </w:tr>
      <w:tr>
        <w:trPr>
          <w:cantSplit/>
        </w:trPr>
        <w:tc>
          <w:tcPr>
            <w:tcW w:type="dxa" w:w="4997"/>
            <w:tcMar>
              <w:top w:w="80" w:type="dxa"/>
              <w:start w:w="90" w:type="dxa"/>
              <w:bottom w:w="80" w:type="dxa"/>
              <w:end w:w="90" w:type="dxa"/>
            </w:tcMar>
            <w:vAlign w:val="top"/>
          </w:tcPr>
          <w:p>
            <w:pPr>
              <w:spacing w:after="30"/>
            </w:pPr>
            <w:r>
              <w:rPr>
                <w:rFonts w:ascii="Aptos" w:hAnsi="Aptos"/>
                <w:color w:val="232D38"/>
                <w:sz w:val="15"/>
              </w:rPr>
              <w:t>Settlement orchestration fee</w:t>
            </w:r>
          </w:p>
        </w:tc>
        <w:tc>
          <w:tcPr>
            <w:tcW w:type="dxa" w:w="4997"/>
            <w:tcMar>
              <w:top w:w="80" w:type="dxa"/>
              <w:start w:w="90" w:type="dxa"/>
              <w:bottom w:w="80" w:type="dxa"/>
              <w:end w:w="90" w:type="dxa"/>
            </w:tcMar>
            <w:vAlign w:val="top"/>
          </w:tcPr>
          <w:p>
            <w:pPr>
              <w:spacing w:after="30"/>
            </w:pPr>
            <w:r>
              <w:rPr>
                <w:rFonts w:ascii="Aptos" w:hAnsi="Aptos"/>
                <w:color w:val="232D38"/>
                <w:sz w:val="15"/>
              </w:rPr>
              <w:t>What value is measured, who pays, competitor price and accepted liability?</w:t>
            </w:r>
          </w:p>
        </w:tc>
      </w:tr>
      <w:tr>
        <w:trPr>
          <w:cantSplit/>
        </w:trPr>
        <w:tc>
          <w:tcPr>
            <w:tcW w:type="dxa" w:w="4997"/>
            <w:tcMar>
              <w:top w:w="80" w:type="dxa"/>
              <w:start w:w="90" w:type="dxa"/>
              <w:bottom w:w="80" w:type="dxa"/>
              <w:end w:w="90" w:type="dxa"/>
            </w:tcMar>
            <w:vAlign w:val="top"/>
            <w:shd w:fill="F7F9FB"/>
          </w:tcPr>
          <w:p>
            <w:pPr>
              <w:spacing w:after="30"/>
            </w:pPr>
            <w:r>
              <w:rPr>
                <w:rFonts w:ascii="Aptos" w:hAnsi="Aptos"/>
                <w:color w:val="232D38"/>
                <w:sz w:val="15"/>
              </w:rPr>
              <w:t>Redemption/transfer fee</w:t>
            </w:r>
          </w:p>
        </w:tc>
        <w:tc>
          <w:tcPr>
            <w:tcW w:type="dxa" w:w="4997"/>
            <w:tcMar>
              <w:top w:w="80" w:type="dxa"/>
              <w:start w:w="90" w:type="dxa"/>
              <w:bottom w:w="80" w:type="dxa"/>
              <w:end w:w="90" w:type="dxa"/>
            </w:tcMar>
            <w:vAlign w:val="top"/>
            <w:shd w:fill="F7F9FB"/>
          </w:tcPr>
          <w:p>
            <w:pPr>
              <w:spacing w:after="30"/>
            </w:pPr>
            <w:r>
              <w:rPr>
                <w:rFonts w:ascii="Aptos" w:hAnsi="Aptos"/>
                <w:color w:val="232D38"/>
                <w:sz w:val="15"/>
              </w:rPr>
              <w:t>Is redemption legally available and does the fee conflict with holder rights/regulation?</w:t>
            </w:r>
          </w:p>
        </w:tc>
      </w:tr>
      <w:tr>
        <w:trPr>
          <w:cantSplit/>
        </w:trPr>
        <w:tc>
          <w:tcPr>
            <w:tcW w:type="dxa" w:w="4997"/>
            <w:tcMar>
              <w:top w:w="80" w:type="dxa"/>
              <w:start w:w="90" w:type="dxa"/>
              <w:bottom w:w="80" w:type="dxa"/>
              <w:end w:w="90" w:type="dxa"/>
            </w:tcMar>
            <w:vAlign w:val="top"/>
          </w:tcPr>
          <w:p>
            <w:pPr>
              <w:spacing w:after="30"/>
            </w:pPr>
            <w:r>
              <w:rPr>
                <w:rFonts w:ascii="Aptos" w:hAnsi="Aptos"/>
                <w:color w:val="232D38"/>
                <w:sz w:val="15"/>
              </w:rPr>
              <w:t>FX service/spread</w:t>
            </w:r>
          </w:p>
        </w:tc>
        <w:tc>
          <w:tcPr>
            <w:tcW w:type="dxa" w:w="4997"/>
            <w:tcMar>
              <w:top w:w="80" w:type="dxa"/>
              <w:start w:w="90" w:type="dxa"/>
              <w:bottom w:w="80" w:type="dxa"/>
              <w:end w:w="90" w:type="dxa"/>
            </w:tcMar>
            <w:vAlign w:val="top"/>
          </w:tcPr>
          <w:p>
            <w:pPr>
              <w:spacing w:after="30"/>
            </w:pPr>
            <w:r>
              <w:rPr>
                <w:rFonts w:ascii="Aptos" w:hAnsi="Aptos"/>
                <w:color w:val="232D38"/>
                <w:sz w:val="15"/>
              </w:rPr>
              <w:t>Which party provides FX, how are quotes disclosed and conflicts managed?</w:t>
            </w:r>
          </w:p>
        </w:tc>
      </w:tr>
      <w:tr>
        <w:trPr>
          <w:cantSplit/>
        </w:trPr>
        <w:tc>
          <w:tcPr>
            <w:tcW w:type="dxa" w:w="4997"/>
            <w:tcMar>
              <w:top w:w="80" w:type="dxa"/>
              <w:start w:w="90" w:type="dxa"/>
              <w:bottom w:w="80" w:type="dxa"/>
              <w:end w:w="90" w:type="dxa"/>
            </w:tcMar>
            <w:vAlign w:val="top"/>
            <w:shd w:fill="F7F9FB"/>
          </w:tcPr>
          <w:p>
            <w:pPr>
              <w:spacing w:after="30"/>
            </w:pPr>
            <w:r>
              <w:rPr>
                <w:rFonts w:ascii="Aptos" w:hAnsi="Aptos"/>
                <w:color w:val="232D38"/>
                <w:sz w:val="15"/>
              </w:rPr>
              <w:t>Treasury/liquidity service</w:t>
            </w:r>
          </w:p>
        </w:tc>
        <w:tc>
          <w:tcPr>
            <w:tcW w:type="dxa" w:w="4997"/>
            <w:tcMar>
              <w:top w:w="80" w:type="dxa"/>
              <w:start w:w="90" w:type="dxa"/>
              <w:bottom w:w="80" w:type="dxa"/>
              <w:end w:w="90" w:type="dxa"/>
            </w:tcMar>
            <w:vAlign w:val="top"/>
            <w:shd w:fill="F7F9FB"/>
          </w:tcPr>
          <w:p>
            <w:pPr>
              <w:spacing w:after="30"/>
            </w:pPr>
            <w:r>
              <w:rPr>
                <w:rFonts w:ascii="Aptos" w:hAnsi="Aptos"/>
                <w:color w:val="232D38"/>
                <w:sz w:val="15"/>
              </w:rPr>
              <w:t>Is the activity regulated, does it require prefunding, and who bears exposure/capital cost?</w:t>
            </w:r>
          </w:p>
        </w:tc>
      </w:tr>
      <w:tr>
        <w:trPr>
          <w:cantSplit/>
        </w:trPr>
        <w:tc>
          <w:tcPr>
            <w:tcW w:type="dxa" w:w="4997"/>
            <w:tcMar>
              <w:top w:w="80" w:type="dxa"/>
              <w:start w:w="90" w:type="dxa"/>
              <w:bottom w:w="80" w:type="dxa"/>
              <w:end w:w="90" w:type="dxa"/>
            </w:tcMar>
            <w:vAlign w:val="top"/>
          </w:tcPr>
          <w:p>
            <w:pPr>
              <w:spacing w:after="30"/>
            </w:pPr>
            <w:r>
              <w:rPr>
                <w:rFonts w:ascii="Aptos" w:hAnsi="Aptos"/>
                <w:color w:val="232D38"/>
                <w:sz w:val="15"/>
              </w:rPr>
              <w:t>Account/API/connectivity/integration</w:t>
            </w:r>
          </w:p>
        </w:tc>
        <w:tc>
          <w:tcPr>
            <w:tcW w:type="dxa" w:w="4997"/>
            <w:tcMar>
              <w:top w:w="80" w:type="dxa"/>
              <w:start w:w="90" w:type="dxa"/>
              <w:bottom w:w="80" w:type="dxa"/>
              <w:end w:w="90" w:type="dxa"/>
            </w:tcMar>
            <w:vAlign w:val="top"/>
          </w:tcPr>
          <w:p>
            <w:pPr>
              <w:spacing w:after="30"/>
            </w:pPr>
            <w:r>
              <w:rPr>
                <w:rFonts w:ascii="Aptos" w:hAnsi="Aptos"/>
                <w:color w:val="232D38"/>
                <w:sz w:val="15"/>
              </w:rPr>
              <w:t>Is there credible price benchmarking and an onboarding effort model?</w:t>
            </w:r>
          </w:p>
        </w:tc>
      </w:tr>
      <w:tr>
        <w:trPr>
          <w:cantSplit/>
        </w:trPr>
        <w:tc>
          <w:tcPr>
            <w:tcW w:type="dxa" w:w="4997"/>
            <w:tcMar>
              <w:top w:w="80" w:type="dxa"/>
              <w:start w:w="90" w:type="dxa"/>
              <w:bottom w:w="80" w:type="dxa"/>
              <w:end w:w="90" w:type="dxa"/>
            </w:tcMar>
            <w:vAlign w:val="top"/>
            <w:shd w:fill="F7F9FB"/>
          </w:tcPr>
          <w:p>
            <w:pPr>
              <w:spacing w:after="30"/>
            </w:pPr>
            <w:r>
              <w:rPr>
                <w:rFonts w:ascii="Aptos" w:hAnsi="Aptos"/>
                <w:color w:val="232D38"/>
                <w:sz w:val="15"/>
              </w:rPr>
              <w:t>Reconciliation/reporting/evidence</w:t>
            </w:r>
          </w:p>
        </w:tc>
        <w:tc>
          <w:tcPr>
            <w:tcW w:type="dxa" w:w="4997"/>
            <w:tcMar>
              <w:top w:w="80" w:type="dxa"/>
              <w:start w:w="90" w:type="dxa"/>
              <w:bottom w:w="80" w:type="dxa"/>
              <w:end w:w="90" w:type="dxa"/>
            </w:tcMar>
            <w:vAlign w:val="top"/>
            <w:shd w:fill="F7F9FB"/>
          </w:tcPr>
          <w:p>
            <w:pPr>
              <w:spacing w:after="30"/>
            </w:pPr>
            <w:r>
              <w:rPr>
                <w:rFonts w:ascii="Aptos" w:hAnsi="Aptos"/>
                <w:color w:val="232D38"/>
                <w:sz w:val="15"/>
              </w:rPr>
              <w:t>Which records are relied upon, what assurance is offered, and what scope limitations apply?</w:t>
            </w:r>
          </w:p>
        </w:tc>
      </w:tr>
      <w:tr>
        <w:trPr>
          <w:cantSplit/>
        </w:trPr>
        <w:tc>
          <w:tcPr>
            <w:tcW w:type="dxa" w:w="4997"/>
            <w:tcMar>
              <w:top w:w="80" w:type="dxa"/>
              <w:start w:w="90" w:type="dxa"/>
              <w:bottom w:w="80" w:type="dxa"/>
              <w:end w:w="90" w:type="dxa"/>
            </w:tcMar>
            <w:vAlign w:val="top"/>
          </w:tcPr>
          <w:p>
            <w:pPr>
              <w:spacing w:after="30"/>
            </w:pPr>
            <w:r>
              <w:rPr>
                <w:rFonts w:ascii="Aptos" w:hAnsi="Aptos"/>
                <w:color w:val="232D38"/>
                <w:sz w:val="15"/>
              </w:rPr>
              <w:t>Administration/support</w:t>
            </w:r>
          </w:p>
        </w:tc>
        <w:tc>
          <w:tcPr>
            <w:tcW w:type="dxa" w:w="4997"/>
            <w:tcMar>
              <w:top w:w="80" w:type="dxa"/>
              <w:start w:w="90" w:type="dxa"/>
              <w:bottom w:w="80" w:type="dxa"/>
              <w:end w:w="90" w:type="dxa"/>
            </w:tcMar>
            <w:vAlign w:val="top"/>
          </w:tcPr>
          <w:p>
            <w:pPr>
              <w:spacing w:after="30"/>
            </w:pPr>
            <w:r>
              <w:rPr>
                <w:rFonts w:ascii="Aptos" w:hAnsi="Aptos"/>
                <w:color w:val="232D38"/>
                <w:sz w:val="15"/>
              </w:rPr>
              <w:t>What SLAs and costs are included, especially during exceptions/incidents?</w:t>
            </w:r>
          </w:p>
        </w:tc>
      </w:tr>
    </w:tbl>
    <w:p>
      <w:pPr>
        <w:spacing w:after="0"/>
      </w:pPr>
    </w:p>
    <w:p>
      <w:pPr>
        <w:pStyle w:val="ListBullet"/>
        <w:spacing w:after="50"/>
      </w:pPr>
      <w:r>
        <w:t>Keep pricing modular: platform access, route/transaction, integration/onboarding, reporting/evidence and premium support as candidates.</w:t>
      </w:r>
    </w:p>
    <w:p>
      <w:pPr>
        <w:pStyle w:val="ListBullet"/>
        <w:spacing w:after="50"/>
      </w:pPr>
      <w:r>
        <w:t>State fixed, usage-based, transaction-based or outcome-linked terms; do not price against “savings share” before savings are measured.</w:t>
      </w:r>
    </w:p>
    <w:p>
      <w:pPr>
        <w:pStyle w:val="ListBullet"/>
        <w:spacing w:after="50"/>
      </w:pPr>
      <w:r>
        <w:t>Separate provider pass-through fees, bank fees, MITHQAL fees and FX economics.</w:t>
      </w:r>
    </w:p>
    <w:p>
      <w:pPr>
        <w:pStyle w:val="ListBullet"/>
        <w:spacing w:after="50"/>
      </w:pPr>
      <w:r>
        <w:t>Run sensitivity for volume, corridors, exceptions, support, fraud/operational loss and counterparty concentration.</w:t>
      </w:r>
    </w:p>
    <w:p>
      <w:pPr>
        <w:pStyle w:val="ListBullet"/>
        <w:spacing w:after="50"/>
      </w:pPr>
      <w:r>
        <w:t>Do not assume token price appreciation, trading demand or MTQ issuance revenue as core business model.</w:t>
      </w:r>
    </w:p>
    <w:p>
      <w:pPr>
        <w:pStyle w:val="ListBullet"/>
        <w:spacing w:after="50"/>
      </w:pPr>
      <w:r>
        <w:t>Obtain counsel review where pricing touches payment, custody, financial promotion, token or outsourcing rules.</w:t>
      </w:r>
    </w:p>
    <w:p>
      <w:pPr>
        <w:pStyle w:val="Heading2"/>
      </w:pPr>
      <w:r>
        <w:t>8.6 Design-partner bank pipeline</w:t>
      </w:r>
    </w:p>
    <w:tbl>
      <w:tblPr>
        <w:tblStyle w:val="TableGrid"/>
        <w:tblW w:type="auto" w:w="0"/>
        <w:jc w:val="center"/>
        <w:tblLook w:firstColumn="1" w:firstRow="1" w:lastColumn="0" w:lastRow="0" w:noHBand="0" w:noVBand="1" w:val="04A0"/>
      </w:tblPr>
      <w:tblGrid>
        <w:gridCol w:w="4997"/>
        <w:gridCol w:w="4997"/>
      </w:tblGrid>
      <w:tr>
        <w:trPr>
          <w:tblHeader w:val="true"/>
          <w:cantSplit/>
        </w:trPr>
        <w:tc>
          <w:tcPr>
            <w:tcW w:type="dxa" w:w="2592"/>
            <w:shd w:fill="07111F"/>
            <w:tcMar>
              <w:top w:w="80" w:type="dxa"/>
              <w:start w:w="90" w:type="dxa"/>
              <w:bottom w:w="80" w:type="dxa"/>
              <w:end w:w="90" w:type="dxa"/>
            </w:tcMar>
            <w:vAlign w:val="center"/>
          </w:tcPr>
          <w:p>
            <w:r>
              <w:rPr>
                <w:rFonts w:ascii="Aptos" w:hAnsi="Aptos"/>
                <w:b/>
                <w:color w:val="FFFFFF"/>
                <w:sz w:val="14"/>
              </w:rPr>
              <w:t>Stage</w:t>
            </w:r>
          </w:p>
        </w:tc>
        <w:tc>
          <w:tcPr>
            <w:tcW w:type="dxa" w:w="7344"/>
            <w:shd w:fill="07111F"/>
            <w:tcMar>
              <w:top w:w="80" w:type="dxa"/>
              <w:start w:w="90" w:type="dxa"/>
              <w:bottom w:w="80" w:type="dxa"/>
              <w:end w:w="90" w:type="dxa"/>
            </w:tcMar>
            <w:vAlign w:val="center"/>
          </w:tcPr>
          <w:p>
            <w:r>
              <w:rPr>
                <w:rFonts w:ascii="Aptos" w:hAnsi="Aptos"/>
                <w:b/>
                <w:color w:val="FFFFFF"/>
                <w:sz w:val="14"/>
              </w:rPr>
              <w:t>Entry evidence / exit criterion</w:t>
            </w:r>
          </w:p>
        </w:tc>
      </w:tr>
      <w:tr>
        <w:trPr>
          <w:cantSplit/>
        </w:trPr>
        <w:tc>
          <w:tcPr>
            <w:tcW w:type="dxa" w:w="4997"/>
            <w:tcMar>
              <w:top w:w="80" w:type="dxa"/>
              <w:start w:w="90" w:type="dxa"/>
              <w:bottom w:w="80" w:type="dxa"/>
              <w:end w:w="90" w:type="dxa"/>
            </w:tcMar>
            <w:vAlign w:val="top"/>
            <w:shd w:fill="F7F9FB"/>
          </w:tcPr>
          <w:p>
            <w:pPr>
              <w:spacing w:after="30"/>
            </w:pPr>
            <w:r>
              <w:rPr>
                <w:rFonts w:ascii="Aptos" w:hAnsi="Aptos"/>
                <w:color w:val="232D38"/>
                <w:sz w:val="14"/>
              </w:rPr>
              <w:t>RESEARCHED</w:t>
            </w:r>
          </w:p>
        </w:tc>
        <w:tc>
          <w:tcPr>
            <w:tcW w:type="dxa" w:w="4997"/>
            <w:tcMar>
              <w:top w:w="80" w:type="dxa"/>
              <w:start w:w="90" w:type="dxa"/>
              <w:bottom w:w="80" w:type="dxa"/>
              <w:end w:w="90" w:type="dxa"/>
            </w:tcMar>
            <w:vAlign w:val="top"/>
            <w:shd w:fill="F7F9FB"/>
          </w:tcPr>
          <w:p>
            <w:pPr>
              <w:spacing w:after="30"/>
            </w:pPr>
            <w:r>
              <w:rPr>
                <w:rFonts w:ascii="Aptos" w:hAnsi="Aptos"/>
                <w:color w:val="232D38"/>
                <w:sz w:val="14"/>
              </w:rPr>
              <w:t>Named institution/problem hypothesis from credible sources; no implication of interest.</w:t>
            </w:r>
          </w:p>
        </w:tc>
      </w:tr>
      <w:tr>
        <w:trPr>
          <w:cantSplit/>
        </w:trPr>
        <w:tc>
          <w:tcPr>
            <w:tcW w:type="dxa" w:w="4997"/>
            <w:tcMar>
              <w:top w:w="80" w:type="dxa"/>
              <w:start w:w="90" w:type="dxa"/>
              <w:bottom w:w="80" w:type="dxa"/>
              <w:end w:w="90" w:type="dxa"/>
            </w:tcMar>
            <w:vAlign w:val="top"/>
          </w:tcPr>
          <w:p>
            <w:pPr>
              <w:spacing w:after="30"/>
            </w:pPr>
            <w:r>
              <w:rPr>
                <w:rFonts w:ascii="Aptos" w:hAnsi="Aptos"/>
                <w:color w:val="232D38"/>
                <w:sz w:val="14"/>
              </w:rPr>
              <w:t>TARGET</w:t>
            </w:r>
          </w:p>
        </w:tc>
        <w:tc>
          <w:tcPr>
            <w:tcW w:type="dxa" w:w="4997"/>
            <w:tcMar>
              <w:top w:w="80" w:type="dxa"/>
              <w:start w:w="90" w:type="dxa"/>
              <w:bottom w:w="80" w:type="dxa"/>
              <w:end w:w="90" w:type="dxa"/>
            </w:tcMar>
            <w:vAlign w:val="top"/>
          </w:tcPr>
          <w:p>
            <w:pPr>
              <w:spacing w:after="30"/>
            </w:pPr>
            <w:r>
              <w:rPr>
                <w:rFonts w:ascii="Aptos" w:hAnsi="Aptos"/>
                <w:color w:val="232D38"/>
                <w:sz w:val="14"/>
              </w:rPr>
              <w:t>Fit scoring, relevant team, corridor/integration hypothesis and accountable internal owner.</w:t>
            </w:r>
          </w:p>
        </w:tc>
      </w:tr>
      <w:tr>
        <w:trPr>
          <w:cantSplit/>
        </w:trPr>
        <w:tc>
          <w:tcPr>
            <w:tcW w:type="dxa" w:w="4997"/>
            <w:tcMar>
              <w:top w:w="80" w:type="dxa"/>
              <w:start w:w="90" w:type="dxa"/>
              <w:bottom w:w="80" w:type="dxa"/>
              <w:end w:w="90" w:type="dxa"/>
            </w:tcMar>
            <w:vAlign w:val="top"/>
            <w:shd w:fill="F7F9FB"/>
          </w:tcPr>
          <w:p>
            <w:pPr>
              <w:spacing w:after="30"/>
            </w:pPr>
            <w:r>
              <w:rPr>
                <w:rFonts w:ascii="Aptos" w:hAnsi="Aptos"/>
                <w:color w:val="232D38"/>
                <w:sz w:val="14"/>
              </w:rPr>
              <w:t>CONTACTED</w:t>
            </w:r>
          </w:p>
        </w:tc>
        <w:tc>
          <w:tcPr>
            <w:tcW w:type="dxa" w:w="4997"/>
            <w:tcMar>
              <w:top w:w="80" w:type="dxa"/>
              <w:start w:w="90" w:type="dxa"/>
              <w:bottom w:w="80" w:type="dxa"/>
              <w:end w:w="90" w:type="dxa"/>
            </w:tcMar>
            <w:vAlign w:val="top"/>
            <w:shd w:fill="F7F9FB"/>
          </w:tcPr>
          <w:p>
            <w:pPr>
              <w:spacing w:after="30"/>
            </w:pPr>
            <w:r>
              <w:rPr>
                <w:rFonts w:ascii="Aptos" w:hAnsi="Aptos"/>
                <w:color w:val="232D38"/>
                <w:sz w:val="14"/>
              </w:rPr>
              <w:t>Dated outreach and permitted contact data.</w:t>
            </w:r>
          </w:p>
        </w:tc>
      </w:tr>
      <w:tr>
        <w:trPr>
          <w:cantSplit/>
        </w:trPr>
        <w:tc>
          <w:tcPr>
            <w:tcW w:type="dxa" w:w="4997"/>
            <w:tcMar>
              <w:top w:w="80" w:type="dxa"/>
              <w:start w:w="90" w:type="dxa"/>
              <w:bottom w:w="80" w:type="dxa"/>
              <w:end w:w="90" w:type="dxa"/>
            </w:tcMar>
            <w:vAlign w:val="top"/>
          </w:tcPr>
          <w:p>
            <w:pPr>
              <w:spacing w:after="30"/>
            </w:pPr>
            <w:r>
              <w:rPr>
                <w:rFonts w:ascii="Aptos" w:hAnsi="Aptos"/>
                <w:color w:val="232D38"/>
                <w:sz w:val="14"/>
              </w:rPr>
              <w:t>QUALIFIED</w:t>
            </w:r>
          </w:p>
        </w:tc>
        <w:tc>
          <w:tcPr>
            <w:tcW w:type="dxa" w:w="4997"/>
            <w:tcMar>
              <w:top w:w="80" w:type="dxa"/>
              <w:start w:w="90" w:type="dxa"/>
              <w:bottom w:w="80" w:type="dxa"/>
              <w:end w:w="90" w:type="dxa"/>
            </w:tcMar>
            <w:vAlign w:val="top"/>
          </w:tcPr>
          <w:p>
            <w:pPr>
              <w:spacing w:after="30"/>
            </w:pPr>
            <w:r>
              <w:rPr>
                <w:rFonts w:ascii="Aptos" w:hAnsi="Aptos"/>
                <w:color w:val="232D38"/>
                <w:sz w:val="14"/>
              </w:rPr>
              <w:t>Confirmed problem, sponsor, preliminary fit and willingness to share discovery data.</w:t>
            </w:r>
          </w:p>
        </w:tc>
      </w:tr>
      <w:tr>
        <w:trPr>
          <w:cantSplit/>
        </w:trPr>
        <w:tc>
          <w:tcPr>
            <w:tcW w:type="dxa" w:w="4997"/>
            <w:tcMar>
              <w:top w:w="80" w:type="dxa"/>
              <w:start w:w="90" w:type="dxa"/>
              <w:bottom w:w="80" w:type="dxa"/>
              <w:end w:w="90" w:type="dxa"/>
            </w:tcMar>
            <w:vAlign w:val="top"/>
            <w:shd w:fill="F7F9FB"/>
          </w:tcPr>
          <w:p>
            <w:pPr>
              <w:spacing w:after="30"/>
            </w:pPr>
            <w:r>
              <w:rPr>
                <w:rFonts w:ascii="Aptos" w:hAnsi="Aptos"/>
                <w:color w:val="232D38"/>
                <w:sz w:val="14"/>
              </w:rPr>
              <w:t>EXECUTIVE_INTEREST</w:t>
            </w:r>
          </w:p>
        </w:tc>
        <w:tc>
          <w:tcPr>
            <w:tcW w:type="dxa" w:w="4997"/>
            <w:tcMar>
              <w:top w:w="80" w:type="dxa"/>
              <w:start w:w="90" w:type="dxa"/>
              <w:bottom w:w="80" w:type="dxa"/>
              <w:end w:w="90" w:type="dxa"/>
            </w:tcMar>
            <w:vAlign w:val="top"/>
            <w:shd w:fill="F7F9FB"/>
          </w:tcPr>
          <w:p>
            <w:pPr>
              <w:spacing w:after="30"/>
            </w:pPr>
            <w:r>
              <w:rPr>
                <w:rFonts w:ascii="Aptos" w:hAnsi="Aptos"/>
                <w:color w:val="232D38"/>
                <w:sz w:val="14"/>
              </w:rPr>
              <w:t>Explicit recorded interest in evaluation; not contract or approval.</w:t>
            </w:r>
          </w:p>
        </w:tc>
      </w:tr>
      <w:tr>
        <w:trPr>
          <w:cantSplit/>
        </w:trPr>
        <w:tc>
          <w:tcPr>
            <w:tcW w:type="dxa" w:w="4997"/>
            <w:tcMar>
              <w:top w:w="80" w:type="dxa"/>
              <w:start w:w="90" w:type="dxa"/>
              <w:bottom w:w="80" w:type="dxa"/>
              <w:end w:w="90" w:type="dxa"/>
            </w:tcMar>
            <w:vAlign w:val="top"/>
          </w:tcPr>
          <w:p>
            <w:pPr>
              <w:spacing w:after="30"/>
            </w:pPr>
            <w:r>
              <w:rPr>
                <w:rFonts w:ascii="Aptos" w:hAnsi="Aptos"/>
                <w:color w:val="232D38"/>
                <w:sz w:val="14"/>
              </w:rPr>
              <w:t>ARCHITECTURE_REVIEW</w:t>
            </w:r>
          </w:p>
        </w:tc>
        <w:tc>
          <w:tcPr>
            <w:tcW w:type="dxa" w:w="4997"/>
            <w:tcMar>
              <w:top w:w="80" w:type="dxa"/>
              <w:start w:w="90" w:type="dxa"/>
              <w:bottom w:w="80" w:type="dxa"/>
              <w:end w:w="90" w:type="dxa"/>
            </w:tcMar>
            <w:vAlign w:val="top"/>
          </w:tcPr>
          <w:p>
            <w:pPr>
              <w:spacing w:after="30"/>
            </w:pPr>
            <w:r>
              <w:rPr>
                <w:rFonts w:ascii="Aptos" w:hAnsi="Aptos"/>
                <w:color w:val="232D38"/>
                <w:sz w:val="14"/>
              </w:rPr>
              <w:t>Named technical/risk stakeholders and questions reviewed.</w:t>
            </w:r>
          </w:p>
        </w:tc>
      </w:tr>
      <w:tr>
        <w:trPr>
          <w:cantSplit/>
        </w:trPr>
        <w:tc>
          <w:tcPr>
            <w:tcW w:type="dxa" w:w="4997"/>
            <w:tcMar>
              <w:top w:w="80" w:type="dxa"/>
              <w:start w:w="90" w:type="dxa"/>
              <w:bottom w:w="80" w:type="dxa"/>
              <w:end w:w="90" w:type="dxa"/>
            </w:tcMar>
            <w:vAlign w:val="top"/>
            <w:shd w:fill="F7F9FB"/>
          </w:tcPr>
          <w:p>
            <w:pPr>
              <w:spacing w:after="30"/>
            </w:pPr>
            <w:r>
              <w:rPr>
                <w:rFonts w:ascii="Aptos" w:hAnsi="Aptos"/>
                <w:color w:val="232D38"/>
                <w:sz w:val="14"/>
              </w:rPr>
              <w:t>LEGAL_REVIEW</w:t>
            </w:r>
          </w:p>
        </w:tc>
        <w:tc>
          <w:tcPr>
            <w:tcW w:type="dxa" w:w="4997"/>
            <w:tcMar>
              <w:top w:w="80" w:type="dxa"/>
              <w:start w:w="90" w:type="dxa"/>
              <w:bottom w:w="80" w:type="dxa"/>
              <w:end w:w="90" w:type="dxa"/>
            </w:tcMar>
            <w:vAlign w:val="top"/>
            <w:shd w:fill="F7F9FB"/>
          </w:tcPr>
          <w:p>
            <w:pPr>
              <w:spacing w:after="30"/>
            </w:pPr>
            <w:r>
              <w:rPr>
                <w:rFonts w:ascii="Aptos" w:hAnsi="Aptos"/>
                <w:color w:val="232D38"/>
                <w:sz w:val="14"/>
              </w:rPr>
              <w:t>Legal team reviews scoped materials; no presumption of favorable opinion.</w:t>
            </w:r>
          </w:p>
        </w:tc>
      </w:tr>
      <w:tr>
        <w:trPr>
          <w:cantSplit/>
        </w:trPr>
        <w:tc>
          <w:tcPr>
            <w:tcW w:type="dxa" w:w="4997"/>
            <w:tcMar>
              <w:top w:w="80" w:type="dxa"/>
              <w:start w:w="90" w:type="dxa"/>
              <w:bottom w:w="80" w:type="dxa"/>
              <w:end w:w="90" w:type="dxa"/>
            </w:tcMar>
            <w:vAlign w:val="top"/>
          </w:tcPr>
          <w:p>
            <w:pPr>
              <w:spacing w:after="30"/>
            </w:pPr>
            <w:r>
              <w:rPr>
                <w:rFonts w:ascii="Aptos" w:hAnsi="Aptos"/>
                <w:color w:val="232D38"/>
                <w:sz w:val="14"/>
              </w:rPr>
              <w:t>PILOT_DESIGN</w:t>
            </w:r>
          </w:p>
        </w:tc>
        <w:tc>
          <w:tcPr>
            <w:tcW w:type="dxa" w:w="4997"/>
            <w:tcMar>
              <w:top w:w="80" w:type="dxa"/>
              <w:start w:w="90" w:type="dxa"/>
              <w:bottom w:w="80" w:type="dxa"/>
              <w:end w:w="90" w:type="dxa"/>
            </w:tcMar>
            <w:vAlign w:val="top"/>
          </w:tcPr>
          <w:p>
            <w:pPr>
              <w:spacing w:after="30"/>
            </w:pPr>
            <w:r>
              <w:rPr>
                <w:rFonts w:ascii="Aptos" w:hAnsi="Aptos"/>
                <w:color w:val="232D38"/>
                <w:sz w:val="14"/>
              </w:rPr>
              <w:t>Agreed problem, corridor, data, environment, controls, metrics and no-go limits.</w:t>
            </w:r>
          </w:p>
        </w:tc>
      </w:tr>
      <w:tr>
        <w:trPr>
          <w:cantSplit/>
        </w:trPr>
        <w:tc>
          <w:tcPr>
            <w:tcW w:type="dxa" w:w="4997"/>
            <w:tcMar>
              <w:top w:w="80" w:type="dxa"/>
              <w:start w:w="90" w:type="dxa"/>
              <w:bottom w:w="80" w:type="dxa"/>
              <w:end w:w="90" w:type="dxa"/>
            </w:tcMar>
            <w:vAlign w:val="top"/>
            <w:shd w:fill="F7F9FB"/>
          </w:tcPr>
          <w:p>
            <w:pPr>
              <w:spacing w:after="30"/>
            </w:pPr>
            <w:r>
              <w:rPr>
                <w:rFonts w:ascii="Aptos" w:hAnsi="Aptos"/>
                <w:color w:val="232D38"/>
                <w:sz w:val="14"/>
              </w:rPr>
              <w:t>COMMERCIAL_REVIEW</w:t>
            </w:r>
          </w:p>
        </w:tc>
        <w:tc>
          <w:tcPr>
            <w:tcW w:type="dxa" w:w="4997"/>
            <w:tcMar>
              <w:top w:w="80" w:type="dxa"/>
              <w:start w:w="90" w:type="dxa"/>
              <w:bottom w:w="80" w:type="dxa"/>
              <w:end w:w="90" w:type="dxa"/>
            </w:tcMar>
            <w:vAlign w:val="top"/>
            <w:shd w:fill="F7F9FB"/>
          </w:tcPr>
          <w:p>
            <w:pPr>
              <w:spacing w:after="30"/>
            </w:pPr>
            <w:r>
              <w:rPr>
                <w:rFonts w:ascii="Aptos" w:hAnsi="Aptos"/>
                <w:color w:val="232D38"/>
                <w:sz w:val="14"/>
              </w:rPr>
              <w:t>Pricing, support, liability, integration resources and benefit measurement discussed.</w:t>
            </w:r>
          </w:p>
        </w:tc>
      </w:tr>
      <w:tr>
        <w:trPr>
          <w:cantSplit/>
        </w:trPr>
        <w:tc>
          <w:tcPr>
            <w:tcW w:type="dxa" w:w="4997"/>
            <w:tcMar>
              <w:top w:w="80" w:type="dxa"/>
              <w:start w:w="90" w:type="dxa"/>
              <w:bottom w:w="80" w:type="dxa"/>
              <w:end w:w="90" w:type="dxa"/>
            </w:tcMar>
            <w:vAlign w:val="top"/>
          </w:tcPr>
          <w:p>
            <w:pPr>
              <w:spacing w:after="30"/>
            </w:pPr>
            <w:r>
              <w:rPr>
                <w:rFonts w:ascii="Aptos" w:hAnsi="Aptos"/>
                <w:color w:val="232D38"/>
                <w:sz w:val="14"/>
              </w:rPr>
              <w:t>PILOT_NEGOTIATION</w:t>
            </w:r>
          </w:p>
        </w:tc>
        <w:tc>
          <w:tcPr>
            <w:tcW w:type="dxa" w:w="4997"/>
            <w:tcMar>
              <w:top w:w="80" w:type="dxa"/>
              <w:start w:w="90" w:type="dxa"/>
              <w:bottom w:w="80" w:type="dxa"/>
              <w:end w:w="90" w:type="dxa"/>
            </w:tcMar>
            <w:vAlign w:val="top"/>
          </w:tcPr>
          <w:p>
            <w:pPr>
              <w:spacing w:after="30"/>
            </w:pPr>
            <w:r>
              <w:rPr>
                <w:rFonts w:ascii="Aptos" w:hAnsi="Aptos"/>
                <w:color w:val="232D38"/>
                <w:sz w:val="14"/>
              </w:rPr>
              <w:t>Draft scope/terms, redlines, governance and approval steps.</w:t>
            </w:r>
          </w:p>
        </w:tc>
      </w:tr>
      <w:tr>
        <w:trPr>
          <w:cantSplit/>
        </w:trPr>
        <w:tc>
          <w:tcPr>
            <w:tcW w:type="dxa" w:w="4997"/>
            <w:tcMar>
              <w:top w:w="80" w:type="dxa"/>
              <w:start w:w="90" w:type="dxa"/>
              <w:bottom w:w="80" w:type="dxa"/>
              <w:end w:w="90" w:type="dxa"/>
            </w:tcMar>
            <w:vAlign w:val="top"/>
            <w:shd w:fill="F7F9FB"/>
          </w:tcPr>
          <w:p>
            <w:pPr>
              <w:spacing w:after="30"/>
            </w:pPr>
            <w:r>
              <w:rPr>
                <w:rFonts w:ascii="Aptos" w:hAnsi="Aptos"/>
                <w:color w:val="232D38"/>
                <w:sz w:val="14"/>
              </w:rPr>
              <w:t>CONTRACTED</w:t>
            </w:r>
          </w:p>
        </w:tc>
        <w:tc>
          <w:tcPr>
            <w:tcW w:type="dxa" w:w="4997"/>
            <w:tcMar>
              <w:top w:w="80" w:type="dxa"/>
              <w:start w:w="90" w:type="dxa"/>
              <w:bottom w:w="80" w:type="dxa"/>
              <w:end w:w="90" w:type="dxa"/>
            </w:tcMar>
            <w:vAlign w:val="top"/>
            <w:shd w:fill="F7F9FB"/>
          </w:tcPr>
          <w:p>
            <w:pPr>
              <w:spacing w:after="30"/>
            </w:pPr>
            <w:r>
              <w:rPr>
                <w:rFonts w:ascii="Aptos" w:hAnsi="Aptos"/>
                <w:color w:val="232D38"/>
                <w:sz w:val="14"/>
              </w:rPr>
              <w:t>Executed effective agreement verified; authorized scope recorded.</w:t>
            </w:r>
          </w:p>
        </w:tc>
      </w:tr>
      <w:tr>
        <w:trPr>
          <w:cantSplit/>
        </w:trPr>
        <w:tc>
          <w:tcPr>
            <w:tcW w:type="dxa" w:w="4997"/>
            <w:tcMar>
              <w:top w:w="80" w:type="dxa"/>
              <w:start w:w="90" w:type="dxa"/>
              <w:bottom w:w="80" w:type="dxa"/>
              <w:end w:w="90" w:type="dxa"/>
            </w:tcMar>
            <w:vAlign w:val="top"/>
          </w:tcPr>
          <w:p>
            <w:pPr>
              <w:spacing w:after="30"/>
            </w:pPr>
            <w:r>
              <w:rPr>
                <w:rFonts w:ascii="Aptos" w:hAnsi="Aptos"/>
                <w:color w:val="232D38"/>
                <w:sz w:val="14"/>
              </w:rPr>
              <w:t>PILOT_ACTIVE</w:t>
            </w:r>
          </w:p>
        </w:tc>
        <w:tc>
          <w:tcPr>
            <w:tcW w:type="dxa" w:w="4997"/>
            <w:tcMar>
              <w:top w:w="80" w:type="dxa"/>
              <w:start w:w="90" w:type="dxa"/>
              <w:bottom w:w="80" w:type="dxa"/>
              <w:end w:w="90" w:type="dxa"/>
            </w:tcMar>
            <w:vAlign w:val="top"/>
          </w:tcPr>
          <w:p>
            <w:pPr>
              <w:spacing w:after="30"/>
            </w:pPr>
            <w:r>
              <w:rPr>
                <w:rFonts w:ascii="Aptos" w:hAnsi="Aptos"/>
                <w:color w:val="232D38"/>
                <w:sz w:val="14"/>
              </w:rPr>
              <w:t>Approved data/environment, owners, runbook and scenario plan.</w:t>
            </w:r>
          </w:p>
        </w:tc>
      </w:tr>
      <w:tr>
        <w:trPr>
          <w:cantSplit/>
        </w:trPr>
        <w:tc>
          <w:tcPr>
            <w:tcW w:type="dxa" w:w="4997"/>
            <w:tcMar>
              <w:top w:w="80" w:type="dxa"/>
              <w:start w:w="90" w:type="dxa"/>
              <w:bottom w:w="80" w:type="dxa"/>
              <w:end w:w="90" w:type="dxa"/>
            </w:tcMar>
            <w:vAlign w:val="top"/>
            <w:shd w:fill="F7F9FB"/>
          </w:tcPr>
          <w:p>
            <w:pPr>
              <w:spacing w:after="30"/>
            </w:pPr>
            <w:r>
              <w:rPr>
                <w:rFonts w:ascii="Aptos" w:hAnsi="Aptos"/>
                <w:color w:val="232D38"/>
                <w:sz w:val="14"/>
              </w:rPr>
              <w:t>MEASURED</w:t>
            </w:r>
          </w:p>
        </w:tc>
        <w:tc>
          <w:tcPr>
            <w:tcW w:type="dxa" w:w="4997"/>
            <w:tcMar>
              <w:top w:w="80" w:type="dxa"/>
              <w:start w:w="90" w:type="dxa"/>
              <w:bottom w:w="80" w:type="dxa"/>
              <w:end w:w="90" w:type="dxa"/>
            </w:tcMar>
            <w:vAlign w:val="top"/>
            <w:shd w:fill="F7F9FB"/>
          </w:tcPr>
          <w:p>
            <w:pPr>
              <w:spacing w:after="30"/>
            </w:pPr>
            <w:r>
              <w:rPr>
                <w:rFonts w:ascii="Aptos" w:hAnsi="Aptos"/>
                <w:color w:val="232D38"/>
                <w:sz w:val="14"/>
              </w:rPr>
              <w:t>Results tied to baseline, sample, limits, failures and review.</w:t>
            </w:r>
          </w:p>
        </w:tc>
      </w:tr>
      <w:tr>
        <w:trPr>
          <w:cantSplit/>
        </w:trPr>
        <w:tc>
          <w:tcPr>
            <w:tcW w:type="dxa" w:w="4997"/>
            <w:tcMar>
              <w:top w:w="80" w:type="dxa"/>
              <w:start w:w="90" w:type="dxa"/>
              <w:bottom w:w="80" w:type="dxa"/>
              <w:end w:w="90" w:type="dxa"/>
            </w:tcMar>
            <w:vAlign w:val="top"/>
          </w:tcPr>
          <w:p>
            <w:pPr>
              <w:spacing w:after="30"/>
            </w:pPr>
            <w:r>
              <w:rPr>
                <w:rFonts w:ascii="Aptos" w:hAnsi="Aptos"/>
                <w:color w:val="232D38"/>
                <w:sz w:val="14"/>
              </w:rPr>
              <w:t>REPEATABLE</w:t>
            </w:r>
          </w:p>
        </w:tc>
        <w:tc>
          <w:tcPr>
            <w:tcW w:type="dxa" w:w="4997"/>
            <w:tcMar>
              <w:top w:w="80" w:type="dxa"/>
              <w:start w:w="90" w:type="dxa"/>
              <w:bottom w:w="80" w:type="dxa"/>
              <w:end w:w="90" w:type="dxa"/>
            </w:tcMar>
            <w:vAlign w:val="top"/>
          </w:tcPr>
          <w:p>
            <w:pPr>
              <w:spacing w:after="30"/>
            </w:pPr>
            <w:r>
              <w:rPr>
                <w:rFonts w:ascii="Aptos" w:hAnsi="Aptos"/>
                <w:color w:val="232D38"/>
                <w:sz w:val="14"/>
              </w:rPr>
              <w:t>Second case demonstrates product/economic repeatability, not a one-off integration.</w:t>
            </w:r>
          </w:p>
        </w:tc>
      </w:tr>
    </w:tbl>
    <w:p>
      <w:pPr>
        <w:spacing w:after="0"/>
      </w:pPr>
    </w:p>
    <w:p>
      <w:pPr>
        <w:pStyle w:val="Heading2"/>
      </w:pPr>
      <w:r>
        <w:t>8.7 Institutional documentation pack</w:t>
      </w:r>
    </w:p>
    <w:p>
      <w:pPr>
        <w:pStyle w:val="ListBullet"/>
        <w:spacing w:after="50"/>
      </w:pPr>
      <w:r>
        <w:t>Two-page executive thesis: problem, entry product, value hypothesis, boundaries, truth status and requested next step.</w:t>
      </w:r>
    </w:p>
    <w:p>
      <w:pPr>
        <w:pStyle w:val="ListBullet"/>
        <w:spacing w:after="50"/>
      </w:pPr>
      <w:r>
        <w:t>~20-page product brief: capabilities, workflows, architecture, controls, evidence, deployment boundaries and limitations.</w:t>
      </w:r>
    </w:p>
    <w:p>
      <w:pPr>
        <w:pStyle w:val="ListBullet"/>
        <w:spacing w:after="50"/>
      </w:pPr>
      <w:r>
        <w:t>~40–60-page pilot specification: scope, roles, use cases, technical contracts, safety controls, scenario plan, metrics, RACI, dependencies and exit criteria.</w:t>
      </w:r>
    </w:p>
    <w:p>
      <w:pPr>
        <w:pStyle w:val="ListBullet"/>
        <w:spacing w:after="50"/>
      </w:pPr>
      <w:r>
        <w:t>Technical appendix: trust boundaries, APIs, events, data models, finality, idempotency, reconciliation, replay and recovery.</w:t>
      </w:r>
    </w:p>
    <w:p>
      <w:pPr>
        <w:pStyle w:val="ListBullet"/>
        <w:spacing w:after="50"/>
      </w:pPr>
      <w:r>
        <w:t>Legal/regulatory pack: entity register, instruments, legal questions, corridor/jurisdiction analysis and counsel opinions when obtained.</w:t>
      </w:r>
    </w:p>
    <w:p>
      <w:pPr>
        <w:pStyle w:val="ListBullet"/>
        <w:spacing w:after="50"/>
      </w:pPr>
      <w:r>
        <w:t>Accounting/prudential/tax pack: positions, obligations, backing/liquidity, capital/RWA and tax analysis.</w:t>
      </w:r>
    </w:p>
    <w:p>
      <w:pPr>
        <w:pStyle w:val="ListBullet"/>
        <w:spacing w:after="50"/>
      </w:pPr>
      <w:r>
        <w:t>Risk/security/resilience pack: threat model, control matrix, risk register, incidents/DR/wind-down and independent assurance.</w:t>
      </w:r>
    </w:p>
    <w:p>
      <w:pPr>
        <w:pStyle w:val="ListBullet"/>
        <w:spacing w:after="50"/>
      </w:pPr>
      <w:r>
        <w:t>Commercial/ROI pack: baseline, value model, costs, assumptions, sensitivity, pricing hypothesis and claim/evidence register.</w:t>
      </w:r>
    </w:p>
    <w:p>
      <w:pPr>
        <w:pStyle w:val="Heading2"/>
      </w:pPr>
      <w:r>
        <w:t>8.8 Bank onboarding and academy</w:t>
      </w:r>
    </w:p>
    <w:p>
      <w:r>
        <w:rPr>
          <w:i w:val="0"/>
        </w:rPr>
        <w:t>Create modular onboarding for executive sponsor, treasury/settlement, technology/integration, risk/compliance, legal, operations/reconciliation and audit. Every module separates architecture from evidence and assigns responsibilities. Training completion never confers legal approval or production authorization.</w:t>
      </w:r>
    </w:p>
    <w:p>
      <w:pPr>
        <w:pStyle w:val="Heading2"/>
      </w:pPr>
      <w:r>
        <w:t>8.9 Pilot A scenario matrix — MTQ disabled</w:t>
      </w:r>
    </w:p>
    <w:p>
      <w:r>
        <w:rPr>
          <w:i w:val="0"/>
        </w:rPr>
        <w:t>Pilot A is the first reproducible product demonstration. It proves control-plane behavior only within the declared simulation/sandbox scope. MTQ issuance, minting, redemption and unauthorized real-value transfers remain disabled. Use synthetic fixtures or data explicitly authorized for this use.</w:t>
      </w:r>
    </w:p>
    <w:tbl>
      <w:tblPr>
        <w:tblStyle w:val="TableGrid"/>
        <w:tblW w:type="auto" w:w="0"/>
        <w:jc w:val="center"/>
        <w:tblLook w:firstColumn="1" w:firstRow="1" w:lastColumn="0" w:lastRow="0" w:noHBand="0" w:noVBand="1" w:val="04A0"/>
      </w:tblPr>
      <w:tblGrid>
        <w:gridCol w:w="2498"/>
        <w:gridCol w:w="2498"/>
        <w:gridCol w:w="2498"/>
        <w:gridCol w:w="2498"/>
      </w:tblGrid>
      <w:tr>
        <w:trPr>
          <w:tblHeader w:val="true"/>
          <w:cantSplit/>
        </w:trPr>
        <w:tc>
          <w:tcPr>
            <w:tcW w:type="dxa" w:w="1224"/>
            <w:shd w:fill="07111F"/>
            <w:tcMar>
              <w:top w:w="80" w:type="dxa"/>
              <w:start w:w="90" w:type="dxa"/>
              <w:bottom w:w="80" w:type="dxa"/>
              <w:end w:w="90" w:type="dxa"/>
            </w:tcMar>
            <w:vAlign w:val="center"/>
          </w:tcPr>
          <w:p>
            <w:r>
              <w:rPr>
                <w:rFonts w:ascii="Aptos" w:hAnsi="Aptos"/>
                <w:b/>
                <w:color w:val="FFFFFF"/>
                <w:sz w:val="13"/>
              </w:rPr>
              <w:t>Scenario</w:t>
            </w:r>
          </w:p>
        </w:tc>
        <w:tc>
          <w:tcPr>
            <w:tcW w:type="dxa" w:w="2376"/>
            <w:shd w:fill="07111F"/>
            <w:tcMar>
              <w:top w:w="80" w:type="dxa"/>
              <w:start w:w="90" w:type="dxa"/>
              <w:bottom w:w="80" w:type="dxa"/>
              <w:end w:w="90" w:type="dxa"/>
            </w:tcMar>
            <w:vAlign w:val="center"/>
          </w:tcPr>
          <w:p>
            <w:r>
              <w:rPr>
                <w:rFonts w:ascii="Aptos" w:hAnsi="Aptos"/>
                <w:b/>
                <w:color w:val="FFFFFF"/>
                <w:sz w:val="13"/>
              </w:rPr>
              <w:t>Setup / injected condition</w:t>
            </w:r>
          </w:p>
        </w:tc>
        <w:tc>
          <w:tcPr>
            <w:tcW w:type="dxa" w:w="3240"/>
            <w:shd w:fill="07111F"/>
            <w:tcMar>
              <w:top w:w="80" w:type="dxa"/>
              <w:start w:w="90" w:type="dxa"/>
              <w:bottom w:w="80" w:type="dxa"/>
              <w:end w:w="90" w:type="dxa"/>
            </w:tcMar>
            <w:vAlign w:val="center"/>
          </w:tcPr>
          <w:p>
            <w:r>
              <w:rPr>
                <w:rFonts w:ascii="Aptos" w:hAnsi="Aptos"/>
                <w:b/>
                <w:color w:val="FFFFFF"/>
                <w:sz w:val="13"/>
              </w:rPr>
              <w:t>Expected behavior</w:t>
            </w:r>
          </w:p>
        </w:tc>
        <w:tc>
          <w:tcPr>
            <w:tcW w:type="dxa" w:w="3096"/>
            <w:shd w:fill="07111F"/>
            <w:tcMar>
              <w:top w:w="80" w:type="dxa"/>
              <w:start w:w="90" w:type="dxa"/>
              <w:bottom w:w="80" w:type="dxa"/>
              <w:end w:w="90" w:type="dxa"/>
            </w:tcMar>
            <w:vAlign w:val="center"/>
          </w:tcPr>
          <w:p>
            <w:r>
              <w:rPr>
                <w:rFonts w:ascii="Aptos" w:hAnsi="Aptos"/>
                <w:b/>
                <w:color w:val="FFFFFF"/>
                <w:sz w:val="13"/>
              </w:rPr>
              <w:t>Evidence to retain</w:t>
            </w:r>
          </w:p>
        </w:tc>
      </w:tr>
      <w:tr>
        <w:trPr>
          <w:cantSplit/>
        </w:trPr>
        <w:tc>
          <w:tcPr>
            <w:tcW w:type="dxa" w:w="2498"/>
            <w:tcMar>
              <w:top w:w="80" w:type="dxa"/>
              <w:start w:w="90" w:type="dxa"/>
              <w:bottom w:w="80" w:type="dxa"/>
              <w:end w:w="90" w:type="dxa"/>
            </w:tcMar>
            <w:vAlign w:val="top"/>
            <w:shd w:fill="F7F9FB"/>
          </w:tcPr>
          <w:p>
            <w:pPr>
              <w:spacing w:after="30"/>
            </w:pPr>
            <w:r>
              <w:rPr>
                <w:rFonts w:ascii="Aptos" w:hAnsi="Aptos"/>
                <w:color w:val="232D38"/>
                <w:sz w:val="13"/>
              </w:rPr>
              <w:t>A-01 Normal eligible instruction</w:t>
            </w:r>
          </w:p>
        </w:tc>
        <w:tc>
          <w:tcPr>
            <w:tcW w:type="dxa" w:w="2498"/>
            <w:tcMar>
              <w:top w:w="80" w:type="dxa"/>
              <w:start w:w="90" w:type="dxa"/>
              <w:bottom w:w="80" w:type="dxa"/>
              <w:end w:w="90" w:type="dxa"/>
            </w:tcMar>
            <w:vAlign w:val="top"/>
            <w:shd w:fill="F7F9FB"/>
          </w:tcPr>
          <w:p>
            <w:pPr>
              <w:spacing w:after="30"/>
            </w:pPr>
            <w:r>
              <w:rPr>
                <w:rFonts w:ascii="Aptos" w:hAnsi="Aptos"/>
                <w:color w:val="232D38"/>
                <w:sz w:val="13"/>
              </w:rPr>
              <w:t>Approved test institution, corridor and asset; complete fresh inputs; healthy adapter.</w:t>
            </w:r>
          </w:p>
        </w:tc>
        <w:tc>
          <w:tcPr>
            <w:tcW w:type="dxa" w:w="2498"/>
            <w:tcMar>
              <w:top w:w="80" w:type="dxa"/>
              <w:start w:w="90" w:type="dxa"/>
              <w:bottom w:w="80" w:type="dxa"/>
              <w:end w:w="90" w:type="dxa"/>
            </w:tcMar>
            <w:vAlign w:val="top"/>
            <w:shd w:fill="F7F9FB"/>
          </w:tcPr>
          <w:p>
            <w:pPr>
              <w:spacing w:after="30"/>
            </w:pPr>
            <w:r>
              <w:rPr>
                <w:rFonts w:ascii="Aptos" w:hAnsi="Aptos"/>
                <w:color w:val="232D38"/>
                <w:sz w:val="13"/>
              </w:rPr>
              <w:t>Accept durably; evaluate policy; record eligible route; progress only through verified scenario-specific states; reconcile.</w:t>
            </w:r>
          </w:p>
        </w:tc>
        <w:tc>
          <w:tcPr>
            <w:tcW w:type="dxa" w:w="2498"/>
            <w:tcMar>
              <w:top w:w="80" w:type="dxa"/>
              <w:start w:w="90" w:type="dxa"/>
              <w:bottom w:w="80" w:type="dxa"/>
              <w:end w:w="90" w:type="dxa"/>
            </w:tcMar>
            <w:vAlign w:val="top"/>
            <w:shd w:fill="F7F9FB"/>
          </w:tcPr>
          <w:p>
            <w:pPr>
              <w:spacing w:after="30"/>
            </w:pPr>
            <w:r>
              <w:rPr>
                <w:rFonts w:ascii="Aptos" w:hAnsi="Aptos"/>
                <w:color w:val="232D38"/>
                <w:sz w:val="13"/>
              </w:rPr>
              <w:t>Instruction ID, policy hash, route candidates/reasons, event/outbox IDs, source fixtures and replay output.</w:t>
            </w:r>
          </w:p>
        </w:tc>
      </w:tr>
      <w:tr>
        <w:trPr>
          <w:cantSplit/>
        </w:trPr>
        <w:tc>
          <w:tcPr>
            <w:tcW w:type="dxa" w:w="2498"/>
            <w:tcMar>
              <w:top w:w="80" w:type="dxa"/>
              <w:start w:w="90" w:type="dxa"/>
              <w:bottom w:w="80" w:type="dxa"/>
              <w:end w:w="90" w:type="dxa"/>
            </w:tcMar>
            <w:vAlign w:val="top"/>
          </w:tcPr>
          <w:p>
            <w:pPr>
              <w:spacing w:after="30"/>
            </w:pPr>
            <w:r>
              <w:rPr>
                <w:rFonts w:ascii="Aptos" w:hAnsi="Aptos"/>
                <w:color w:val="232D38"/>
                <w:sz w:val="13"/>
              </w:rPr>
              <w:t>A-02 Ineligible jurisdiction/institution/asset</w:t>
            </w:r>
          </w:p>
        </w:tc>
        <w:tc>
          <w:tcPr>
            <w:tcW w:type="dxa" w:w="2498"/>
            <w:tcMar>
              <w:top w:w="80" w:type="dxa"/>
              <w:start w:w="90" w:type="dxa"/>
              <w:bottom w:w="80" w:type="dxa"/>
              <w:end w:w="90" w:type="dxa"/>
            </w:tcMar>
            <w:vAlign w:val="top"/>
          </w:tcPr>
          <w:p>
            <w:pPr>
              <w:spacing w:after="30"/>
            </w:pPr>
            <w:r>
              <w:rPr>
                <w:rFonts w:ascii="Aptos" w:hAnsi="Aptos"/>
                <w:color w:val="232D38"/>
                <w:sz w:val="13"/>
              </w:rPr>
              <w:t>Set eligibility to prohibited, unknown or outside the scope.</w:t>
            </w:r>
          </w:p>
        </w:tc>
        <w:tc>
          <w:tcPr>
            <w:tcW w:type="dxa" w:w="2498"/>
            <w:tcMar>
              <w:top w:w="80" w:type="dxa"/>
              <w:start w:w="90" w:type="dxa"/>
              <w:bottom w:w="80" w:type="dxa"/>
              <w:end w:w="90" w:type="dxa"/>
            </w:tcMar>
            <w:vAlign w:val="top"/>
          </w:tcPr>
          <w:p>
            <w:pPr>
              <w:spacing w:after="30"/>
            </w:pPr>
            <w:r>
              <w:rPr>
                <w:rFonts w:ascii="Aptos" w:hAnsi="Aptos"/>
                <w:color w:val="232D38"/>
                <w:sz w:val="13"/>
              </w:rPr>
              <w:t>Deny or hold before consequential side effect; do not allow optimizer to override.</w:t>
            </w:r>
          </w:p>
        </w:tc>
        <w:tc>
          <w:tcPr>
            <w:tcW w:type="dxa" w:w="2498"/>
            <w:tcMar>
              <w:top w:w="80" w:type="dxa"/>
              <w:start w:w="90" w:type="dxa"/>
              <w:bottom w:w="80" w:type="dxa"/>
              <w:end w:w="90" w:type="dxa"/>
            </w:tcMar>
            <w:vAlign w:val="top"/>
          </w:tcPr>
          <w:p>
            <w:pPr>
              <w:spacing w:after="30"/>
            </w:pPr>
            <w:r>
              <w:rPr>
                <w:rFonts w:ascii="Aptos" w:hAnsi="Aptos"/>
                <w:color w:val="232D38"/>
                <w:sz w:val="13"/>
              </w:rPr>
              <w:t>Rule/registry version, reason code, denied transition, alert/audit record.</w:t>
            </w:r>
          </w:p>
        </w:tc>
      </w:tr>
      <w:tr>
        <w:trPr>
          <w:cantSplit/>
        </w:trPr>
        <w:tc>
          <w:tcPr>
            <w:tcW w:type="dxa" w:w="2498"/>
            <w:tcMar>
              <w:top w:w="80" w:type="dxa"/>
              <w:start w:w="90" w:type="dxa"/>
              <w:bottom w:w="80" w:type="dxa"/>
              <w:end w:w="90" w:type="dxa"/>
            </w:tcMar>
            <w:vAlign w:val="top"/>
            <w:shd w:fill="F7F9FB"/>
          </w:tcPr>
          <w:p>
            <w:pPr>
              <w:spacing w:after="30"/>
            </w:pPr>
            <w:r>
              <w:rPr>
                <w:rFonts w:ascii="Aptos" w:hAnsi="Aptos"/>
                <w:color w:val="232D38"/>
                <w:sz w:val="13"/>
              </w:rPr>
              <w:t>A-03 Required compliance source unavailable or stale</w:t>
            </w:r>
          </w:p>
        </w:tc>
        <w:tc>
          <w:tcPr>
            <w:tcW w:type="dxa" w:w="2498"/>
            <w:tcMar>
              <w:top w:w="80" w:type="dxa"/>
              <w:start w:w="90" w:type="dxa"/>
              <w:bottom w:w="80" w:type="dxa"/>
              <w:end w:w="90" w:type="dxa"/>
            </w:tcMar>
            <w:vAlign w:val="top"/>
            <w:shd w:fill="F7F9FB"/>
          </w:tcPr>
          <w:p>
            <w:pPr>
              <w:spacing w:after="30"/>
            </w:pPr>
            <w:r>
              <w:rPr>
                <w:rFonts w:ascii="Aptos" w:hAnsi="Aptos"/>
                <w:color w:val="232D38"/>
                <w:sz w:val="13"/>
              </w:rPr>
              <w:t>Timeout, expired screening or missing required result.</w:t>
            </w:r>
          </w:p>
        </w:tc>
        <w:tc>
          <w:tcPr>
            <w:tcW w:type="dxa" w:w="2498"/>
            <w:tcMar>
              <w:top w:w="80" w:type="dxa"/>
              <w:start w:w="90" w:type="dxa"/>
              <w:bottom w:w="80" w:type="dxa"/>
              <w:end w:w="90" w:type="dxa"/>
            </w:tcMar>
            <w:vAlign w:val="top"/>
            <w:shd w:fill="F7F9FB"/>
          </w:tcPr>
          <w:p>
            <w:pPr>
              <w:spacing w:after="30"/>
            </w:pPr>
            <w:r>
              <w:rPr>
                <w:rFonts w:ascii="Aptos" w:hAnsi="Aptos"/>
                <w:color w:val="232D38"/>
                <w:sz w:val="13"/>
              </w:rPr>
              <w:t>Fail closed or explicit approved hold; no “pass by timeout”; show safe status to caller.</w:t>
            </w:r>
          </w:p>
        </w:tc>
        <w:tc>
          <w:tcPr>
            <w:tcW w:type="dxa" w:w="2498"/>
            <w:tcMar>
              <w:top w:w="80" w:type="dxa"/>
              <w:start w:w="90" w:type="dxa"/>
              <w:bottom w:w="80" w:type="dxa"/>
              <w:end w:w="90" w:type="dxa"/>
            </w:tcMar>
            <w:vAlign w:val="top"/>
            <w:shd w:fill="F7F9FB"/>
          </w:tcPr>
          <w:p>
            <w:pPr>
              <w:spacing w:after="30"/>
            </w:pPr>
            <w:r>
              <w:rPr>
                <w:rFonts w:ascii="Aptos" w:hAnsi="Aptos"/>
                <w:color w:val="232D38"/>
                <w:sz w:val="13"/>
              </w:rPr>
              <w:t>Source health, expiry metadata, hold reason, retry policy and recovery evidence.</w:t>
            </w:r>
          </w:p>
        </w:tc>
      </w:tr>
      <w:tr>
        <w:trPr>
          <w:cantSplit/>
        </w:trPr>
        <w:tc>
          <w:tcPr>
            <w:tcW w:type="dxa" w:w="2498"/>
            <w:tcMar>
              <w:top w:w="80" w:type="dxa"/>
              <w:start w:w="90" w:type="dxa"/>
              <w:bottom w:w="80" w:type="dxa"/>
              <w:end w:w="90" w:type="dxa"/>
            </w:tcMar>
            <w:vAlign w:val="top"/>
          </w:tcPr>
          <w:p>
            <w:pPr>
              <w:spacing w:after="30"/>
            </w:pPr>
            <w:r>
              <w:rPr>
                <w:rFonts w:ascii="Aptos" w:hAnsi="Aptos"/>
                <w:color w:val="232D38"/>
                <w:sz w:val="13"/>
              </w:rPr>
              <w:t>A-04 Route/cutoff/liquidity change</w:t>
            </w:r>
          </w:p>
        </w:tc>
        <w:tc>
          <w:tcPr>
            <w:tcW w:type="dxa" w:w="2498"/>
            <w:tcMar>
              <w:top w:w="80" w:type="dxa"/>
              <w:start w:w="90" w:type="dxa"/>
              <w:bottom w:w="80" w:type="dxa"/>
              <w:end w:w="90" w:type="dxa"/>
            </w:tcMar>
            <w:vAlign w:val="top"/>
          </w:tcPr>
          <w:p>
            <w:pPr>
              <w:spacing w:after="30"/>
            </w:pPr>
            <w:r>
              <w:rPr>
                <w:rFonts w:ascii="Aptos" w:hAnsi="Aptos"/>
                <w:color w:val="232D38"/>
                <w:sz w:val="13"/>
              </w:rPr>
              <w:t>Make the preferred route unavailable or outside cutoff; provide a second pre-approved route.</w:t>
            </w:r>
          </w:p>
        </w:tc>
        <w:tc>
          <w:tcPr>
            <w:tcW w:type="dxa" w:w="2498"/>
            <w:tcMar>
              <w:top w:w="80" w:type="dxa"/>
              <w:start w:w="90" w:type="dxa"/>
              <w:bottom w:w="80" w:type="dxa"/>
              <w:end w:w="90" w:type="dxa"/>
            </w:tcMar>
            <w:vAlign w:val="top"/>
          </w:tcPr>
          <w:p>
            <w:pPr>
              <w:spacing w:after="30"/>
            </w:pPr>
            <w:r>
              <w:rPr>
                <w:rFonts w:ascii="Aptos" w:hAnsi="Aptos"/>
                <w:color w:val="232D38"/>
                <w:sz w:val="13"/>
              </w:rPr>
              <w:t>Recompute among eligible alternatives only; record old/new route, reason and approval rules.</w:t>
            </w:r>
          </w:p>
        </w:tc>
        <w:tc>
          <w:tcPr>
            <w:tcW w:type="dxa" w:w="2498"/>
            <w:tcMar>
              <w:top w:w="80" w:type="dxa"/>
              <w:start w:w="90" w:type="dxa"/>
              <w:bottom w:w="80" w:type="dxa"/>
              <w:end w:w="90" w:type="dxa"/>
            </w:tcMar>
            <w:vAlign w:val="top"/>
          </w:tcPr>
          <w:p>
            <w:pPr>
              <w:spacing w:after="30"/>
            </w:pPr>
            <w:r>
              <w:rPr>
                <w:rFonts w:ascii="Aptos" w:hAnsi="Aptos"/>
                <w:color w:val="232D38"/>
                <w:sz w:val="13"/>
              </w:rPr>
              <w:t>Input snapshots, candidate rankings, exclusions, route switch, cost/time assumptions.</w:t>
            </w:r>
          </w:p>
        </w:tc>
      </w:tr>
      <w:tr>
        <w:trPr>
          <w:cantSplit/>
        </w:trPr>
        <w:tc>
          <w:tcPr>
            <w:tcW w:type="dxa" w:w="2498"/>
            <w:tcMar>
              <w:top w:w="80" w:type="dxa"/>
              <w:start w:w="90" w:type="dxa"/>
              <w:bottom w:w="80" w:type="dxa"/>
              <w:end w:w="90" w:type="dxa"/>
            </w:tcMar>
            <w:vAlign w:val="top"/>
            <w:shd w:fill="F7F9FB"/>
          </w:tcPr>
          <w:p>
            <w:pPr>
              <w:spacing w:after="30"/>
            </w:pPr>
            <w:r>
              <w:rPr>
                <w:rFonts w:ascii="Aptos" w:hAnsi="Aptos"/>
                <w:color w:val="232D38"/>
                <w:sz w:val="13"/>
              </w:rPr>
              <w:t>A-05 Rail/provider failure after submission</w:t>
            </w:r>
          </w:p>
        </w:tc>
        <w:tc>
          <w:tcPr>
            <w:tcW w:type="dxa" w:w="2498"/>
            <w:tcMar>
              <w:top w:w="80" w:type="dxa"/>
              <w:start w:w="90" w:type="dxa"/>
              <w:bottom w:w="80" w:type="dxa"/>
              <w:end w:w="90" w:type="dxa"/>
            </w:tcMar>
            <w:vAlign w:val="top"/>
            <w:shd w:fill="F7F9FB"/>
          </w:tcPr>
          <w:p>
            <w:pPr>
              <w:spacing w:after="30"/>
            </w:pPr>
            <w:r>
              <w:rPr>
                <w:rFonts w:ascii="Aptos" w:hAnsi="Aptos"/>
                <w:color w:val="232D38"/>
                <w:sz w:val="13"/>
              </w:rPr>
              <w:t>Timeout with outcome uncertain; deliver delayed callback after retry.</w:t>
            </w:r>
          </w:p>
        </w:tc>
        <w:tc>
          <w:tcPr>
            <w:tcW w:type="dxa" w:w="2498"/>
            <w:tcMar>
              <w:top w:w="80" w:type="dxa"/>
              <w:start w:w="90" w:type="dxa"/>
              <w:bottom w:w="80" w:type="dxa"/>
              <w:end w:w="90" w:type="dxa"/>
            </w:tcMar>
            <w:vAlign w:val="top"/>
            <w:shd w:fill="F7F9FB"/>
          </w:tcPr>
          <w:p>
            <w:pPr>
              <w:spacing w:after="30"/>
            </w:pPr>
            <w:r>
              <w:rPr>
                <w:rFonts w:ascii="Aptos" w:hAnsi="Aptos"/>
                <w:color w:val="232D38"/>
                <w:sz w:val="13"/>
              </w:rPr>
              <w:t>Query by stable reference/idempotency key; do not duplicate side effect; retain uncertain state until proved.</w:t>
            </w:r>
          </w:p>
        </w:tc>
        <w:tc>
          <w:tcPr>
            <w:tcW w:type="dxa" w:w="2498"/>
            <w:tcMar>
              <w:top w:w="80" w:type="dxa"/>
              <w:start w:w="90" w:type="dxa"/>
              <w:bottom w:w="80" w:type="dxa"/>
              <w:end w:w="90" w:type="dxa"/>
            </w:tcMar>
            <w:vAlign w:val="top"/>
            <w:shd w:fill="F7F9FB"/>
          </w:tcPr>
          <w:p>
            <w:pPr>
              <w:spacing w:after="30"/>
            </w:pPr>
            <w:r>
              <w:rPr>
                <w:rFonts w:ascii="Aptos" w:hAnsi="Aptos"/>
                <w:color w:val="232D38"/>
                <w:sz w:val="13"/>
              </w:rPr>
              <w:t>Request/response trace, provider reference, duplicate detection, retry and disposition.</w:t>
            </w:r>
          </w:p>
        </w:tc>
      </w:tr>
      <w:tr>
        <w:trPr>
          <w:cantSplit/>
        </w:trPr>
        <w:tc>
          <w:tcPr>
            <w:tcW w:type="dxa" w:w="2498"/>
            <w:tcMar>
              <w:top w:w="80" w:type="dxa"/>
              <w:start w:w="90" w:type="dxa"/>
              <w:bottom w:w="80" w:type="dxa"/>
              <w:end w:w="90" w:type="dxa"/>
            </w:tcMar>
            <w:vAlign w:val="top"/>
          </w:tcPr>
          <w:p>
            <w:pPr>
              <w:spacing w:after="30"/>
            </w:pPr>
            <w:r>
              <w:rPr>
                <w:rFonts w:ascii="Aptos" w:hAnsi="Aptos"/>
                <w:color w:val="232D38"/>
                <w:sz w:val="13"/>
              </w:rPr>
              <w:t>A-06 Reconciliation mismatch</w:t>
            </w:r>
          </w:p>
        </w:tc>
        <w:tc>
          <w:tcPr>
            <w:tcW w:type="dxa" w:w="2498"/>
            <w:tcMar>
              <w:top w:w="80" w:type="dxa"/>
              <w:start w:w="90" w:type="dxa"/>
              <w:bottom w:w="80" w:type="dxa"/>
              <w:end w:w="90" w:type="dxa"/>
            </w:tcMar>
            <w:vAlign w:val="top"/>
          </w:tcPr>
          <w:p>
            <w:pPr>
              <w:spacing w:after="30"/>
            </w:pPr>
            <w:r>
              <w:rPr>
                <w:rFonts w:ascii="Aptos" w:hAnsi="Aptos"/>
                <w:color w:val="232D38"/>
                <w:sz w:val="13"/>
              </w:rPr>
              <w:t>Amounts/status/references differ across independent fixture sources.</w:t>
            </w:r>
          </w:p>
        </w:tc>
        <w:tc>
          <w:tcPr>
            <w:tcW w:type="dxa" w:w="2498"/>
            <w:tcMar>
              <w:top w:w="80" w:type="dxa"/>
              <w:start w:w="90" w:type="dxa"/>
              <w:bottom w:w="80" w:type="dxa"/>
              <w:end w:w="90" w:type="dxa"/>
            </w:tcMar>
            <w:vAlign w:val="top"/>
          </w:tcPr>
          <w:p>
            <w:pPr>
              <w:spacing w:after="30"/>
            </w:pPr>
            <w:r>
              <w:rPr>
                <w:rFonts w:ascii="Aptos" w:hAnsi="Aptos"/>
                <w:color w:val="232D38"/>
                <w:sz w:val="13"/>
              </w:rPr>
              <w:t>Open exception; block affected closure; no tolerance may conceal identity/status/legal mismatch.</w:t>
            </w:r>
          </w:p>
        </w:tc>
        <w:tc>
          <w:tcPr>
            <w:tcW w:type="dxa" w:w="2498"/>
            <w:tcMar>
              <w:top w:w="80" w:type="dxa"/>
              <w:start w:w="90" w:type="dxa"/>
              <w:bottom w:w="80" w:type="dxa"/>
              <w:end w:w="90" w:type="dxa"/>
            </w:tcMar>
            <w:vAlign w:val="top"/>
          </w:tcPr>
          <w:p>
            <w:pPr>
              <w:spacing w:after="30"/>
            </w:pPr>
            <w:r>
              <w:rPr>
                <w:rFonts w:ascii="Aptos" w:hAnsi="Aptos"/>
                <w:color w:val="232D38"/>
                <w:sz w:val="13"/>
              </w:rPr>
              <w:t>Source diffs, tolerance class/version, case owner, disposition and linked correction.</w:t>
            </w:r>
          </w:p>
        </w:tc>
      </w:tr>
      <w:tr>
        <w:trPr>
          <w:cantSplit/>
        </w:trPr>
        <w:tc>
          <w:tcPr>
            <w:tcW w:type="dxa" w:w="2498"/>
            <w:tcMar>
              <w:top w:w="80" w:type="dxa"/>
              <w:start w:w="90" w:type="dxa"/>
              <w:bottom w:w="80" w:type="dxa"/>
              <w:end w:w="90" w:type="dxa"/>
            </w:tcMar>
            <w:vAlign w:val="top"/>
            <w:shd w:fill="F7F9FB"/>
          </w:tcPr>
          <w:p>
            <w:pPr>
              <w:spacing w:after="30"/>
            </w:pPr>
            <w:r>
              <w:rPr>
                <w:rFonts w:ascii="Aptos" w:hAnsi="Aptos"/>
                <w:color w:val="232D38"/>
                <w:sz w:val="13"/>
              </w:rPr>
              <w:t>A-07 Duplicate/out-of-order events</w:t>
            </w:r>
          </w:p>
        </w:tc>
        <w:tc>
          <w:tcPr>
            <w:tcW w:type="dxa" w:w="2498"/>
            <w:tcMar>
              <w:top w:w="80" w:type="dxa"/>
              <w:start w:w="90" w:type="dxa"/>
              <w:bottom w:w="80" w:type="dxa"/>
              <w:end w:w="90" w:type="dxa"/>
            </w:tcMar>
            <w:vAlign w:val="top"/>
            <w:shd w:fill="F7F9FB"/>
          </w:tcPr>
          <w:p>
            <w:pPr>
              <w:spacing w:after="30"/>
            </w:pPr>
            <w:r>
              <w:rPr>
                <w:rFonts w:ascii="Aptos" w:hAnsi="Aptos"/>
                <w:color w:val="232D38"/>
                <w:sz w:val="13"/>
              </w:rPr>
              <w:t>Replay same event twice, then send an older state after newer state.</w:t>
            </w:r>
          </w:p>
        </w:tc>
        <w:tc>
          <w:tcPr>
            <w:tcW w:type="dxa" w:w="2498"/>
            <w:tcMar>
              <w:top w:w="80" w:type="dxa"/>
              <w:start w:w="90" w:type="dxa"/>
              <w:bottom w:w="80" w:type="dxa"/>
              <w:end w:w="90" w:type="dxa"/>
            </w:tcMar>
            <w:vAlign w:val="top"/>
            <w:shd w:fill="F7F9FB"/>
          </w:tcPr>
          <w:p>
            <w:pPr>
              <w:spacing w:after="30"/>
            </w:pPr>
            <w:r>
              <w:rPr>
                <w:rFonts w:ascii="Aptos" w:hAnsi="Aptos"/>
                <w:color w:val="232D38"/>
                <w:sz w:val="13"/>
              </w:rPr>
              <w:t>Duplicate effect suppressed; stale state transition rejected; audit retained.</w:t>
            </w:r>
          </w:p>
        </w:tc>
        <w:tc>
          <w:tcPr>
            <w:tcW w:type="dxa" w:w="2498"/>
            <w:tcMar>
              <w:top w:w="80" w:type="dxa"/>
              <w:start w:w="90" w:type="dxa"/>
              <w:bottom w:w="80" w:type="dxa"/>
              <w:end w:w="90" w:type="dxa"/>
            </w:tcMar>
            <w:vAlign w:val="top"/>
            <w:shd w:fill="F7F9FB"/>
          </w:tcPr>
          <w:p>
            <w:pPr>
              <w:spacing w:after="30"/>
            </w:pPr>
            <w:r>
              <w:rPr>
                <w:rFonts w:ascii="Aptos" w:hAnsi="Aptos"/>
                <w:color w:val="232D38"/>
                <w:sz w:val="13"/>
              </w:rPr>
              <w:t>Event IDs, idempotency records, sequence numbers, consumer state and result.</w:t>
            </w:r>
          </w:p>
        </w:tc>
      </w:tr>
      <w:tr>
        <w:trPr>
          <w:cantSplit/>
        </w:trPr>
        <w:tc>
          <w:tcPr>
            <w:tcW w:type="dxa" w:w="2498"/>
            <w:tcMar>
              <w:top w:w="80" w:type="dxa"/>
              <w:start w:w="90" w:type="dxa"/>
              <w:bottom w:w="80" w:type="dxa"/>
              <w:end w:w="90" w:type="dxa"/>
            </w:tcMar>
            <w:vAlign w:val="top"/>
          </w:tcPr>
          <w:p>
            <w:pPr>
              <w:spacing w:after="30"/>
            </w:pPr>
            <w:r>
              <w:rPr>
                <w:rFonts w:ascii="Aptos" w:hAnsi="Aptos"/>
                <w:color w:val="232D38"/>
                <w:sz w:val="13"/>
              </w:rPr>
              <w:t>A-08 Outbox/projection lag</w:t>
            </w:r>
          </w:p>
        </w:tc>
        <w:tc>
          <w:tcPr>
            <w:tcW w:type="dxa" w:w="2498"/>
            <w:tcMar>
              <w:top w:w="80" w:type="dxa"/>
              <w:start w:w="90" w:type="dxa"/>
              <w:bottom w:w="80" w:type="dxa"/>
              <w:end w:w="90" w:type="dxa"/>
            </w:tcMar>
            <w:vAlign w:val="top"/>
          </w:tcPr>
          <w:p>
            <w:pPr>
              <w:spacing w:after="30"/>
            </w:pPr>
            <w:r>
              <w:rPr>
                <w:rFonts w:ascii="Aptos" w:hAnsi="Aptos"/>
                <w:color w:val="232D38"/>
                <w:sz w:val="13"/>
              </w:rPr>
              <w:t>Pause dispatcher or Turso projector while canonical Neon commit succeeds.</w:t>
            </w:r>
          </w:p>
        </w:tc>
        <w:tc>
          <w:tcPr>
            <w:tcW w:type="dxa" w:w="2498"/>
            <w:tcMar>
              <w:top w:w="80" w:type="dxa"/>
              <w:start w:w="90" w:type="dxa"/>
              <w:bottom w:w="80" w:type="dxa"/>
              <w:end w:w="90" w:type="dxa"/>
            </w:tcMar>
            <w:vAlign w:val="top"/>
          </w:tcPr>
          <w:p>
            <w:pPr>
              <w:spacing w:after="30"/>
            </w:pPr>
            <w:r>
              <w:rPr>
                <w:rFonts w:ascii="Aptos" w:hAnsi="Aptos"/>
                <w:color w:val="232D38"/>
                <w:sz w:val="13"/>
              </w:rPr>
              <w:t>Authoritative state remains in Neon; UI labels projection stale; outbox replay catches up safely.</w:t>
            </w:r>
          </w:p>
        </w:tc>
        <w:tc>
          <w:tcPr>
            <w:tcW w:type="dxa" w:w="2498"/>
            <w:tcMar>
              <w:top w:w="80" w:type="dxa"/>
              <w:start w:w="90" w:type="dxa"/>
              <w:bottom w:w="80" w:type="dxa"/>
              <w:end w:w="90" w:type="dxa"/>
            </w:tcMar>
            <w:vAlign w:val="top"/>
          </w:tcPr>
          <w:p>
            <w:pPr>
              <w:spacing w:after="30"/>
            </w:pPr>
            <w:r>
              <w:rPr>
                <w:rFonts w:ascii="Aptos" w:hAnsi="Aptos"/>
                <w:color w:val="232D38"/>
                <w:sz w:val="13"/>
              </w:rPr>
              <w:t>Commit/outbox IDs, delivery attempts, watermark lag, rebuild/replay result.</w:t>
            </w:r>
          </w:p>
        </w:tc>
      </w:tr>
      <w:tr>
        <w:trPr>
          <w:cantSplit/>
        </w:trPr>
        <w:tc>
          <w:tcPr>
            <w:tcW w:type="dxa" w:w="2498"/>
            <w:tcMar>
              <w:top w:w="80" w:type="dxa"/>
              <w:start w:w="90" w:type="dxa"/>
              <w:bottom w:w="80" w:type="dxa"/>
              <w:end w:w="90" w:type="dxa"/>
            </w:tcMar>
            <w:vAlign w:val="top"/>
            <w:shd w:fill="F7F9FB"/>
          </w:tcPr>
          <w:p>
            <w:pPr>
              <w:spacing w:after="30"/>
            </w:pPr>
            <w:r>
              <w:rPr>
                <w:rFonts w:ascii="Aptos" w:hAnsi="Aptos"/>
                <w:color w:val="232D38"/>
                <w:sz w:val="13"/>
              </w:rPr>
              <w:t>A-09 Safe halt / kill switch</w:t>
            </w:r>
          </w:p>
        </w:tc>
        <w:tc>
          <w:tcPr>
            <w:tcW w:type="dxa" w:w="2498"/>
            <w:tcMar>
              <w:top w:w="80" w:type="dxa"/>
              <w:start w:w="90" w:type="dxa"/>
              <w:bottom w:w="80" w:type="dxa"/>
              <w:end w:w="90" w:type="dxa"/>
            </w:tcMar>
            <w:vAlign w:val="top"/>
            <w:shd w:fill="F7F9FB"/>
          </w:tcPr>
          <w:p>
            <w:pPr>
              <w:spacing w:after="30"/>
            </w:pPr>
            <w:r>
              <w:rPr>
                <w:rFonts w:ascii="Aptos" w:hAnsi="Aptos"/>
                <w:color w:val="232D38"/>
                <w:sz w:val="13"/>
              </w:rPr>
              <w:t>Trigger critical policy/evidence/identity failure.</w:t>
            </w:r>
          </w:p>
        </w:tc>
        <w:tc>
          <w:tcPr>
            <w:tcW w:type="dxa" w:w="2498"/>
            <w:tcMar>
              <w:top w:w="80" w:type="dxa"/>
              <w:start w:w="90" w:type="dxa"/>
              <w:bottom w:w="80" w:type="dxa"/>
              <w:end w:w="90" w:type="dxa"/>
            </w:tcMar>
            <w:vAlign w:val="top"/>
            <w:shd w:fill="F7F9FB"/>
          </w:tcPr>
          <w:p>
            <w:pPr>
              <w:spacing w:after="30"/>
            </w:pPr>
            <w:r>
              <w:rPr>
                <w:rFonts w:ascii="Aptos" w:hAnsi="Aptos"/>
                <w:color w:val="232D38"/>
                <w:sz w:val="13"/>
              </w:rPr>
              <w:t>Block affected new work; preserve unrelated safe read access; require scoped authorized resume.</w:t>
            </w:r>
          </w:p>
        </w:tc>
        <w:tc>
          <w:tcPr>
            <w:tcW w:type="dxa" w:w="2498"/>
            <w:tcMar>
              <w:top w:w="80" w:type="dxa"/>
              <w:start w:w="90" w:type="dxa"/>
              <w:bottom w:w="80" w:type="dxa"/>
              <w:end w:w="90" w:type="dxa"/>
            </w:tcMar>
            <w:vAlign w:val="top"/>
            <w:shd w:fill="F7F9FB"/>
          </w:tcPr>
          <w:p>
            <w:pPr>
              <w:spacing w:after="30"/>
            </w:pPr>
            <w:r>
              <w:rPr>
                <w:rFonts w:ascii="Aptos" w:hAnsi="Aptos"/>
                <w:color w:val="232D38"/>
                <w:sz w:val="13"/>
              </w:rPr>
              <w:t>Trigger, affected scope, approver, pre/post state and resume criteria.</w:t>
            </w:r>
          </w:p>
        </w:tc>
      </w:tr>
      <w:tr>
        <w:trPr>
          <w:cantSplit/>
        </w:trPr>
        <w:tc>
          <w:tcPr>
            <w:tcW w:type="dxa" w:w="2498"/>
            <w:tcMar>
              <w:top w:w="80" w:type="dxa"/>
              <w:start w:w="90" w:type="dxa"/>
              <w:bottom w:w="80" w:type="dxa"/>
              <w:end w:w="90" w:type="dxa"/>
            </w:tcMar>
            <w:vAlign w:val="top"/>
          </w:tcPr>
          <w:p>
            <w:pPr>
              <w:spacing w:after="30"/>
            </w:pPr>
            <w:r>
              <w:rPr>
                <w:rFonts w:ascii="Aptos" w:hAnsi="Aptos"/>
                <w:color w:val="232D38"/>
                <w:sz w:val="13"/>
              </w:rPr>
              <w:t>A-10 Recovery and regulatory replay</w:t>
            </w:r>
          </w:p>
        </w:tc>
        <w:tc>
          <w:tcPr>
            <w:tcW w:type="dxa" w:w="2498"/>
            <w:tcMar>
              <w:top w:w="80" w:type="dxa"/>
              <w:start w:w="90" w:type="dxa"/>
              <w:bottom w:w="80" w:type="dxa"/>
              <w:end w:w="90" w:type="dxa"/>
            </w:tcMar>
            <w:vAlign w:val="top"/>
          </w:tcPr>
          <w:p>
            <w:pPr>
              <w:spacing w:after="30"/>
            </w:pPr>
            <w:r>
              <w:rPr>
                <w:rFonts w:ascii="Aptos" w:hAnsi="Aptos"/>
                <w:color w:val="232D38"/>
                <w:sz w:val="13"/>
              </w:rPr>
              <w:t>Restore known-good code/data or replay a historical instruction using time-correct policy/evidence.</w:t>
            </w:r>
          </w:p>
        </w:tc>
        <w:tc>
          <w:tcPr>
            <w:tcW w:type="dxa" w:w="2498"/>
            <w:tcMar>
              <w:top w:w="80" w:type="dxa"/>
              <w:start w:w="90" w:type="dxa"/>
              <w:bottom w:w="80" w:type="dxa"/>
              <w:end w:w="90" w:type="dxa"/>
            </w:tcMar>
            <w:vAlign w:val="top"/>
          </w:tcPr>
          <w:p>
            <w:pPr>
              <w:spacing w:after="30"/>
            </w:pPr>
            <w:r>
              <w:rPr>
                <w:rFonts w:ascii="Aptos" w:hAnsi="Aptos"/>
                <w:color w:val="232D38"/>
                <w:sz w:val="13"/>
              </w:rPr>
              <w:t>Reproduce historical decision or disclose missing nondeterministic inputs; current-policy reassessment is a distinct result.</w:t>
            </w:r>
          </w:p>
        </w:tc>
        <w:tc>
          <w:tcPr>
            <w:tcW w:type="dxa" w:w="2498"/>
            <w:tcMar>
              <w:top w:w="80" w:type="dxa"/>
              <w:start w:w="90" w:type="dxa"/>
              <w:bottom w:w="80" w:type="dxa"/>
              <w:end w:w="90" w:type="dxa"/>
            </w:tcMar>
            <w:vAlign w:val="top"/>
          </w:tcPr>
          <w:p>
            <w:pPr>
              <w:spacing w:after="30"/>
            </w:pPr>
            <w:r>
              <w:rPr>
                <w:rFonts w:ascii="Aptos" w:hAnsi="Aptos"/>
                <w:color w:val="232D38"/>
                <w:sz w:val="13"/>
              </w:rPr>
              <w:t>Snapshot/hash, replay manifest, source versions, differences, restore evidence and review.</w:t>
            </w:r>
          </w:p>
        </w:tc>
      </w:tr>
    </w:tbl>
    <w:p>
      <w:pPr>
        <w:spacing w:after="0"/>
      </w:pPr>
    </w:p>
    <w:p>
      <w:pPr>
        <w:pStyle w:val="Heading2"/>
      </w:pPr>
      <w:r>
        <w:t>8.10 Competitive and incumbent compatibility</w:t>
      </w:r>
    </w:p>
    <w:p>
      <w:r>
        <w:rPr>
          <w:i w:val="0"/>
        </w:rPr>
        <w:t>Treat market position as an unvalidated hypothesis until discovery interviews, public-source research and pilot data support it. The first product should complement existing bank cores, payment/settlement rails, treasury systems, compliance vendors and reconciliation tools rather than claiming to replace them. Evaluate whether a buyer can achieve the target outcome through current vendors, internal engineering or process change at lower total cost.</w:t>
      </w:r>
    </w:p>
    <w:p>
      <w:pPr>
        <w:pStyle w:val="ListBullet"/>
        <w:spacing w:after="50"/>
      </w:pPr>
      <w:r>
        <w:t>For each segment, record the current workaround, buyer/user, budget owner, problem frequency, cost of failure, incumbent/vendor, integration burden, switching cost and required assurance.</w:t>
      </w:r>
    </w:p>
    <w:p>
      <w:pPr>
        <w:pStyle w:val="ListBullet"/>
        <w:spacing w:after="50"/>
      </w:pPr>
      <w:r>
        <w:t>Compare capability and deployment model against bank internal orchestration, payment hubs, treasury/liquidity systems, reconciliation tooling, network/rail services and integration vendors. Use researched sources and mark gaps.</w:t>
      </w:r>
    </w:p>
    <w:p>
      <w:pPr>
        <w:pStyle w:val="ListBullet"/>
        <w:spacing w:after="50"/>
      </w:pPr>
      <w:r>
        <w:t>Prove incremental value: cross-system policy coordination, multi-rail control, obligation/finality-aware routing, evidence replay or exception reduction must measurably outperform the baseline.</w:t>
      </w:r>
    </w:p>
    <w:p>
      <w:pPr>
        <w:pStyle w:val="ListBullet"/>
        <w:spacing w:after="50"/>
      </w:pPr>
      <w:r>
        <w:t>Do not claim network effects, exclusivity, unique moat or first-mover status without evidence. The proposed evidence/control combination is a moat hypothesis.</w:t>
      </w:r>
    </w:p>
    <w:p>
      <w:pPr>
        <w:pStyle w:val="Heading2"/>
      </w:pPr>
      <w:r>
        <w:t>8.11 Team, funding and evidence-gated operating plan</w:t>
      </w:r>
    </w:p>
    <w:p>
      <w:r>
        <w:rPr>
          <w:i w:val="0"/>
        </w:rPr>
        <w:t>Do not invent team members, commitments, budgets, funding or advisory relationships. Maintain a role-coverage matrix with accountable person, authority, time commitment, evidence of appointment and succession/backup for each critical responsibility.</w:t>
      </w:r>
    </w:p>
    <w:tbl>
      <w:tblPr>
        <w:tblStyle w:val="TableGrid"/>
        <w:tblW w:type="auto" w:w="0"/>
        <w:jc w:val="center"/>
        <w:tblLook w:firstColumn="1" w:firstRow="1" w:lastColumn="0" w:lastRow="0" w:noHBand="0" w:noVBand="1" w:val="04A0"/>
      </w:tblPr>
      <w:tblGrid>
        <w:gridCol w:w="3331"/>
        <w:gridCol w:w="3331"/>
        <w:gridCol w:w="3331"/>
      </w:tblGrid>
      <w:tr>
        <w:trPr>
          <w:tblHeader w:val="true"/>
          <w:cantSplit/>
        </w:trPr>
        <w:tc>
          <w:tcPr>
            <w:tcW w:type="dxa" w:w="2448"/>
            <w:shd w:fill="07111F"/>
            <w:tcMar>
              <w:top w:w="80" w:type="dxa"/>
              <w:start w:w="90" w:type="dxa"/>
              <w:bottom w:w="80" w:type="dxa"/>
              <w:end w:w="90" w:type="dxa"/>
            </w:tcMar>
            <w:vAlign w:val="center"/>
          </w:tcPr>
          <w:p>
            <w:r>
              <w:rPr>
                <w:rFonts w:ascii="Aptos" w:hAnsi="Aptos"/>
                <w:b/>
                <w:color w:val="FFFFFF"/>
                <w:sz w:val="14"/>
              </w:rPr>
              <w:t>Role coverage required</w:t>
            </w:r>
          </w:p>
        </w:tc>
        <w:tc>
          <w:tcPr>
            <w:tcW w:type="dxa" w:w="3600"/>
            <w:shd w:fill="07111F"/>
            <w:tcMar>
              <w:top w:w="80" w:type="dxa"/>
              <w:start w:w="90" w:type="dxa"/>
              <w:bottom w:w="80" w:type="dxa"/>
              <w:end w:w="90" w:type="dxa"/>
            </w:tcMar>
            <w:vAlign w:val="center"/>
          </w:tcPr>
          <w:p>
            <w:r>
              <w:rPr>
                <w:rFonts w:ascii="Aptos" w:hAnsi="Aptos"/>
                <w:b/>
                <w:color w:val="FFFFFF"/>
                <w:sz w:val="14"/>
              </w:rPr>
              <w:t>Primary accountable work</w:t>
            </w:r>
          </w:p>
        </w:tc>
        <w:tc>
          <w:tcPr>
            <w:tcW w:type="dxa" w:w="3888"/>
            <w:shd w:fill="07111F"/>
            <w:tcMar>
              <w:top w:w="80" w:type="dxa"/>
              <w:start w:w="90" w:type="dxa"/>
              <w:bottom w:w="80" w:type="dxa"/>
              <w:end w:w="90" w:type="dxa"/>
            </w:tcMar>
            <w:vAlign w:val="center"/>
          </w:tcPr>
          <w:p>
            <w:r>
              <w:rPr>
                <w:rFonts w:ascii="Aptos" w:hAnsi="Aptos"/>
                <w:b/>
                <w:color w:val="FFFFFF"/>
                <w:sz w:val="14"/>
              </w:rPr>
              <w:t>Minimum proof to record</w:t>
            </w:r>
          </w:p>
        </w:tc>
      </w:tr>
      <w:tr>
        <w:trPr>
          <w:cantSplit/>
        </w:trPr>
        <w:tc>
          <w:tcPr>
            <w:tcW w:type="dxa" w:w="3331"/>
            <w:tcMar>
              <w:top w:w="80" w:type="dxa"/>
              <w:start w:w="90" w:type="dxa"/>
              <w:bottom w:w="80" w:type="dxa"/>
              <w:end w:w="90" w:type="dxa"/>
            </w:tcMar>
            <w:vAlign w:val="top"/>
            <w:shd w:fill="F7F9FB"/>
          </w:tcPr>
          <w:p>
            <w:pPr>
              <w:spacing w:after="30"/>
            </w:pPr>
            <w:r>
              <w:rPr>
                <w:rFonts w:ascii="Aptos" w:hAnsi="Aptos"/>
                <w:color w:val="232D38"/>
                <w:sz w:val="14"/>
              </w:rPr>
              <w:t>Product/COO/program control</w:t>
            </w:r>
          </w:p>
        </w:tc>
        <w:tc>
          <w:tcPr>
            <w:tcW w:type="dxa" w:w="3331"/>
            <w:tcMar>
              <w:top w:w="80" w:type="dxa"/>
              <w:start w:w="90" w:type="dxa"/>
              <w:bottom w:w="80" w:type="dxa"/>
              <w:end w:w="90" w:type="dxa"/>
            </w:tcMar>
            <w:vAlign w:val="top"/>
            <w:shd w:fill="F7F9FB"/>
          </w:tcPr>
          <w:p>
            <w:pPr>
              <w:spacing w:after="30"/>
            </w:pPr>
            <w:r>
              <w:rPr>
                <w:rFonts w:ascii="Aptos" w:hAnsi="Aptos"/>
                <w:color w:val="232D38"/>
                <w:sz w:val="14"/>
              </w:rPr>
              <w:t>Priority, scope, gate decisions, risk acceptance within authority, owner communications.</w:t>
            </w:r>
          </w:p>
        </w:tc>
        <w:tc>
          <w:tcPr>
            <w:tcW w:type="dxa" w:w="3331"/>
            <w:tcMar>
              <w:top w:w="80" w:type="dxa"/>
              <w:start w:w="90" w:type="dxa"/>
              <w:bottom w:w="80" w:type="dxa"/>
              <w:end w:w="90" w:type="dxa"/>
            </w:tcMar>
            <w:vAlign w:val="top"/>
            <w:shd w:fill="F7F9FB"/>
          </w:tcPr>
          <w:p>
            <w:pPr>
              <w:spacing w:after="30"/>
            </w:pPr>
            <w:r>
              <w:rPr>
                <w:rFonts w:ascii="Aptos" w:hAnsi="Aptos"/>
                <w:color w:val="232D38"/>
                <w:sz w:val="14"/>
              </w:rPr>
              <w:t>Named accountable owner, decision rights, operating cadence and decision log.</w:t>
            </w:r>
          </w:p>
        </w:tc>
      </w:tr>
      <w:tr>
        <w:trPr>
          <w:cantSplit/>
        </w:trPr>
        <w:tc>
          <w:tcPr>
            <w:tcW w:type="dxa" w:w="3331"/>
            <w:tcMar>
              <w:top w:w="80" w:type="dxa"/>
              <w:start w:w="90" w:type="dxa"/>
              <w:bottom w:w="80" w:type="dxa"/>
              <w:end w:w="90" w:type="dxa"/>
            </w:tcMar>
            <w:vAlign w:val="top"/>
          </w:tcPr>
          <w:p>
            <w:pPr>
              <w:spacing w:after="30"/>
            </w:pPr>
            <w:r>
              <w:rPr>
                <w:rFonts w:ascii="Aptos" w:hAnsi="Aptos"/>
                <w:color w:val="232D38"/>
                <w:sz w:val="14"/>
              </w:rPr>
              <w:t>Technology/platform/security</w:t>
            </w:r>
          </w:p>
        </w:tc>
        <w:tc>
          <w:tcPr>
            <w:tcW w:type="dxa" w:w="3331"/>
            <w:tcMar>
              <w:top w:w="80" w:type="dxa"/>
              <w:start w:w="90" w:type="dxa"/>
              <w:bottom w:w="80" w:type="dxa"/>
              <w:end w:w="90" w:type="dxa"/>
            </w:tcMar>
            <w:vAlign w:val="top"/>
          </w:tcPr>
          <w:p>
            <w:pPr>
              <w:spacing w:after="30"/>
            </w:pPr>
            <w:r>
              <w:rPr>
                <w:rFonts w:ascii="Aptos" w:hAnsi="Aptos"/>
                <w:color w:val="232D38"/>
                <w:sz w:val="14"/>
              </w:rPr>
              <w:t>Repository/release control, integration, database correctness, security, incident/recovery.</w:t>
            </w:r>
          </w:p>
        </w:tc>
        <w:tc>
          <w:tcPr>
            <w:tcW w:type="dxa" w:w="3331"/>
            <w:tcMar>
              <w:top w:w="80" w:type="dxa"/>
              <w:start w:w="90" w:type="dxa"/>
              <w:bottom w:w="80" w:type="dxa"/>
              <w:end w:w="90" w:type="dxa"/>
            </w:tcMar>
            <w:vAlign w:val="top"/>
          </w:tcPr>
          <w:p>
            <w:pPr>
              <w:spacing w:after="30"/>
            </w:pPr>
            <w:r>
              <w:rPr>
                <w:rFonts w:ascii="Aptos" w:hAnsi="Aptos"/>
                <w:color w:val="232D38"/>
                <w:sz w:val="14"/>
              </w:rPr>
              <w:t>Named technical owner, code-review/approval separation, runbooks and backup.</w:t>
            </w:r>
          </w:p>
        </w:tc>
      </w:tr>
      <w:tr>
        <w:trPr>
          <w:cantSplit/>
        </w:trPr>
        <w:tc>
          <w:tcPr>
            <w:tcW w:type="dxa" w:w="3331"/>
            <w:tcMar>
              <w:top w:w="80" w:type="dxa"/>
              <w:start w:w="90" w:type="dxa"/>
              <w:bottom w:w="80" w:type="dxa"/>
              <w:end w:w="90" w:type="dxa"/>
            </w:tcMar>
            <w:vAlign w:val="top"/>
            <w:shd w:fill="F7F9FB"/>
          </w:tcPr>
          <w:p>
            <w:pPr>
              <w:spacing w:after="30"/>
            </w:pPr>
            <w:r>
              <w:rPr>
                <w:rFonts w:ascii="Aptos" w:hAnsi="Aptos"/>
                <w:color w:val="232D38"/>
                <w:sz w:val="14"/>
              </w:rPr>
              <w:t>Institutional/treasury operations</w:t>
            </w:r>
          </w:p>
        </w:tc>
        <w:tc>
          <w:tcPr>
            <w:tcW w:type="dxa" w:w="3331"/>
            <w:tcMar>
              <w:top w:w="80" w:type="dxa"/>
              <w:start w:w="90" w:type="dxa"/>
              <w:bottom w:w="80" w:type="dxa"/>
              <w:end w:w="90" w:type="dxa"/>
            </w:tcMar>
            <w:vAlign w:val="top"/>
            <w:shd w:fill="F7F9FB"/>
          </w:tcPr>
          <w:p>
            <w:pPr>
              <w:spacing w:after="30"/>
            </w:pPr>
            <w:r>
              <w:rPr>
                <w:rFonts w:ascii="Aptos" w:hAnsi="Aptos"/>
                <w:color w:val="232D38"/>
                <w:sz w:val="14"/>
              </w:rPr>
              <w:t>Settlement workflow, liquidity/operational risks, exception and reconciliation procedures.</w:t>
            </w:r>
          </w:p>
        </w:tc>
        <w:tc>
          <w:tcPr>
            <w:tcW w:type="dxa" w:w="3331"/>
            <w:tcMar>
              <w:top w:w="80" w:type="dxa"/>
              <w:start w:w="90" w:type="dxa"/>
              <w:bottom w:w="80" w:type="dxa"/>
              <w:end w:w="90" w:type="dxa"/>
            </w:tcMar>
            <w:vAlign w:val="top"/>
            <w:shd w:fill="F7F9FB"/>
          </w:tcPr>
          <w:p>
            <w:pPr>
              <w:spacing w:after="30"/>
            </w:pPr>
            <w:r>
              <w:rPr>
                <w:rFonts w:ascii="Aptos" w:hAnsi="Aptos"/>
                <w:color w:val="232D38"/>
                <w:sz w:val="14"/>
              </w:rPr>
              <w:t>Qualified role coverage, reviewed operating procedures and escalation path.</w:t>
            </w:r>
          </w:p>
        </w:tc>
      </w:tr>
      <w:tr>
        <w:trPr>
          <w:cantSplit/>
        </w:trPr>
        <w:tc>
          <w:tcPr>
            <w:tcW w:type="dxa" w:w="3331"/>
            <w:tcMar>
              <w:top w:w="80" w:type="dxa"/>
              <w:start w:w="90" w:type="dxa"/>
              <w:bottom w:w="80" w:type="dxa"/>
              <w:end w:w="90" w:type="dxa"/>
            </w:tcMar>
            <w:vAlign w:val="top"/>
          </w:tcPr>
          <w:p>
            <w:pPr>
              <w:spacing w:after="30"/>
            </w:pPr>
            <w:r>
              <w:rPr>
                <w:rFonts w:ascii="Aptos" w:hAnsi="Aptos"/>
                <w:color w:val="232D38"/>
                <w:sz w:val="14"/>
              </w:rPr>
              <w:t>Legal/regulatory counsel</w:t>
            </w:r>
          </w:p>
        </w:tc>
        <w:tc>
          <w:tcPr>
            <w:tcW w:type="dxa" w:w="3331"/>
            <w:tcMar>
              <w:top w:w="80" w:type="dxa"/>
              <w:start w:w="90" w:type="dxa"/>
              <w:bottom w:w="80" w:type="dxa"/>
              <w:end w:w="90" w:type="dxa"/>
            </w:tcMar>
            <w:vAlign w:val="top"/>
          </w:tcPr>
          <w:p>
            <w:pPr>
              <w:spacing w:after="30"/>
            </w:pPr>
            <w:r>
              <w:rPr>
                <w:rFonts w:ascii="Aptos" w:hAnsi="Aptos"/>
                <w:color w:val="232D38"/>
                <w:sz w:val="14"/>
              </w:rPr>
              <w:t>Entity, contracts, licensing, jurisdiction, MTQ classification, liability and finality.</w:t>
            </w:r>
          </w:p>
        </w:tc>
        <w:tc>
          <w:tcPr>
            <w:tcW w:type="dxa" w:w="3331"/>
            <w:tcMar>
              <w:top w:w="80" w:type="dxa"/>
              <w:start w:w="90" w:type="dxa"/>
              <w:bottom w:w="80" w:type="dxa"/>
              <w:end w:w="90" w:type="dxa"/>
            </w:tcMar>
            <w:vAlign w:val="top"/>
          </w:tcPr>
          <w:p>
            <w:pPr>
              <w:spacing w:after="30"/>
            </w:pPr>
            <w:r>
              <w:rPr>
                <w:rFonts w:ascii="Aptos" w:hAnsi="Aptos"/>
                <w:color w:val="232D38"/>
                <w:sz w:val="14"/>
              </w:rPr>
              <w:t>Qualified engaged counsel, engagement scope and written scoped output.</w:t>
            </w:r>
          </w:p>
        </w:tc>
      </w:tr>
      <w:tr>
        <w:trPr>
          <w:cantSplit/>
        </w:trPr>
        <w:tc>
          <w:tcPr>
            <w:tcW w:type="dxa" w:w="3331"/>
            <w:tcMar>
              <w:top w:w="80" w:type="dxa"/>
              <w:start w:w="90" w:type="dxa"/>
              <w:bottom w:w="80" w:type="dxa"/>
              <w:end w:w="90" w:type="dxa"/>
            </w:tcMar>
            <w:vAlign w:val="top"/>
            <w:shd w:fill="F7F9FB"/>
          </w:tcPr>
          <w:p>
            <w:pPr>
              <w:spacing w:after="30"/>
            </w:pPr>
            <w:r>
              <w:rPr>
                <w:rFonts w:ascii="Aptos" w:hAnsi="Aptos"/>
                <w:color w:val="232D38"/>
                <w:sz w:val="14"/>
              </w:rPr>
              <w:t>Bank design-partner sponsor</w:t>
            </w:r>
          </w:p>
        </w:tc>
        <w:tc>
          <w:tcPr>
            <w:tcW w:type="dxa" w:w="3331"/>
            <w:tcMar>
              <w:top w:w="80" w:type="dxa"/>
              <w:start w:w="90" w:type="dxa"/>
              <w:bottom w:w="80" w:type="dxa"/>
              <w:end w:w="90" w:type="dxa"/>
            </w:tcMar>
            <w:vAlign w:val="top"/>
            <w:shd w:fill="F7F9FB"/>
          </w:tcPr>
          <w:p>
            <w:pPr>
              <w:spacing w:after="30"/>
            </w:pPr>
            <w:r>
              <w:rPr>
                <w:rFonts w:ascii="Aptos" w:hAnsi="Aptos"/>
                <w:color w:val="232D38"/>
                <w:sz w:val="14"/>
              </w:rPr>
              <w:t>Problem evidence, technical/risk/legal participants, pilot scope and feedback.</w:t>
            </w:r>
          </w:p>
        </w:tc>
        <w:tc>
          <w:tcPr>
            <w:tcW w:type="dxa" w:w="3331"/>
            <w:tcMar>
              <w:top w:w="80" w:type="dxa"/>
              <w:start w:w="90" w:type="dxa"/>
              <w:bottom w:w="80" w:type="dxa"/>
              <w:end w:w="90" w:type="dxa"/>
            </w:tcMar>
            <w:vAlign w:val="top"/>
            <w:shd w:fill="F7F9FB"/>
          </w:tcPr>
          <w:p>
            <w:pPr>
              <w:spacing w:after="30"/>
            </w:pPr>
            <w:r>
              <w:rPr>
                <w:rFonts w:ascii="Aptos" w:hAnsi="Aptos"/>
                <w:color w:val="232D38"/>
                <w:sz w:val="14"/>
              </w:rPr>
              <w:t>Verified contact/authority and recorded evaluation status; interest is not contract.</w:t>
            </w:r>
          </w:p>
        </w:tc>
      </w:tr>
      <w:tr>
        <w:trPr>
          <w:cantSplit/>
        </w:trPr>
        <w:tc>
          <w:tcPr>
            <w:tcW w:type="dxa" w:w="3331"/>
            <w:tcMar>
              <w:top w:w="80" w:type="dxa"/>
              <w:start w:w="90" w:type="dxa"/>
              <w:bottom w:w="80" w:type="dxa"/>
              <w:end w:w="90" w:type="dxa"/>
            </w:tcMar>
            <w:vAlign w:val="top"/>
          </w:tcPr>
          <w:p>
            <w:pPr>
              <w:spacing w:after="30"/>
            </w:pPr>
            <w:r>
              <w:rPr>
                <w:rFonts w:ascii="Aptos" w:hAnsi="Aptos"/>
                <w:color w:val="232D38"/>
                <w:sz w:val="14"/>
              </w:rPr>
              <w:t>Independent assurance/security specialist</w:t>
            </w:r>
          </w:p>
        </w:tc>
        <w:tc>
          <w:tcPr>
            <w:tcW w:type="dxa" w:w="3331"/>
            <w:tcMar>
              <w:top w:w="80" w:type="dxa"/>
              <w:start w:w="90" w:type="dxa"/>
              <w:bottom w:w="80" w:type="dxa"/>
              <w:end w:w="90" w:type="dxa"/>
            </w:tcMar>
            <w:vAlign w:val="top"/>
          </w:tcPr>
          <w:p>
            <w:pPr>
              <w:spacing w:after="30"/>
            </w:pPr>
            <w:r>
              <w:rPr>
                <w:rFonts w:ascii="Aptos" w:hAnsi="Aptos"/>
                <w:color w:val="232D38"/>
                <w:sz w:val="14"/>
              </w:rPr>
              <w:t>Defined control scope, independence, test method, findings and retest.</w:t>
            </w:r>
          </w:p>
        </w:tc>
        <w:tc>
          <w:tcPr>
            <w:tcW w:type="dxa" w:w="3331"/>
            <w:tcMar>
              <w:top w:w="80" w:type="dxa"/>
              <w:start w:w="90" w:type="dxa"/>
              <w:bottom w:w="80" w:type="dxa"/>
              <w:end w:w="90" w:type="dxa"/>
            </w:tcMar>
            <w:vAlign w:val="top"/>
          </w:tcPr>
          <w:p>
            <w:pPr>
              <w:spacing w:after="30"/>
            </w:pPr>
            <w:r>
              <w:rPr>
                <w:rFonts w:ascii="Aptos" w:hAnsi="Aptos"/>
                <w:color w:val="232D38"/>
                <w:sz w:val="14"/>
              </w:rPr>
              <w:t>Signed engagement/scope when procured; independence and conflicts recorded.</w:t>
            </w:r>
          </w:p>
        </w:tc>
      </w:tr>
    </w:tbl>
    <w:p>
      <w:pPr>
        <w:spacing w:after="0"/>
      </w:pPr>
    </w:p>
    <w:p>
      <w:r>
        <w:rPr>
          <w:i w:val="0"/>
        </w:rPr>
        <w:t>Funding and spend must follow evidence gates. Every planned cost has amount/range, currency, purpose, owner, recurrence, approval ceiling, cancellation path and dependency. Do not create a spending plan based on the old ILPS fixed total without resolving the source arithmetic discrepancy: listed components total 48.1M while an older passage states 46M. Use formula-driven assumptions and label them, or leave as OPEN_DECISION.</w:t>
      </w:r>
    </w:p>
    <w:p>
      <w:pPr>
        <w:pStyle w:val="Heading1"/>
      </w:pPr>
      <w:r>
        <w:t>PART IX — Gate Framework, Risk Register and Assurance</w:t>
      </w:r>
    </w:p>
    <w:p>
      <w:pPr>
        <w:pStyle w:val="Heading2"/>
      </w:pPr>
      <w:r>
        <w:t>9.1 Institutional critical path G0–G11</w:t>
      </w:r>
    </w:p>
    <w:p>
      <w:r>
        <w:rPr>
          <w:i w:val="0"/>
        </w:rPr>
        <w:t>G0–G11 is the primary go/no-go path. Detailed historical controls map into these gates. Workstreams may run in parallel, but a later value movement cannot bypass a required earlier gate.</w:t>
      </w:r>
    </w:p>
    <w:tbl>
      <w:tblPr>
        <w:tblStyle w:val="TableGrid"/>
        <w:tblW w:type="auto" w:w="0"/>
        <w:jc w:val="center"/>
        <w:tblLook w:firstColumn="1" w:firstRow="1" w:lastColumn="0" w:lastRow="0" w:noHBand="0" w:noVBand="1" w:val="04A0"/>
      </w:tblPr>
      <w:tblGrid>
        <w:gridCol w:w="2498"/>
        <w:gridCol w:w="2498"/>
        <w:gridCol w:w="2498"/>
        <w:gridCol w:w="2498"/>
      </w:tblGrid>
      <w:tr>
        <w:trPr>
          <w:tblHeader w:val="true"/>
          <w:cantSplit/>
        </w:trPr>
        <w:tc>
          <w:tcPr>
            <w:tcW w:type="dxa" w:w="720"/>
            <w:shd w:fill="07111F"/>
            <w:tcMar>
              <w:top w:w="80" w:type="dxa"/>
              <w:start w:w="90" w:type="dxa"/>
              <w:bottom w:w="80" w:type="dxa"/>
              <w:end w:w="90" w:type="dxa"/>
            </w:tcMar>
            <w:vAlign w:val="center"/>
          </w:tcPr>
          <w:p>
            <w:r>
              <w:rPr>
                <w:rFonts w:ascii="Aptos" w:hAnsi="Aptos"/>
                <w:b/>
                <w:color w:val="FFFFFF"/>
                <w:sz w:val="13"/>
              </w:rPr>
              <w:t>Gate</w:t>
            </w:r>
          </w:p>
        </w:tc>
        <w:tc>
          <w:tcPr>
            <w:tcW w:type="dxa" w:w="2304"/>
            <w:shd w:fill="07111F"/>
            <w:tcMar>
              <w:top w:w="80" w:type="dxa"/>
              <w:start w:w="90" w:type="dxa"/>
              <w:bottom w:w="80" w:type="dxa"/>
              <w:end w:w="90" w:type="dxa"/>
            </w:tcMar>
            <w:vAlign w:val="center"/>
          </w:tcPr>
          <w:p>
            <w:r>
              <w:rPr>
                <w:rFonts w:ascii="Aptos" w:hAnsi="Aptos"/>
                <w:b/>
                <w:color w:val="FFFFFF"/>
                <w:sz w:val="13"/>
              </w:rPr>
              <w:t>Name</w:t>
            </w:r>
          </w:p>
        </w:tc>
        <w:tc>
          <w:tcPr>
            <w:tcW w:type="dxa" w:w="5112"/>
            <w:shd w:fill="07111F"/>
            <w:tcMar>
              <w:top w:w="80" w:type="dxa"/>
              <w:start w:w="90" w:type="dxa"/>
              <w:bottom w:w="80" w:type="dxa"/>
              <w:end w:w="90" w:type="dxa"/>
            </w:tcMar>
            <w:vAlign w:val="center"/>
          </w:tcPr>
          <w:p>
            <w:r>
              <w:rPr>
                <w:rFonts w:ascii="Aptos" w:hAnsi="Aptos"/>
                <w:b/>
                <w:color w:val="FFFFFF"/>
                <w:sz w:val="13"/>
              </w:rPr>
              <w:t>Minimum exit condition</w:t>
            </w:r>
          </w:p>
        </w:tc>
        <w:tc>
          <w:tcPr>
            <w:tcW w:type="dxa" w:w="1800"/>
            <w:shd w:fill="07111F"/>
            <w:tcMar>
              <w:top w:w="80" w:type="dxa"/>
              <w:start w:w="90" w:type="dxa"/>
              <w:bottom w:w="80" w:type="dxa"/>
              <w:end w:w="90" w:type="dxa"/>
            </w:tcMar>
            <w:vAlign w:val="center"/>
          </w:tcPr>
          <w:p>
            <w:r>
              <w:rPr>
                <w:rFonts w:ascii="Aptos" w:hAnsi="Aptos"/>
                <w:b/>
                <w:color w:val="FFFFFF"/>
                <w:sz w:val="13"/>
              </w:rPr>
              <w:t>Default if not met</w:t>
            </w:r>
          </w:p>
        </w:tc>
      </w:tr>
      <w:tr>
        <w:trPr>
          <w:cantSplit/>
        </w:trPr>
        <w:tc>
          <w:tcPr>
            <w:tcW w:type="dxa" w:w="2498"/>
            <w:tcMar>
              <w:top w:w="80" w:type="dxa"/>
              <w:start w:w="90" w:type="dxa"/>
              <w:bottom w:w="80" w:type="dxa"/>
              <w:end w:w="90" w:type="dxa"/>
            </w:tcMar>
            <w:vAlign w:val="top"/>
            <w:shd w:fill="F7F9FB"/>
          </w:tcPr>
          <w:p>
            <w:pPr>
              <w:spacing w:after="30"/>
            </w:pPr>
            <w:r>
              <w:rPr>
                <w:rFonts w:ascii="Aptos" w:hAnsi="Aptos"/>
                <w:color w:val="232D38"/>
                <w:sz w:val="13"/>
              </w:rPr>
              <w:t>G0</w:t>
            </w:r>
          </w:p>
        </w:tc>
        <w:tc>
          <w:tcPr>
            <w:tcW w:type="dxa" w:w="2498"/>
            <w:tcMar>
              <w:top w:w="80" w:type="dxa"/>
              <w:start w:w="90" w:type="dxa"/>
              <w:bottom w:w="80" w:type="dxa"/>
              <w:end w:w="90" w:type="dxa"/>
            </w:tcMar>
            <w:vAlign w:val="top"/>
            <w:shd w:fill="F7F9FB"/>
          </w:tcPr>
          <w:p>
            <w:pPr>
              <w:spacing w:after="30"/>
            </w:pPr>
            <w:r>
              <w:rPr>
                <w:rFonts w:ascii="Aptos" w:hAnsi="Aptos"/>
                <w:color w:val="232D38"/>
                <w:sz w:val="13"/>
              </w:rPr>
              <w:t>Corporate/Contractual Integrity</w:t>
            </w:r>
          </w:p>
        </w:tc>
        <w:tc>
          <w:tcPr>
            <w:tcW w:type="dxa" w:w="2498"/>
            <w:tcMar>
              <w:top w:w="80" w:type="dxa"/>
              <w:start w:w="90" w:type="dxa"/>
              <w:bottom w:w="80" w:type="dxa"/>
              <w:end w:w="90" w:type="dxa"/>
            </w:tcMar>
            <w:vAlign w:val="top"/>
            <w:shd w:fill="F7F9FB"/>
          </w:tcPr>
          <w:p>
            <w:pPr>
              <w:spacing w:after="30"/>
            </w:pPr>
            <w:r>
              <w:rPr>
                <w:rFonts w:ascii="Aptos" w:hAnsi="Aptos"/>
                <w:color w:val="232D38"/>
                <w:sz w:val="13"/>
              </w:rPr>
              <w:t>Primary documents verified; authority to contract; entity/ownership/control; roles; IP/data rights; instrument conflicts resolved or scoped with counsel-approved conditions.</w:t>
            </w:r>
          </w:p>
        </w:tc>
        <w:tc>
          <w:tcPr>
            <w:tcW w:type="dxa" w:w="2498"/>
            <w:tcMar>
              <w:top w:w="80" w:type="dxa"/>
              <w:start w:w="90" w:type="dxa"/>
              <w:bottom w:w="80" w:type="dxa"/>
              <w:end w:w="90" w:type="dxa"/>
            </w:tcMar>
            <w:vAlign w:val="top"/>
            <w:shd w:fill="F7F9FB"/>
          </w:tcPr>
          <w:p>
            <w:pPr>
              <w:spacing w:after="30"/>
            </w:pPr>
            <w:r>
              <w:rPr>
                <w:rFonts w:ascii="Aptos" w:hAnsi="Aptos"/>
                <w:color w:val="232D38"/>
                <w:sz w:val="13"/>
              </w:rPr>
              <w:t>BLOCK; no bank-facing execution claims or real-value pilot.</w:t>
            </w:r>
          </w:p>
        </w:tc>
      </w:tr>
      <w:tr>
        <w:trPr>
          <w:cantSplit/>
        </w:trPr>
        <w:tc>
          <w:tcPr>
            <w:tcW w:type="dxa" w:w="2498"/>
            <w:tcMar>
              <w:top w:w="80" w:type="dxa"/>
              <w:start w:w="90" w:type="dxa"/>
              <w:bottom w:w="80" w:type="dxa"/>
              <w:end w:w="90" w:type="dxa"/>
            </w:tcMar>
            <w:vAlign w:val="top"/>
          </w:tcPr>
          <w:p>
            <w:pPr>
              <w:spacing w:after="30"/>
            </w:pPr>
            <w:r>
              <w:rPr>
                <w:rFonts w:ascii="Aptos" w:hAnsi="Aptos"/>
                <w:color w:val="232D38"/>
                <w:sz w:val="13"/>
              </w:rPr>
              <w:t>G1</w:t>
            </w:r>
          </w:p>
        </w:tc>
        <w:tc>
          <w:tcPr>
            <w:tcW w:type="dxa" w:w="2498"/>
            <w:tcMar>
              <w:top w:w="80" w:type="dxa"/>
              <w:start w:w="90" w:type="dxa"/>
              <w:bottom w:w="80" w:type="dxa"/>
              <w:end w:w="90" w:type="dxa"/>
            </w:tcMar>
            <w:vAlign w:val="top"/>
          </w:tcPr>
          <w:p>
            <w:pPr>
              <w:spacing w:after="30"/>
            </w:pPr>
            <w:r>
              <w:rPr>
                <w:rFonts w:ascii="Aptos" w:hAnsi="Aptos"/>
                <w:color w:val="232D38"/>
                <w:sz w:val="13"/>
              </w:rPr>
              <w:t>Legal Classification/Jurisdiction</w:t>
            </w:r>
          </w:p>
        </w:tc>
        <w:tc>
          <w:tcPr>
            <w:tcW w:type="dxa" w:w="2498"/>
            <w:tcMar>
              <w:top w:w="80" w:type="dxa"/>
              <w:start w:w="90" w:type="dxa"/>
              <w:bottom w:w="80" w:type="dxa"/>
              <w:end w:w="90" w:type="dxa"/>
            </w:tcMar>
            <w:vAlign w:val="top"/>
          </w:tcPr>
          <w:p>
            <w:pPr>
              <w:spacing w:after="30"/>
            </w:pPr>
            <w:r>
              <w:rPr>
                <w:rFonts w:ascii="Aptos" w:hAnsi="Aptos"/>
                <w:color w:val="232D38"/>
                <w:sz w:val="13"/>
              </w:rPr>
              <w:t>Qualified counsel opinion for exact activity, entities, asset, corridor and jurisdiction; finality/redemption/custody issues scoped.</w:t>
            </w:r>
          </w:p>
        </w:tc>
        <w:tc>
          <w:tcPr>
            <w:tcW w:type="dxa" w:w="2498"/>
            <w:tcMar>
              <w:top w:w="80" w:type="dxa"/>
              <w:start w:w="90" w:type="dxa"/>
              <w:bottom w:w="80" w:type="dxa"/>
              <w:end w:w="90" w:type="dxa"/>
            </w:tcMar>
            <w:vAlign w:val="top"/>
          </w:tcPr>
          <w:p>
            <w:pPr>
              <w:spacing w:after="30"/>
            </w:pPr>
            <w:r>
              <w:rPr>
                <w:rFonts w:ascii="Aptos" w:hAnsi="Aptos"/>
                <w:color w:val="232D38"/>
                <w:sz w:val="13"/>
              </w:rPr>
              <w:t>JURISDICTION_PENDING; affected flows/MTQ disabled.</w:t>
            </w:r>
          </w:p>
        </w:tc>
      </w:tr>
      <w:tr>
        <w:trPr>
          <w:cantSplit/>
        </w:trPr>
        <w:tc>
          <w:tcPr>
            <w:tcW w:type="dxa" w:w="2498"/>
            <w:tcMar>
              <w:top w:w="80" w:type="dxa"/>
              <w:start w:w="90" w:type="dxa"/>
              <w:bottom w:w="80" w:type="dxa"/>
              <w:end w:w="90" w:type="dxa"/>
            </w:tcMar>
            <w:vAlign w:val="top"/>
            <w:shd w:fill="F7F9FB"/>
          </w:tcPr>
          <w:p>
            <w:pPr>
              <w:spacing w:after="30"/>
            </w:pPr>
            <w:r>
              <w:rPr>
                <w:rFonts w:ascii="Aptos" w:hAnsi="Aptos"/>
                <w:color w:val="232D38"/>
                <w:sz w:val="13"/>
              </w:rPr>
              <w:t>G2</w:t>
            </w:r>
          </w:p>
        </w:tc>
        <w:tc>
          <w:tcPr>
            <w:tcW w:type="dxa" w:w="2498"/>
            <w:tcMar>
              <w:top w:w="80" w:type="dxa"/>
              <w:start w:w="90" w:type="dxa"/>
              <w:bottom w:w="80" w:type="dxa"/>
              <w:end w:w="90" w:type="dxa"/>
            </w:tcMar>
            <w:vAlign w:val="top"/>
            <w:shd w:fill="F7F9FB"/>
          </w:tcPr>
          <w:p>
            <w:pPr>
              <w:spacing w:after="30"/>
            </w:pPr>
            <w:r>
              <w:rPr>
                <w:rFonts w:ascii="Aptos" w:hAnsi="Aptos"/>
                <w:color w:val="232D38"/>
                <w:sz w:val="13"/>
              </w:rPr>
              <w:t>Regulatory Permission/Licensing</w:t>
            </w:r>
          </w:p>
        </w:tc>
        <w:tc>
          <w:tcPr>
            <w:tcW w:type="dxa" w:w="2498"/>
            <w:tcMar>
              <w:top w:w="80" w:type="dxa"/>
              <w:start w:w="90" w:type="dxa"/>
              <w:bottom w:w="80" w:type="dxa"/>
              <w:end w:w="90" w:type="dxa"/>
            </w:tcMar>
            <w:vAlign w:val="top"/>
            <w:shd w:fill="F7F9FB"/>
          </w:tcPr>
          <w:p>
            <w:pPr>
              <w:spacing w:after="30"/>
            </w:pPr>
            <w:r>
              <w:rPr>
                <w:rFonts w:ascii="Aptos" w:hAnsi="Aptos"/>
                <w:color w:val="232D38"/>
                <w:sz w:val="13"/>
              </w:rPr>
              <w:t>Required permissions/licenses/exemptions/regulator approvals obtained and verified when needed.</w:t>
            </w:r>
          </w:p>
        </w:tc>
        <w:tc>
          <w:tcPr>
            <w:tcW w:type="dxa" w:w="2498"/>
            <w:tcMar>
              <w:top w:w="80" w:type="dxa"/>
              <w:start w:w="90" w:type="dxa"/>
              <w:bottom w:w="80" w:type="dxa"/>
              <w:end w:w="90" w:type="dxa"/>
            </w:tcMar>
            <w:vAlign w:val="top"/>
            <w:shd w:fill="F7F9FB"/>
          </w:tcPr>
          <w:p>
            <w:pPr>
              <w:spacing w:after="30"/>
            </w:pPr>
            <w:r>
              <w:rPr>
                <w:rFonts w:ascii="Aptos" w:hAnsi="Aptos"/>
                <w:color w:val="232D38"/>
                <w:sz w:val="13"/>
              </w:rPr>
              <w:t>BLOCK; no regulated activity.</w:t>
            </w:r>
          </w:p>
        </w:tc>
      </w:tr>
      <w:tr>
        <w:trPr>
          <w:cantSplit/>
        </w:trPr>
        <w:tc>
          <w:tcPr>
            <w:tcW w:type="dxa" w:w="2498"/>
            <w:tcMar>
              <w:top w:w="80" w:type="dxa"/>
              <w:start w:w="90" w:type="dxa"/>
              <w:bottom w:w="80" w:type="dxa"/>
              <w:end w:w="90" w:type="dxa"/>
            </w:tcMar>
            <w:vAlign w:val="top"/>
          </w:tcPr>
          <w:p>
            <w:pPr>
              <w:spacing w:after="30"/>
            </w:pPr>
            <w:r>
              <w:rPr>
                <w:rFonts w:ascii="Aptos" w:hAnsi="Aptos"/>
                <w:color w:val="232D38"/>
                <w:sz w:val="13"/>
              </w:rPr>
              <w:t>G3</w:t>
            </w:r>
          </w:p>
        </w:tc>
        <w:tc>
          <w:tcPr>
            <w:tcW w:type="dxa" w:w="2498"/>
            <w:tcMar>
              <w:top w:w="80" w:type="dxa"/>
              <w:start w:w="90" w:type="dxa"/>
              <w:bottom w:w="80" w:type="dxa"/>
              <w:end w:w="90" w:type="dxa"/>
            </w:tcMar>
            <w:vAlign w:val="top"/>
          </w:tcPr>
          <w:p>
            <w:pPr>
              <w:spacing w:after="30"/>
            </w:pPr>
            <w:r>
              <w:rPr>
                <w:rFonts w:ascii="Aptos" w:hAnsi="Aptos"/>
                <w:color w:val="232D38"/>
                <w:sz w:val="13"/>
              </w:rPr>
              <w:t>Strategically Useful Design-Partner Bank</w:t>
            </w:r>
          </w:p>
        </w:tc>
        <w:tc>
          <w:tcPr>
            <w:tcW w:type="dxa" w:w="2498"/>
            <w:tcMar>
              <w:top w:w="80" w:type="dxa"/>
              <w:start w:w="90" w:type="dxa"/>
              <w:bottom w:w="80" w:type="dxa"/>
              <w:end w:w="90" w:type="dxa"/>
            </w:tcMar>
            <w:vAlign w:val="top"/>
          </w:tcPr>
          <w:p>
            <w:pPr>
              <w:spacing w:after="30"/>
            </w:pPr>
            <w:r>
              <w:rPr>
                <w:rFonts w:ascii="Aptos" w:hAnsi="Aptos"/>
                <w:color w:val="232D38"/>
                <w:sz w:val="13"/>
              </w:rPr>
              <w:t>Qualified institution, confirmed problem, sponsor, feasibility and authorized evaluation path.</w:t>
            </w:r>
          </w:p>
        </w:tc>
        <w:tc>
          <w:tcPr>
            <w:tcW w:type="dxa" w:w="2498"/>
            <w:tcMar>
              <w:top w:w="80" w:type="dxa"/>
              <w:start w:w="90" w:type="dxa"/>
              <w:bottom w:w="80" w:type="dxa"/>
              <w:end w:w="90" w:type="dxa"/>
            </w:tcMar>
            <w:vAlign w:val="top"/>
          </w:tcPr>
          <w:p>
            <w:pPr>
              <w:spacing w:after="30"/>
            </w:pPr>
            <w:r>
              <w:rPr>
                <w:rFonts w:ascii="Aptos" w:hAnsi="Aptos"/>
                <w:color w:val="232D38"/>
                <w:sz w:val="13"/>
              </w:rPr>
              <w:t>Continue research; no adoption claim.</w:t>
            </w:r>
          </w:p>
        </w:tc>
      </w:tr>
      <w:tr>
        <w:trPr>
          <w:cantSplit/>
        </w:trPr>
        <w:tc>
          <w:tcPr>
            <w:tcW w:type="dxa" w:w="2498"/>
            <w:tcMar>
              <w:top w:w="80" w:type="dxa"/>
              <w:start w:w="90" w:type="dxa"/>
              <w:bottom w:w="80" w:type="dxa"/>
              <w:end w:w="90" w:type="dxa"/>
            </w:tcMar>
            <w:vAlign w:val="top"/>
            <w:shd w:fill="F7F9FB"/>
          </w:tcPr>
          <w:p>
            <w:pPr>
              <w:spacing w:after="30"/>
            </w:pPr>
            <w:r>
              <w:rPr>
                <w:rFonts w:ascii="Aptos" w:hAnsi="Aptos"/>
                <w:color w:val="232D38"/>
                <w:sz w:val="13"/>
              </w:rPr>
              <w:t>G4</w:t>
            </w:r>
          </w:p>
        </w:tc>
        <w:tc>
          <w:tcPr>
            <w:tcW w:type="dxa" w:w="2498"/>
            <w:tcMar>
              <w:top w:w="80" w:type="dxa"/>
              <w:start w:w="90" w:type="dxa"/>
              <w:bottom w:w="80" w:type="dxa"/>
              <w:end w:w="90" w:type="dxa"/>
            </w:tcMar>
            <w:vAlign w:val="top"/>
            <w:shd w:fill="F7F9FB"/>
          </w:tcPr>
          <w:p>
            <w:pPr>
              <w:spacing w:after="30"/>
            </w:pPr>
            <w:r>
              <w:rPr>
                <w:rFonts w:ascii="Aptos" w:hAnsi="Aptos"/>
                <w:color w:val="232D38"/>
                <w:sz w:val="13"/>
              </w:rPr>
              <w:t>Executed Bank Contract/SLA</w:t>
            </w:r>
          </w:p>
        </w:tc>
        <w:tc>
          <w:tcPr>
            <w:tcW w:type="dxa" w:w="2498"/>
            <w:tcMar>
              <w:top w:w="80" w:type="dxa"/>
              <w:start w:w="90" w:type="dxa"/>
              <w:bottom w:w="80" w:type="dxa"/>
              <w:end w:w="90" w:type="dxa"/>
            </w:tcMar>
            <w:vAlign w:val="top"/>
            <w:shd w:fill="F7F9FB"/>
          </w:tcPr>
          <w:p>
            <w:pPr>
              <w:spacing w:after="30"/>
            </w:pPr>
            <w:r>
              <w:rPr>
                <w:rFonts w:ascii="Aptos" w:hAnsi="Aptos"/>
                <w:color w:val="232D38"/>
                <w:sz w:val="13"/>
              </w:rPr>
              <w:t>Approved counterparty, scope, liability, data/security terms, SLA, incident/audit, termination and dispute process.</w:t>
            </w:r>
          </w:p>
        </w:tc>
        <w:tc>
          <w:tcPr>
            <w:tcW w:type="dxa" w:w="2498"/>
            <w:tcMar>
              <w:top w:w="80" w:type="dxa"/>
              <w:start w:w="90" w:type="dxa"/>
              <w:bottom w:w="80" w:type="dxa"/>
              <w:end w:w="90" w:type="dxa"/>
            </w:tcMar>
            <w:vAlign w:val="top"/>
            <w:shd w:fill="F7F9FB"/>
          </w:tcPr>
          <w:p>
            <w:pPr>
              <w:spacing w:after="30"/>
            </w:pPr>
            <w:r>
              <w:rPr>
                <w:rFonts w:ascii="Aptos" w:hAnsi="Aptos"/>
                <w:color w:val="232D38"/>
                <w:sz w:val="13"/>
              </w:rPr>
              <w:t>No pilot with bank data/value.</w:t>
            </w:r>
          </w:p>
        </w:tc>
      </w:tr>
      <w:tr>
        <w:trPr>
          <w:cantSplit/>
        </w:trPr>
        <w:tc>
          <w:tcPr>
            <w:tcW w:type="dxa" w:w="2498"/>
            <w:tcMar>
              <w:top w:w="80" w:type="dxa"/>
              <w:start w:w="90" w:type="dxa"/>
              <w:bottom w:w="80" w:type="dxa"/>
              <w:end w:w="90" w:type="dxa"/>
            </w:tcMar>
            <w:vAlign w:val="top"/>
          </w:tcPr>
          <w:p>
            <w:pPr>
              <w:spacing w:after="30"/>
            </w:pPr>
            <w:r>
              <w:rPr>
                <w:rFonts w:ascii="Aptos" w:hAnsi="Aptos"/>
                <w:color w:val="232D38"/>
                <w:sz w:val="13"/>
              </w:rPr>
              <w:t>G5</w:t>
            </w:r>
          </w:p>
        </w:tc>
        <w:tc>
          <w:tcPr>
            <w:tcW w:type="dxa" w:w="2498"/>
            <w:tcMar>
              <w:top w:w="80" w:type="dxa"/>
              <w:start w:w="90" w:type="dxa"/>
              <w:bottom w:w="80" w:type="dxa"/>
              <w:end w:w="90" w:type="dxa"/>
            </w:tcMar>
            <w:vAlign w:val="top"/>
          </w:tcPr>
          <w:p>
            <w:pPr>
              <w:spacing w:after="30"/>
            </w:pPr>
            <w:r>
              <w:rPr>
                <w:rFonts w:ascii="Aptos" w:hAnsi="Aptos"/>
                <w:color w:val="232D38"/>
                <w:sz w:val="13"/>
              </w:rPr>
              <w:t>Technical Integration/Bank Certification</w:t>
            </w:r>
          </w:p>
        </w:tc>
        <w:tc>
          <w:tcPr>
            <w:tcW w:type="dxa" w:w="2498"/>
            <w:tcMar>
              <w:top w:w="80" w:type="dxa"/>
              <w:start w:w="90" w:type="dxa"/>
              <w:bottom w:w="80" w:type="dxa"/>
              <w:end w:w="90" w:type="dxa"/>
            </w:tcMar>
            <w:vAlign w:val="top"/>
          </w:tcPr>
          <w:p>
            <w:pPr>
              <w:spacing w:after="30"/>
            </w:pPr>
            <w:r>
              <w:rPr>
                <w:rFonts w:ascii="Aptos" w:hAnsi="Aptos"/>
                <w:color w:val="232D38"/>
                <w:sz w:val="13"/>
              </w:rPr>
              <w:t>Tested identity, limits, event flow, reconciliation, exceptions and recovery; bank acceptance evidence.</w:t>
            </w:r>
          </w:p>
        </w:tc>
        <w:tc>
          <w:tcPr>
            <w:tcW w:type="dxa" w:w="2498"/>
            <w:tcMar>
              <w:top w:w="80" w:type="dxa"/>
              <w:start w:w="90" w:type="dxa"/>
              <w:bottom w:w="80" w:type="dxa"/>
              <w:end w:w="90" w:type="dxa"/>
            </w:tcMar>
            <w:vAlign w:val="top"/>
          </w:tcPr>
          <w:p>
            <w:pPr>
              <w:spacing w:after="30"/>
            </w:pPr>
            <w:r>
              <w:rPr>
                <w:rFonts w:ascii="Aptos" w:hAnsi="Aptos"/>
                <w:color w:val="232D38"/>
                <w:sz w:val="13"/>
              </w:rPr>
              <w:t>Sandbox only; affected capability disabled.</w:t>
            </w:r>
          </w:p>
        </w:tc>
      </w:tr>
      <w:tr>
        <w:trPr>
          <w:cantSplit/>
        </w:trPr>
        <w:tc>
          <w:tcPr>
            <w:tcW w:type="dxa" w:w="2498"/>
            <w:tcMar>
              <w:top w:w="80" w:type="dxa"/>
              <w:start w:w="90" w:type="dxa"/>
              <w:bottom w:w="80" w:type="dxa"/>
              <w:end w:w="90" w:type="dxa"/>
            </w:tcMar>
            <w:vAlign w:val="top"/>
            <w:shd w:fill="F7F9FB"/>
          </w:tcPr>
          <w:p>
            <w:pPr>
              <w:spacing w:after="30"/>
            </w:pPr>
            <w:r>
              <w:rPr>
                <w:rFonts w:ascii="Aptos" w:hAnsi="Aptos"/>
                <w:color w:val="232D38"/>
                <w:sz w:val="13"/>
              </w:rPr>
              <w:t>G6</w:t>
            </w:r>
          </w:p>
        </w:tc>
        <w:tc>
          <w:tcPr>
            <w:tcW w:type="dxa" w:w="2498"/>
            <w:tcMar>
              <w:top w:w="80" w:type="dxa"/>
              <w:start w:w="90" w:type="dxa"/>
              <w:bottom w:w="80" w:type="dxa"/>
              <w:end w:w="90" w:type="dxa"/>
            </w:tcMar>
            <w:vAlign w:val="top"/>
            <w:shd w:fill="F7F9FB"/>
          </w:tcPr>
          <w:p>
            <w:pPr>
              <w:spacing w:after="30"/>
            </w:pPr>
            <w:r>
              <w:rPr>
                <w:rFonts w:ascii="Aptos" w:hAnsi="Aptos"/>
                <w:color w:val="232D38"/>
                <w:sz w:val="13"/>
              </w:rPr>
              <w:t>Backing/Custody/Accounting Truth</w:t>
            </w:r>
          </w:p>
        </w:tc>
        <w:tc>
          <w:tcPr>
            <w:tcW w:type="dxa" w:w="2498"/>
            <w:tcMar>
              <w:top w:w="80" w:type="dxa"/>
              <w:start w:w="90" w:type="dxa"/>
              <w:bottom w:w="80" w:type="dxa"/>
              <w:end w:w="90" w:type="dxa"/>
            </w:tcMar>
            <w:vAlign w:val="top"/>
            <w:shd w:fill="F7F9FB"/>
          </w:tcPr>
          <w:p>
            <w:pPr>
              <w:spacing w:after="30"/>
            </w:pPr>
            <w:r>
              <w:rPr>
                <w:rFonts w:ascii="Aptos" w:hAnsi="Aptos"/>
                <w:color w:val="232D38"/>
                <w:sz w:val="13"/>
              </w:rPr>
              <w:t>For MTQ: verified obligor, legal control, custody, direct-matched eligibility, redemption, accounting/prudential/tax and independent evidence.</w:t>
            </w:r>
          </w:p>
        </w:tc>
        <w:tc>
          <w:tcPr>
            <w:tcW w:type="dxa" w:w="2498"/>
            <w:tcMar>
              <w:top w:w="80" w:type="dxa"/>
              <w:start w:w="90" w:type="dxa"/>
              <w:bottom w:w="80" w:type="dxa"/>
              <w:end w:w="90" w:type="dxa"/>
            </w:tcMar>
            <w:vAlign w:val="top"/>
            <w:shd w:fill="F7F9FB"/>
          </w:tcPr>
          <w:p>
            <w:pPr>
              <w:spacing w:after="30"/>
            </w:pPr>
            <w:r>
              <w:rPr>
                <w:rFonts w:ascii="Aptos" w:hAnsi="Aptos"/>
                <w:color w:val="232D38"/>
                <w:sz w:val="13"/>
              </w:rPr>
              <w:t>MTQ remains disabled; not a prerequisite for MTQ-off Pilot A.</w:t>
            </w:r>
          </w:p>
        </w:tc>
      </w:tr>
      <w:tr>
        <w:trPr>
          <w:cantSplit/>
        </w:trPr>
        <w:tc>
          <w:tcPr>
            <w:tcW w:type="dxa" w:w="2498"/>
            <w:tcMar>
              <w:top w:w="80" w:type="dxa"/>
              <w:start w:w="90" w:type="dxa"/>
              <w:bottom w:w="80" w:type="dxa"/>
              <w:end w:w="90" w:type="dxa"/>
            </w:tcMar>
            <w:vAlign w:val="top"/>
          </w:tcPr>
          <w:p>
            <w:pPr>
              <w:spacing w:after="30"/>
            </w:pPr>
            <w:r>
              <w:rPr>
                <w:rFonts w:ascii="Aptos" w:hAnsi="Aptos"/>
                <w:color w:val="232D38"/>
                <w:sz w:val="13"/>
              </w:rPr>
              <w:t>G7</w:t>
            </w:r>
          </w:p>
        </w:tc>
        <w:tc>
          <w:tcPr>
            <w:tcW w:type="dxa" w:w="2498"/>
            <w:tcMar>
              <w:top w:w="80" w:type="dxa"/>
              <w:start w:w="90" w:type="dxa"/>
              <w:bottom w:w="80" w:type="dxa"/>
              <w:end w:w="90" w:type="dxa"/>
            </w:tcMar>
            <w:vAlign w:val="top"/>
          </w:tcPr>
          <w:p>
            <w:pPr>
              <w:spacing w:after="30"/>
            </w:pPr>
            <w:r>
              <w:rPr>
                <w:rFonts w:ascii="Aptos" w:hAnsi="Aptos"/>
                <w:color w:val="232D38"/>
                <w:sz w:val="13"/>
              </w:rPr>
              <w:t>Controlled Pilot</w:t>
            </w:r>
          </w:p>
        </w:tc>
        <w:tc>
          <w:tcPr>
            <w:tcW w:type="dxa" w:w="2498"/>
            <w:tcMar>
              <w:top w:w="80" w:type="dxa"/>
              <w:start w:w="90" w:type="dxa"/>
              <w:bottom w:w="80" w:type="dxa"/>
              <w:end w:w="90" w:type="dxa"/>
            </w:tcMar>
            <w:vAlign w:val="top"/>
          </w:tcPr>
          <w:p>
            <w:pPr>
              <w:spacing w:after="30"/>
            </w:pPr>
            <w:r>
              <w:rPr>
                <w:rFonts w:ascii="Aptos" w:hAnsi="Aptos"/>
                <w:color w:val="232D38"/>
                <w:sz w:val="13"/>
              </w:rPr>
              <w:t>Approved scope/runbook, data permissions, owners, limits, test scenarios, stop conditions and monitoring.</w:t>
            </w:r>
          </w:p>
        </w:tc>
        <w:tc>
          <w:tcPr>
            <w:tcW w:type="dxa" w:w="2498"/>
            <w:tcMar>
              <w:top w:w="80" w:type="dxa"/>
              <w:start w:w="90" w:type="dxa"/>
              <w:bottom w:w="80" w:type="dxa"/>
              <w:end w:w="90" w:type="dxa"/>
            </w:tcMar>
            <w:vAlign w:val="top"/>
          </w:tcPr>
          <w:p>
            <w:pPr>
              <w:spacing w:after="30"/>
            </w:pPr>
            <w:r>
              <w:rPr>
                <w:rFonts w:ascii="Aptos" w:hAnsi="Aptos"/>
                <w:color w:val="232D38"/>
                <w:sz w:val="13"/>
              </w:rPr>
              <w:t>No pilot start.</w:t>
            </w:r>
          </w:p>
        </w:tc>
      </w:tr>
      <w:tr>
        <w:trPr>
          <w:cantSplit/>
        </w:trPr>
        <w:tc>
          <w:tcPr>
            <w:tcW w:type="dxa" w:w="2498"/>
            <w:tcMar>
              <w:top w:w="80" w:type="dxa"/>
              <w:start w:w="90" w:type="dxa"/>
              <w:bottom w:w="80" w:type="dxa"/>
              <w:end w:w="90" w:type="dxa"/>
            </w:tcMar>
            <w:vAlign w:val="top"/>
            <w:shd w:fill="F7F9FB"/>
          </w:tcPr>
          <w:p>
            <w:pPr>
              <w:spacing w:after="30"/>
            </w:pPr>
            <w:r>
              <w:rPr>
                <w:rFonts w:ascii="Aptos" w:hAnsi="Aptos"/>
                <w:color w:val="232D38"/>
                <w:sz w:val="13"/>
              </w:rPr>
              <w:t>G8</w:t>
            </w:r>
          </w:p>
        </w:tc>
        <w:tc>
          <w:tcPr>
            <w:tcW w:type="dxa" w:w="2498"/>
            <w:tcMar>
              <w:top w:w="80" w:type="dxa"/>
              <w:start w:w="90" w:type="dxa"/>
              <w:bottom w:w="80" w:type="dxa"/>
              <w:end w:w="90" w:type="dxa"/>
            </w:tcMar>
            <w:vAlign w:val="top"/>
            <w:shd w:fill="F7F9FB"/>
          </w:tcPr>
          <w:p>
            <w:pPr>
              <w:spacing w:after="30"/>
            </w:pPr>
            <w:r>
              <w:rPr>
                <w:rFonts w:ascii="Aptos" w:hAnsi="Aptos"/>
                <w:color w:val="232D38"/>
                <w:sz w:val="13"/>
              </w:rPr>
              <w:t>Independent Assurance</w:t>
            </w:r>
          </w:p>
        </w:tc>
        <w:tc>
          <w:tcPr>
            <w:tcW w:type="dxa" w:w="2498"/>
            <w:tcMar>
              <w:top w:w="80" w:type="dxa"/>
              <w:start w:w="90" w:type="dxa"/>
              <w:bottom w:w="80" w:type="dxa"/>
              <w:end w:w="90" w:type="dxa"/>
            </w:tcMar>
            <w:vAlign w:val="top"/>
            <w:shd w:fill="F7F9FB"/>
          </w:tcPr>
          <w:p>
            <w:pPr>
              <w:spacing w:after="30"/>
            </w:pPr>
            <w:r>
              <w:rPr>
                <w:rFonts w:ascii="Aptos" w:hAnsi="Aptos"/>
                <w:color w:val="232D38"/>
                <w:sz w:val="13"/>
              </w:rPr>
              <w:t>Independent scoped assessment completed; critical findings remediated/retested.</w:t>
            </w:r>
          </w:p>
        </w:tc>
        <w:tc>
          <w:tcPr>
            <w:tcW w:type="dxa" w:w="2498"/>
            <w:tcMar>
              <w:top w:w="80" w:type="dxa"/>
              <w:start w:w="90" w:type="dxa"/>
              <w:bottom w:w="80" w:type="dxa"/>
              <w:end w:w="90" w:type="dxa"/>
            </w:tcMar>
            <w:vAlign w:val="top"/>
            <w:shd w:fill="F7F9FB"/>
          </w:tcPr>
          <w:p>
            <w:pPr>
              <w:spacing w:after="30"/>
            </w:pPr>
            <w:r>
              <w:rPr>
                <w:rFonts w:ascii="Aptos" w:hAnsi="Aptos"/>
                <w:color w:val="232D38"/>
                <w:sz w:val="13"/>
              </w:rPr>
              <w:t>No production review.</w:t>
            </w:r>
          </w:p>
        </w:tc>
      </w:tr>
      <w:tr>
        <w:trPr>
          <w:cantSplit/>
        </w:trPr>
        <w:tc>
          <w:tcPr>
            <w:tcW w:type="dxa" w:w="2498"/>
            <w:tcMar>
              <w:top w:w="80" w:type="dxa"/>
              <w:start w:w="90" w:type="dxa"/>
              <w:bottom w:w="80" w:type="dxa"/>
              <w:end w:w="90" w:type="dxa"/>
            </w:tcMar>
            <w:vAlign w:val="top"/>
          </w:tcPr>
          <w:p>
            <w:pPr>
              <w:spacing w:after="30"/>
            </w:pPr>
            <w:r>
              <w:rPr>
                <w:rFonts w:ascii="Aptos" w:hAnsi="Aptos"/>
                <w:color w:val="232D38"/>
                <w:sz w:val="13"/>
              </w:rPr>
              <w:t>G9</w:t>
            </w:r>
          </w:p>
        </w:tc>
        <w:tc>
          <w:tcPr>
            <w:tcW w:type="dxa" w:w="2498"/>
            <w:tcMar>
              <w:top w:w="80" w:type="dxa"/>
              <w:start w:w="90" w:type="dxa"/>
              <w:bottom w:w="80" w:type="dxa"/>
              <w:end w:w="90" w:type="dxa"/>
            </w:tcMar>
            <w:vAlign w:val="top"/>
          </w:tcPr>
          <w:p>
            <w:pPr>
              <w:spacing w:after="30"/>
            </w:pPr>
            <w:r>
              <w:rPr>
                <w:rFonts w:ascii="Aptos" w:hAnsi="Aptos"/>
                <w:color w:val="232D38"/>
                <w:sz w:val="13"/>
              </w:rPr>
              <w:t>Measured Outcome</w:t>
            </w:r>
          </w:p>
        </w:tc>
        <w:tc>
          <w:tcPr>
            <w:tcW w:type="dxa" w:w="2498"/>
            <w:tcMar>
              <w:top w:w="80" w:type="dxa"/>
              <w:start w:w="90" w:type="dxa"/>
              <w:bottom w:w="80" w:type="dxa"/>
              <w:end w:w="90" w:type="dxa"/>
            </w:tcMar>
            <w:vAlign w:val="top"/>
          </w:tcPr>
          <w:p>
            <w:pPr>
              <w:spacing w:after="30"/>
            </w:pPr>
            <w:r>
              <w:rPr>
                <w:rFonts w:ascii="Aptos" w:hAnsi="Aptos"/>
                <w:color w:val="232D38"/>
                <w:sz w:val="13"/>
              </w:rPr>
              <w:t>Baseline and pilot metrics, cost/value, negative results, sample and limitations reviewed.</w:t>
            </w:r>
          </w:p>
        </w:tc>
        <w:tc>
          <w:tcPr>
            <w:tcW w:type="dxa" w:w="2498"/>
            <w:tcMar>
              <w:top w:w="80" w:type="dxa"/>
              <w:start w:w="90" w:type="dxa"/>
              <w:bottom w:w="80" w:type="dxa"/>
              <w:end w:w="90" w:type="dxa"/>
            </w:tcMar>
            <w:vAlign w:val="top"/>
          </w:tcPr>
          <w:p>
            <w:pPr>
              <w:spacing w:after="30"/>
            </w:pPr>
            <w:r>
              <w:rPr>
                <w:rFonts w:ascii="Aptos" w:hAnsi="Aptos"/>
                <w:color w:val="232D38"/>
                <w:sz w:val="13"/>
              </w:rPr>
              <w:t>No ROI/performance claims.</w:t>
            </w:r>
          </w:p>
        </w:tc>
      </w:tr>
      <w:tr>
        <w:trPr>
          <w:cantSplit/>
        </w:trPr>
        <w:tc>
          <w:tcPr>
            <w:tcW w:type="dxa" w:w="2498"/>
            <w:tcMar>
              <w:top w:w="80" w:type="dxa"/>
              <w:start w:w="90" w:type="dxa"/>
              <w:bottom w:w="80" w:type="dxa"/>
              <w:end w:w="90" w:type="dxa"/>
            </w:tcMar>
            <w:vAlign w:val="top"/>
            <w:shd w:fill="F7F9FB"/>
          </w:tcPr>
          <w:p>
            <w:pPr>
              <w:spacing w:after="30"/>
            </w:pPr>
            <w:r>
              <w:rPr>
                <w:rFonts w:ascii="Aptos" w:hAnsi="Aptos"/>
                <w:color w:val="232D38"/>
                <w:sz w:val="13"/>
              </w:rPr>
              <w:t>G10</w:t>
            </w:r>
          </w:p>
        </w:tc>
        <w:tc>
          <w:tcPr>
            <w:tcW w:type="dxa" w:w="2498"/>
            <w:tcMar>
              <w:top w:w="80" w:type="dxa"/>
              <w:start w:w="90" w:type="dxa"/>
              <w:bottom w:w="80" w:type="dxa"/>
              <w:end w:w="90" w:type="dxa"/>
            </w:tcMar>
            <w:vAlign w:val="top"/>
            <w:shd w:fill="F7F9FB"/>
          </w:tcPr>
          <w:p>
            <w:pPr>
              <w:spacing w:after="30"/>
            </w:pPr>
            <w:r>
              <w:rPr>
                <w:rFonts w:ascii="Aptos" w:hAnsi="Aptos"/>
                <w:color w:val="232D38"/>
                <w:sz w:val="13"/>
              </w:rPr>
              <w:t>Repeatability</w:t>
            </w:r>
          </w:p>
        </w:tc>
        <w:tc>
          <w:tcPr>
            <w:tcW w:type="dxa" w:w="2498"/>
            <w:tcMar>
              <w:top w:w="80" w:type="dxa"/>
              <w:start w:w="90" w:type="dxa"/>
              <w:bottom w:w="80" w:type="dxa"/>
              <w:end w:w="90" w:type="dxa"/>
            </w:tcMar>
            <w:vAlign w:val="top"/>
            <w:shd w:fill="F7F9FB"/>
          </w:tcPr>
          <w:p>
            <w:pPr>
              <w:spacing w:after="30"/>
            </w:pPr>
            <w:r>
              <w:rPr>
                <w:rFonts w:ascii="Aptos" w:hAnsi="Aptos"/>
                <w:color w:val="232D38"/>
                <w:sz w:val="13"/>
              </w:rPr>
              <w:t>Second deployment/problem/corridor demonstrates repeatability and incremental effort/economics.</w:t>
            </w:r>
          </w:p>
        </w:tc>
        <w:tc>
          <w:tcPr>
            <w:tcW w:type="dxa" w:w="2498"/>
            <w:tcMar>
              <w:top w:w="80" w:type="dxa"/>
              <w:start w:w="90" w:type="dxa"/>
              <w:bottom w:w="80" w:type="dxa"/>
              <w:end w:w="90" w:type="dxa"/>
            </w:tcMar>
            <w:vAlign w:val="top"/>
            <w:shd w:fill="F7F9FB"/>
          </w:tcPr>
          <w:p>
            <w:pPr>
              <w:spacing w:after="30"/>
            </w:pPr>
            <w:r>
              <w:rPr>
                <w:rFonts w:ascii="Aptos" w:hAnsi="Aptos"/>
                <w:color w:val="232D38"/>
                <w:sz w:val="13"/>
              </w:rPr>
              <w:t>Treat as bespoke, not scalable.</w:t>
            </w:r>
          </w:p>
        </w:tc>
      </w:tr>
      <w:tr>
        <w:trPr>
          <w:cantSplit/>
        </w:trPr>
        <w:tc>
          <w:tcPr>
            <w:tcW w:type="dxa" w:w="2498"/>
            <w:tcMar>
              <w:top w:w="80" w:type="dxa"/>
              <w:start w:w="90" w:type="dxa"/>
              <w:bottom w:w="80" w:type="dxa"/>
              <w:end w:w="90" w:type="dxa"/>
            </w:tcMar>
            <w:vAlign w:val="top"/>
          </w:tcPr>
          <w:p>
            <w:pPr>
              <w:spacing w:after="30"/>
            </w:pPr>
            <w:r>
              <w:rPr>
                <w:rFonts w:ascii="Aptos" w:hAnsi="Aptos"/>
                <w:color w:val="232D38"/>
                <w:sz w:val="13"/>
              </w:rPr>
              <w:t>G11</w:t>
            </w:r>
          </w:p>
        </w:tc>
        <w:tc>
          <w:tcPr>
            <w:tcW w:type="dxa" w:w="2498"/>
            <w:tcMar>
              <w:top w:w="80" w:type="dxa"/>
              <w:start w:w="90" w:type="dxa"/>
              <w:bottom w:w="80" w:type="dxa"/>
              <w:end w:w="90" w:type="dxa"/>
            </w:tcMar>
            <w:vAlign w:val="top"/>
          </w:tcPr>
          <w:p>
            <w:pPr>
              <w:spacing w:after="30"/>
            </w:pPr>
            <w:r>
              <w:rPr>
                <w:rFonts w:ascii="Aptos" w:hAnsi="Aptos"/>
                <w:color w:val="232D38"/>
                <w:sz w:val="13"/>
              </w:rPr>
              <w:t>Production Authorization Review</w:t>
            </w:r>
          </w:p>
        </w:tc>
        <w:tc>
          <w:tcPr>
            <w:tcW w:type="dxa" w:w="2498"/>
            <w:tcMar>
              <w:top w:w="80" w:type="dxa"/>
              <w:start w:w="90" w:type="dxa"/>
              <w:bottom w:w="80" w:type="dxa"/>
              <w:end w:w="90" w:type="dxa"/>
            </w:tcMar>
            <w:vAlign w:val="top"/>
          </w:tcPr>
          <w:p>
            <w:pPr>
              <w:spacing w:after="30"/>
            </w:pPr>
            <w:r>
              <w:rPr>
                <w:rFonts w:ascii="Aptos" w:hAnsi="Aptos"/>
                <w:color w:val="232D38"/>
                <w:sz w:val="13"/>
              </w:rPr>
              <w:t>Applicable legal/regulatory/bank/security/technical/operational/commercial/governance conditions passed; explicit authorized approval.</w:t>
            </w:r>
          </w:p>
        </w:tc>
        <w:tc>
          <w:tcPr>
            <w:tcW w:type="dxa" w:w="2498"/>
            <w:tcMar>
              <w:top w:w="80" w:type="dxa"/>
              <w:start w:w="90" w:type="dxa"/>
              <w:bottom w:w="80" w:type="dxa"/>
              <w:end w:w="90" w:type="dxa"/>
            </w:tcMar>
            <w:vAlign w:val="top"/>
          </w:tcPr>
          <w:p>
            <w:pPr>
              <w:spacing w:after="30"/>
            </w:pPr>
            <w:r>
              <w:rPr>
                <w:rFonts w:ascii="Aptos" w:hAnsi="Aptos"/>
                <w:color w:val="232D38"/>
                <w:sz w:val="13"/>
              </w:rPr>
              <w:t>productionAuthorized=false.</w:t>
            </w:r>
          </w:p>
        </w:tc>
      </w:tr>
    </w:tbl>
    <w:p>
      <w:pPr>
        <w:spacing w:after="0"/>
      </w:pPr>
    </w:p>
    <w:p>
      <w:pPr>
        <w:pStyle w:val="Heading2"/>
      </w:pPr>
      <w:r>
        <w:t>9.2 Historical 20-gate controls mapped into G0–G11</w:t>
      </w:r>
    </w:p>
    <w:tbl>
      <w:tblPr>
        <w:tblStyle w:val="TableGrid"/>
        <w:tblW w:type="auto" w:w="0"/>
        <w:jc w:val="center"/>
        <w:tblLook w:firstColumn="1" w:firstRow="1" w:lastColumn="0" w:lastRow="0" w:noHBand="0" w:noVBand="1" w:val="04A0"/>
      </w:tblPr>
      <w:tblGrid>
        <w:gridCol w:w="3331"/>
        <w:gridCol w:w="3331"/>
        <w:gridCol w:w="3331"/>
      </w:tblGrid>
      <w:tr>
        <w:trPr>
          <w:tblHeader w:val="true"/>
          <w:cantSplit/>
        </w:trPr>
        <w:tc>
          <w:tcPr>
            <w:tcW w:type="dxa" w:w="1440"/>
            <w:shd w:fill="07111F"/>
            <w:tcMar>
              <w:top w:w="80" w:type="dxa"/>
              <w:start w:w="90" w:type="dxa"/>
              <w:bottom w:w="80" w:type="dxa"/>
              <w:end w:w="90" w:type="dxa"/>
            </w:tcMar>
            <w:vAlign w:val="center"/>
          </w:tcPr>
          <w:p>
            <w:r>
              <w:rPr>
                <w:rFonts w:ascii="Aptos" w:hAnsi="Aptos"/>
                <w:b/>
                <w:color w:val="FFFFFF"/>
                <w:sz w:val="14"/>
              </w:rPr>
              <w:t>Control ID</w:t>
            </w:r>
          </w:p>
        </w:tc>
        <w:tc>
          <w:tcPr>
            <w:tcW w:type="dxa" w:w="4392"/>
            <w:shd w:fill="07111F"/>
            <w:tcMar>
              <w:top w:w="80" w:type="dxa"/>
              <w:start w:w="90" w:type="dxa"/>
              <w:bottom w:w="80" w:type="dxa"/>
              <w:end w:w="90" w:type="dxa"/>
            </w:tcMar>
            <w:vAlign w:val="center"/>
          </w:tcPr>
          <w:p>
            <w:r>
              <w:rPr>
                <w:rFonts w:ascii="Aptos" w:hAnsi="Aptos"/>
                <w:b/>
                <w:color w:val="FFFFFF"/>
                <w:sz w:val="14"/>
              </w:rPr>
              <w:t>Control</w:t>
            </w:r>
          </w:p>
        </w:tc>
        <w:tc>
          <w:tcPr>
            <w:tcW w:type="dxa" w:w="4104"/>
            <w:shd w:fill="07111F"/>
            <w:tcMar>
              <w:top w:w="80" w:type="dxa"/>
              <w:start w:w="90" w:type="dxa"/>
              <w:bottom w:w="80" w:type="dxa"/>
              <w:end w:w="90" w:type="dxa"/>
            </w:tcMar>
            <w:vAlign w:val="center"/>
          </w:tcPr>
          <w:p>
            <w:r>
              <w:rPr>
                <w:rFonts w:ascii="Aptos" w:hAnsi="Aptos"/>
                <w:b/>
                <w:color w:val="FFFFFF"/>
                <w:sz w:val="14"/>
              </w:rPr>
              <w:t>Primary gate mapping</w:t>
            </w:r>
          </w:p>
        </w:tc>
      </w:tr>
      <w:tr>
        <w:trPr>
          <w:cantSplit/>
        </w:trPr>
        <w:tc>
          <w:tcPr>
            <w:tcW w:type="dxa" w:w="3331"/>
            <w:tcMar>
              <w:top w:w="80" w:type="dxa"/>
              <w:start w:w="90" w:type="dxa"/>
              <w:bottom w:w="80" w:type="dxa"/>
              <w:end w:w="90" w:type="dxa"/>
            </w:tcMar>
            <w:vAlign w:val="top"/>
            <w:shd w:fill="F7F9FB"/>
          </w:tcPr>
          <w:p>
            <w:pPr>
              <w:spacing w:after="30"/>
            </w:pPr>
            <w:r>
              <w:rPr>
                <w:rFonts w:ascii="Aptos" w:hAnsi="Aptos"/>
                <w:color w:val="232D38"/>
                <w:sz w:val="14"/>
              </w:rPr>
              <w:t>G01</w:t>
            </w:r>
          </w:p>
        </w:tc>
        <w:tc>
          <w:tcPr>
            <w:tcW w:type="dxa" w:w="3331"/>
            <w:tcMar>
              <w:top w:w="80" w:type="dxa"/>
              <w:start w:w="90" w:type="dxa"/>
              <w:bottom w:w="80" w:type="dxa"/>
              <w:end w:w="90" w:type="dxa"/>
            </w:tcMar>
            <w:vAlign w:val="top"/>
            <w:shd w:fill="F7F9FB"/>
          </w:tcPr>
          <w:p>
            <w:pPr>
              <w:spacing w:after="30"/>
            </w:pPr>
            <w:r>
              <w:rPr>
                <w:rFonts w:ascii="Aptos" w:hAnsi="Aptos"/>
                <w:color w:val="232D38"/>
                <w:sz w:val="14"/>
              </w:rPr>
              <w:t>Legal classification</w:t>
            </w:r>
          </w:p>
        </w:tc>
        <w:tc>
          <w:tcPr>
            <w:tcW w:type="dxa" w:w="3331"/>
            <w:tcMar>
              <w:top w:w="80" w:type="dxa"/>
              <w:start w:w="90" w:type="dxa"/>
              <w:bottom w:w="80" w:type="dxa"/>
              <w:end w:w="90" w:type="dxa"/>
            </w:tcMar>
            <w:vAlign w:val="top"/>
            <w:shd w:fill="F7F9FB"/>
          </w:tcPr>
          <w:p>
            <w:pPr>
              <w:spacing w:after="30"/>
            </w:pPr>
            <w:r>
              <w:rPr>
                <w:rFonts w:ascii="Aptos" w:hAnsi="Aptos"/>
                <w:color w:val="232D38"/>
                <w:sz w:val="14"/>
              </w:rPr>
              <w:t>G1</w:t>
            </w:r>
          </w:p>
        </w:tc>
      </w:tr>
      <w:tr>
        <w:trPr>
          <w:cantSplit/>
        </w:trPr>
        <w:tc>
          <w:tcPr>
            <w:tcW w:type="dxa" w:w="3331"/>
            <w:tcMar>
              <w:top w:w="80" w:type="dxa"/>
              <w:start w:w="90" w:type="dxa"/>
              <w:bottom w:w="80" w:type="dxa"/>
              <w:end w:w="90" w:type="dxa"/>
            </w:tcMar>
            <w:vAlign w:val="top"/>
          </w:tcPr>
          <w:p>
            <w:pPr>
              <w:spacing w:after="30"/>
            </w:pPr>
            <w:r>
              <w:rPr>
                <w:rFonts w:ascii="Aptos" w:hAnsi="Aptos"/>
                <w:color w:val="232D38"/>
                <w:sz w:val="14"/>
              </w:rPr>
              <w:t>G02</w:t>
            </w:r>
          </w:p>
        </w:tc>
        <w:tc>
          <w:tcPr>
            <w:tcW w:type="dxa" w:w="3331"/>
            <w:tcMar>
              <w:top w:w="80" w:type="dxa"/>
              <w:start w:w="90" w:type="dxa"/>
              <w:bottom w:w="80" w:type="dxa"/>
              <w:end w:w="90" w:type="dxa"/>
            </w:tcMar>
            <w:vAlign w:val="top"/>
          </w:tcPr>
          <w:p>
            <w:pPr>
              <w:spacing w:after="30"/>
            </w:pPr>
            <w:r>
              <w:rPr>
                <w:rFonts w:ascii="Aptos" w:hAnsi="Aptos"/>
                <w:color w:val="232D38"/>
                <w:sz w:val="14"/>
              </w:rPr>
              <w:t>Licensing/regulatory permission</w:t>
            </w:r>
          </w:p>
        </w:tc>
        <w:tc>
          <w:tcPr>
            <w:tcW w:type="dxa" w:w="3331"/>
            <w:tcMar>
              <w:top w:w="80" w:type="dxa"/>
              <w:start w:w="90" w:type="dxa"/>
              <w:bottom w:w="80" w:type="dxa"/>
              <w:end w:w="90" w:type="dxa"/>
            </w:tcMar>
            <w:vAlign w:val="top"/>
          </w:tcPr>
          <w:p>
            <w:pPr>
              <w:spacing w:after="30"/>
            </w:pPr>
            <w:r>
              <w:rPr>
                <w:rFonts w:ascii="Aptos" w:hAnsi="Aptos"/>
                <w:color w:val="232D38"/>
                <w:sz w:val="14"/>
              </w:rPr>
              <w:t>G2</w:t>
            </w:r>
          </w:p>
        </w:tc>
      </w:tr>
      <w:tr>
        <w:trPr>
          <w:cantSplit/>
        </w:trPr>
        <w:tc>
          <w:tcPr>
            <w:tcW w:type="dxa" w:w="3331"/>
            <w:tcMar>
              <w:top w:w="80" w:type="dxa"/>
              <w:start w:w="90" w:type="dxa"/>
              <w:bottom w:w="80" w:type="dxa"/>
              <w:end w:w="90" w:type="dxa"/>
            </w:tcMar>
            <w:vAlign w:val="top"/>
            <w:shd w:fill="F7F9FB"/>
          </w:tcPr>
          <w:p>
            <w:pPr>
              <w:spacing w:after="30"/>
            </w:pPr>
            <w:r>
              <w:rPr>
                <w:rFonts w:ascii="Aptos" w:hAnsi="Aptos"/>
                <w:color w:val="232D38"/>
                <w:sz w:val="14"/>
              </w:rPr>
              <w:t>G03</w:t>
            </w:r>
          </w:p>
        </w:tc>
        <w:tc>
          <w:tcPr>
            <w:tcW w:type="dxa" w:w="3331"/>
            <w:tcMar>
              <w:top w:w="80" w:type="dxa"/>
              <w:start w:w="90" w:type="dxa"/>
              <w:bottom w:w="80" w:type="dxa"/>
              <w:end w:w="90" w:type="dxa"/>
            </w:tcMar>
            <w:vAlign w:val="top"/>
            <w:shd w:fill="F7F9FB"/>
          </w:tcPr>
          <w:p>
            <w:pPr>
              <w:spacing w:after="30"/>
            </w:pPr>
            <w:r>
              <w:rPr>
                <w:rFonts w:ascii="Aptos" w:hAnsi="Aptos"/>
                <w:color w:val="232D38"/>
                <w:sz w:val="14"/>
              </w:rPr>
              <w:t>Bank contract</w:t>
            </w:r>
          </w:p>
        </w:tc>
        <w:tc>
          <w:tcPr>
            <w:tcW w:type="dxa" w:w="3331"/>
            <w:tcMar>
              <w:top w:w="80" w:type="dxa"/>
              <w:start w:w="90" w:type="dxa"/>
              <w:bottom w:w="80" w:type="dxa"/>
              <w:end w:w="90" w:type="dxa"/>
            </w:tcMar>
            <w:vAlign w:val="top"/>
            <w:shd w:fill="F7F9FB"/>
          </w:tcPr>
          <w:p>
            <w:pPr>
              <w:spacing w:after="30"/>
            </w:pPr>
            <w:r>
              <w:rPr>
                <w:rFonts w:ascii="Aptos" w:hAnsi="Aptos"/>
                <w:color w:val="232D38"/>
                <w:sz w:val="14"/>
              </w:rPr>
              <w:t>G4</w:t>
            </w:r>
          </w:p>
        </w:tc>
      </w:tr>
      <w:tr>
        <w:trPr>
          <w:cantSplit/>
        </w:trPr>
        <w:tc>
          <w:tcPr>
            <w:tcW w:type="dxa" w:w="3331"/>
            <w:tcMar>
              <w:top w:w="80" w:type="dxa"/>
              <w:start w:w="90" w:type="dxa"/>
              <w:bottom w:w="80" w:type="dxa"/>
              <w:end w:w="90" w:type="dxa"/>
            </w:tcMar>
            <w:vAlign w:val="top"/>
          </w:tcPr>
          <w:p>
            <w:pPr>
              <w:spacing w:after="30"/>
            </w:pPr>
            <w:r>
              <w:rPr>
                <w:rFonts w:ascii="Aptos" w:hAnsi="Aptos"/>
                <w:color w:val="232D38"/>
                <w:sz w:val="14"/>
              </w:rPr>
              <w:t>G04</w:t>
            </w:r>
          </w:p>
        </w:tc>
        <w:tc>
          <w:tcPr>
            <w:tcW w:type="dxa" w:w="3331"/>
            <w:tcMar>
              <w:top w:w="80" w:type="dxa"/>
              <w:start w:w="90" w:type="dxa"/>
              <w:bottom w:w="80" w:type="dxa"/>
              <w:end w:w="90" w:type="dxa"/>
            </w:tcMar>
            <w:vAlign w:val="top"/>
          </w:tcPr>
          <w:p>
            <w:pPr>
              <w:spacing w:after="30"/>
            </w:pPr>
            <w:r>
              <w:rPr>
                <w:rFonts w:ascii="Aptos" w:hAnsi="Aptos"/>
                <w:color w:val="232D38"/>
                <w:sz w:val="14"/>
              </w:rPr>
              <w:t>Liability/resolution contract</w:t>
            </w:r>
          </w:p>
        </w:tc>
        <w:tc>
          <w:tcPr>
            <w:tcW w:type="dxa" w:w="3331"/>
            <w:tcMar>
              <w:top w:w="80" w:type="dxa"/>
              <w:start w:w="90" w:type="dxa"/>
              <w:bottom w:w="80" w:type="dxa"/>
              <w:end w:w="90" w:type="dxa"/>
            </w:tcMar>
            <w:vAlign w:val="top"/>
          </w:tcPr>
          <w:p>
            <w:pPr>
              <w:spacing w:after="30"/>
            </w:pPr>
            <w:r>
              <w:rPr>
                <w:rFonts w:ascii="Aptos" w:hAnsi="Aptos"/>
                <w:color w:val="232D38"/>
                <w:sz w:val="14"/>
              </w:rPr>
              <w:t>G0/G4</w:t>
            </w:r>
          </w:p>
        </w:tc>
      </w:tr>
      <w:tr>
        <w:trPr>
          <w:cantSplit/>
        </w:trPr>
        <w:tc>
          <w:tcPr>
            <w:tcW w:type="dxa" w:w="3331"/>
            <w:tcMar>
              <w:top w:w="80" w:type="dxa"/>
              <w:start w:w="90" w:type="dxa"/>
              <w:bottom w:w="80" w:type="dxa"/>
              <w:end w:w="90" w:type="dxa"/>
            </w:tcMar>
            <w:vAlign w:val="top"/>
            <w:shd w:fill="F7F9FB"/>
          </w:tcPr>
          <w:p>
            <w:pPr>
              <w:spacing w:after="30"/>
            </w:pPr>
            <w:r>
              <w:rPr>
                <w:rFonts w:ascii="Aptos" w:hAnsi="Aptos"/>
                <w:color w:val="232D38"/>
                <w:sz w:val="14"/>
              </w:rPr>
              <w:t>G05</w:t>
            </w:r>
          </w:p>
        </w:tc>
        <w:tc>
          <w:tcPr>
            <w:tcW w:type="dxa" w:w="3331"/>
            <w:tcMar>
              <w:top w:w="80" w:type="dxa"/>
              <w:start w:w="90" w:type="dxa"/>
              <w:bottom w:w="80" w:type="dxa"/>
              <w:end w:w="90" w:type="dxa"/>
            </w:tcMar>
            <w:vAlign w:val="top"/>
            <w:shd w:fill="F7F9FB"/>
          </w:tcPr>
          <w:p>
            <w:pPr>
              <w:spacing w:after="30"/>
            </w:pPr>
            <w:r>
              <w:rPr>
                <w:rFonts w:ascii="Aptos" w:hAnsi="Aptos"/>
                <w:color w:val="232D38"/>
                <w:sz w:val="14"/>
              </w:rPr>
              <w:t>Bank technical certification</w:t>
            </w:r>
          </w:p>
        </w:tc>
        <w:tc>
          <w:tcPr>
            <w:tcW w:type="dxa" w:w="3331"/>
            <w:tcMar>
              <w:top w:w="80" w:type="dxa"/>
              <w:start w:w="90" w:type="dxa"/>
              <w:bottom w:w="80" w:type="dxa"/>
              <w:end w:w="90" w:type="dxa"/>
            </w:tcMar>
            <w:vAlign w:val="top"/>
            <w:shd w:fill="F7F9FB"/>
          </w:tcPr>
          <w:p>
            <w:pPr>
              <w:spacing w:after="30"/>
            </w:pPr>
            <w:r>
              <w:rPr>
                <w:rFonts w:ascii="Aptos" w:hAnsi="Aptos"/>
                <w:color w:val="232D38"/>
                <w:sz w:val="14"/>
              </w:rPr>
              <w:t>G5</w:t>
            </w:r>
          </w:p>
        </w:tc>
      </w:tr>
      <w:tr>
        <w:trPr>
          <w:cantSplit/>
        </w:trPr>
        <w:tc>
          <w:tcPr>
            <w:tcW w:type="dxa" w:w="3331"/>
            <w:tcMar>
              <w:top w:w="80" w:type="dxa"/>
              <w:start w:w="90" w:type="dxa"/>
              <w:bottom w:w="80" w:type="dxa"/>
              <w:end w:w="90" w:type="dxa"/>
            </w:tcMar>
            <w:vAlign w:val="top"/>
          </w:tcPr>
          <w:p>
            <w:pPr>
              <w:spacing w:after="30"/>
            </w:pPr>
            <w:r>
              <w:rPr>
                <w:rFonts w:ascii="Aptos" w:hAnsi="Aptos"/>
                <w:color w:val="232D38"/>
                <w:sz w:val="14"/>
              </w:rPr>
              <w:t>G06</w:t>
            </w:r>
          </w:p>
        </w:tc>
        <w:tc>
          <w:tcPr>
            <w:tcW w:type="dxa" w:w="3331"/>
            <w:tcMar>
              <w:top w:w="80" w:type="dxa"/>
              <w:start w:w="90" w:type="dxa"/>
              <w:bottom w:w="80" w:type="dxa"/>
              <w:end w:w="90" w:type="dxa"/>
            </w:tcMar>
            <w:vAlign w:val="top"/>
          </w:tcPr>
          <w:p>
            <w:pPr>
              <w:spacing w:after="30"/>
            </w:pPr>
            <w:r>
              <w:rPr>
                <w:rFonts w:ascii="Aptos" w:hAnsi="Aptos"/>
                <w:color w:val="232D38"/>
                <w:sz w:val="14"/>
              </w:rPr>
              <w:t>Legal backing control</w:t>
            </w:r>
          </w:p>
        </w:tc>
        <w:tc>
          <w:tcPr>
            <w:tcW w:type="dxa" w:w="3331"/>
            <w:tcMar>
              <w:top w:w="80" w:type="dxa"/>
              <w:start w:w="90" w:type="dxa"/>
              <w:bottom w:w="80" w:type="dxa"/>
              <w:end w:w="90" w:type="dxa"/>
            </w:tcMar>
            <w:vAlign w:val="top"/>
          </w:tcPr>
          <w:p>
            <w:pPr>
              <w:spacing w:after="30"/>
            </w:pPr>
            <w:r>
              <w:rPr>
                <w:rFonts w:ascii="Aptos" w:hAnsi="Aptos"/>
                <w:color w:val="232D38"/>
                <w:sz w:val="14"/>
              </w:rPr>
              <w:t>G6</w:t>
            </w:r>
          </w:p>
        </w:tc>
      </w:tr>
      <w:tr>
        <w:trPr>
          <w:cantSplit/>
        </w:trPr>
        <w:tc>
          <w:tcPr>
            <w:tcW w:type="dxa" w:w="3331"/>
            <w:tcMar>
              <w:top w:w="80" w:type="dxa"/>
              <w:start w:w="90" w:type="dxa"/>
              <w:bottom w:w="80" w:type="dxa"/>
              <w:end w:w="90" w:type="dxa"/>
            </w:tcMar>
            <w:vAlign w:val="top"/>
            <w:shd w:fill="F7F9FB"/>
          </w:tcPr>
          <w:p>
            <w:pPr>
              <w:spacing w:after="30"/>
            </w:pPr>
            <w:r>
              <w:rPr>
                <w:rFonts w:ascii="Aptos" w:hAnsi="Aptos"/>
                <w:color w:val="232D38"/>
                <w:sz w:val="14"/>
              </w:rPr>
              <w:t>G07</w:t>
            </w:r>
          </w:p>
        </w:tc>
        <w:tc>
          <w:tcPr>
            <w:tcW w:type="dxa" w:w="3331"/>
            <w:tcMar>
              <w:top w:w="80" w:type="dxa"/>
              <w:start w:w="90" w:type="dxa"/>
              <w:bottom w:w="80" w:type="dxa"/>
              <w:end w:w="90" w:type="dxa"/>
            </w:tcMar>
            <w:vAlign w:val="top"/>
            <w:shd w:fill="F7F9FB"/>
          </w:tcPr>
          <w:p>
            <w:pPr>
              <w:spacing w:after="30"/>
            </w:pPr>
            <w:r>
              <w:rPr>
                <w:rFonts w:ascii="Aptos" w:hAnsi="Aptos"/>
                <w:color w:val="232D38"/>
                <w:sz w:val="14"/>
              </w:rPr>
              <w:t>Protected backing operational</w:t>
            </w:r>
          </w:p>
        </w:tc>
        <w:tc>
          <w:tcPr>
            <w:tcW w:type="dxa" w:w="3331"/>
            <w:tcMar>
              <w:top w:w="80" w:type="dxa"/>
              <w:start w:w="90" w:type="dxa"/>
              <w:bottom w:w="80" w:type="dxa"/>
              <w:end w:w="90" w:type="dxa"/>
            </w:tcMar>
            <w:vAlign w:val="top"/>
            <w:shd w:fill="F7F9FB"/>
          </w:tcPr>
          <w:p>
            <w:pPr>
              <w:spacing w:after="30"/>
            </w:pPr>
            <w:r>
              <w:rPr>
                <w:rFonts w:ascii="Aptos" w:hAnsi="Aptos"/>
                <w:color w:val="232D38"/>
                <w:sz w:val="14"/>
              </w:rPr>
              <w:t>G6</w:t>
            </w:r>
          </w:p>
        </w:tc>
      </w:tr>
      <w:tr>
        <w:trPr>
          <w:cantSplit/>
        </w:trPr>
        <w:tc>
          <w:tcPr>
            <w:tcW w:type="dxa" w:w="3331"/>
            <w:tcMar>
              <w:top w:w="80" w:type="dxa"/>
              <w:start w:w="90" w:type="dxa"/>
              <w:bottom w:w="80" w:type="dxa"/>
              <w:end w:w="90" w:type="dxa"/>
            </w:tcMar>
            <w:vAlign w:val="top"/>
          </w:tcPr>
          <w:p>
            <w:pPr>
              <w:spacing w:after="30"/>
            </w:pPr>
            <w:r>
              <w:rPr>
                <w:rFonts w:ascii="Aptos" w:hAnsi="Aptos"/>
                <w:color w:val="232D38"/>
                <w:sz w:val="14"/>
              </w:rPr>
              <w:t>G08</w:t>
            </w:r>
          </w:p>
        </w:tc>
        <w:tc>
          <w:tcPr>
            <w:tcW w:type="dxa" w:w="3331"/>
            <w:tcMar>
              <w:top w:w="80" w:type="dxa"/>
              <w:start w:w="90" w:type="dxa"/>
              <w:bottom w:w="80" w:type="dxa"/>
              <w:end w:w="90" w:type="dxa"/>
            </w:tcMar>
            <w:vAlign w:val="top"/>
          </w:tcPr>
          <w:p>
            <w:pPr>
              <w:spacing w:after="30"/>
            </w:pPr>
            <w:r>
              <w:rPr>
                <w:rFonts w:ascii="Aptos" w:hAnsi="Aptos"/>
                <w:color w:val="232D38"/>
                <w:sz w:val="14"/>
              </w:rPr>
              <w:t>Three-book operational</w:t>
            </w:r>
          </w:p>
        </w:tc>
        <w:tc>
          <w:tcPr>
            <w:tcW w:type="dxa" w:w="3331"/>
            <w:tcMar>
              <w:top w:w="80" w:type="dxa"/>
              <w:start w:w="90" w:type="dxa"/>
              <w:bottom w:w="80" w:type="dxa"/>
              <w:end w:w="90" w:type="dxa"/>
            </w:tcMar>
            <w:vAlign w:val="top"/>
          </w:tcPr>
          <w:p>
            <w:pPr>
              <w:spacing w:after="30"/>
            </w:pPr>
            <w:r>
              <w:rPr>
                <w:rFonts w:ascii="Aptos" w:hAnsi="Aptos"/>
                <w:color w:val="232D38"/>
                <w:sz w:val="14"/>
              </w:rPr>
              <w:t>G5/G6</w:t>
            </w:r>
          </w:p>
        </w:tc>
      </w:tr>
      <w:tr>
        <w:trPr>
          <w:cantSplit/>
        </w:trPr>
        <w:tc>
          <w:tcPr>
            <w:tcW w:type="dxa" w:w="3331"/>
            <w:tcMar>
              <w:top w:w="80" w:type="dxa"/>
              <w:start w:w="90" w:type="dxa"/>
              <w:bottom w:w="80" w:type="dxa"/>
              <w:end w:w="90" w:type="dxa"/>
            </w:tcMar>
            <w:vAlign w:val="top"/>
            <w:shd w:fill="F7F9FB"/>
          </w:tcPr>
          <w:p>
            <w:pPr>
              <w:spacing w:after="30"/>
            </w:pPr>
            <w:r>
              <w:rPr>
                <w:rFonts w:ascii="Aptos" w:hAnsi="Aptos"/>
                <w:color w:val="232D38"/>
                <w:sz w:val="14"/>
              </w:rPr>
              <w:t>G09</w:t>
            </w:r>
          </w:p>
        </w:tc>
        <w:tc>
          <w:tcPr>
            <w:tcW w:type="dxa" w:w="3331"/>
            <w:tcMar>
              <w:top w:w="80" w:type="dxa"/>
              <w:start w:w="90" w:type="dxa"/>
              <w:bottom w:w="80" w:type="dxa"/>
              <w:end w:w="90" w:type="dxa"/>
            </w:tcMar>
            <w:vAlign w:val="top"/>
            <w:shd w:fill="F7F9FB"/>
          </w:tcPr>
          <w:p>
            <w:pPr>
              <w:spacing w:after="30"/>
            </w:pPr>
            <w:r>
              <w:rPr>
                <w:rFonts w:ascii="Aptos" w:hAnsi="Aptos"/>
                <w:color w:val="232D38"/>
                <w:sz w:val="14"/>
              </w:rPr>
              <w:t>Technical and legal finality</w:t>
            </w:r>
          </w:p>
        </w:tc>
        <w:tc>
          <w:tcPr>
            <w:tcW w:type="dxa" w:w="3331"/>
            <w:tcMar>
              <w:top w:w="80" w:type="dxa"/>
              <w:start w:w="90" w:type="dxa"/>
              <w:bottom w:w="80" w:type="dxa"/>
              <w:end w:w="90" w:type="dxa"/>
            </w:tcMar>
            <w:vAlign w:val="top"/>
            <w:shd w:fill="F7F9FB"/>
          </w:tcPr>
          <w:p>
            <w:pPr>
              <w:spacing w:after="30"/>
            </w:pPr>
            <w:r>
              <w:rPr>
                <w:rFonts w:ascii="Aptos" w:hAnsi="Aptos"/>
                <w:color w:val="232D38"/>
                <w:sz w:val="14"/>
              </w:rPr>
              <w:t>G1/G5/G8</w:t>
            </w:r>
          </w:p>
        </w:tc>
      </w:tr>
      <w:tr>
        <w:trPr>
          <w:cantSplit/>
        </w:trPr>
        <w:tc>
          <w:tcPr>
            <w:tcW w:type="dxa" w:w="3331"/>
            <w:tcMar>
              <w:top w:w="80" w:type="dxa"/>
              <w:start w:w="90" w:type="dxa"/>
              <w:bottom w:w="80" w:type="dxa"/>
              <w:end w:w="90" w:type="dxa"/>
            </w:tcMar>
            <w:vAlign w:val="top"/>
          </w:tcPr>
          <w:p>
            <w:pPr>
              <w:spacing w:after="30"/>
            </w:pPr>
            <w:r>
              <w:rPr>
                <w:rFonts w:ascii="Aptos" w:hAnsi="Aptos"/>
                <w:color w:val="232D38"/>
                <w:sz w:val="14"/>
              </w:rPr>
              <w:t>G10</w:t>
            </w:r>
          </w:p>
        </w:tc>
        <w:tc>
          <w:tcPr>
            <w:tcW w:type="dxa" w:w="3331"/>
            <w:tcMar>
              <w:top w:w="80" w:type="dxa"/>
              <w:start w:w="90" w:type="dxa"/>
              <w:bottom w:w="80" w:type="dxa"/>
              <w:end w:w="90" w:type="dxa"/>
            </w:tcMar>
            <w:vAlign w:val="top"/>
          </w:tcPr>
          <w:p>
            <w:pPr>
              <w:spacing w:after="30"/>
            </w:pPr>
            <w:r>
              <w:rPr>
                <w:rFonts w:ascii="Aptos" w:hAnsi="Aptos"/>
                <w:color w:val="232D38"/>
                <w:sz w:val="14"/>
              </w:rPr>
              <w:t>Live AML/sanctions controls</w:t>
            </w:r>
          </w:p>
        </w:tc>
        <w:tc>
          <w:tcPr>
            <w:tcW w:type="dxa" w:w="3331"/>
            <w:tcMar>
              <w:top w:w="80" w:type="dxa"/>
              <w:start w:w="90" w:type="dxa"/>
              <w:bottom w:w="80" w:type="dxa"/>
              <w:end w:w="90" w:type="dxa"/>
            </w:tcMar>
            <w:vAlign w:val="top"/>
          </w:tcPr>
          <w:p>
            <w:pPr>
              <w:spacing w:after="30"/>
            </w:pPr>
            <w:r>
              <w:rPr>
                <w:rFonts w:ascii="Aptos" w:hAnsi="Aptos"/>
                <w:color w:val="232D38"/>
                <w:sz w:val="14"/>
              </w:rPr>
              <w:t>G2/G5/G8</w:t>
            </w:r>
          </w:p>
        </w:tc>
      </w:tr>
      <w:tr>
        <w:trPr>
          <w:cantSplit/>
        </w:trPr>
        <w:tc>
          <w:tcPr>
            <w:tcW w:type="dxa" w:w="3331"/>
            <w:tcMar>
              <w:top w:w="80" w:type="dxa"/>
              <w:start w:w="90" w:type="dxa"/>
              <w:bottom w:w="80" w:type="dxa"/>
              <w:end w:w="90" w:type="dxa"/>
            </w:tcMar>
            <w:vAlign w:val="top"/>
            <w:shd w:fill="F7F9FB"/>
          </w:tcPr>
          <w:p>
            <w:pPr>
              <w:spacing w:after="30"/>
            </w:pPr>
            <w:r>
              <w:rPr>
                <w:rFonts w:ascii="Aptos" w:hAnsi="Aptos"/>
                <w:color w:val="232D38"/>
                <w:sz w:val="14"/>
              </w:rPr>
              <w:t>G11</w:t>
            </w:r>
          </w:p>
        </w:tc>
        <w:tc>
          <w:tcPr>
            <w:tcW w:type="dxa" w:w="3331"/>
            <w:tcMar>
              <w:top w:w="80" w:type="dxa"/>
              <w:start w:w="90" w:type="dxa"/>
              <w:bottom w:w="80" w:type="dxa"/>
              <w:end w:w="90" w:type="dxa"/>
            </w:tcMar>
            <w:vAlign w:val="top"/>
            <w:shd w:fill="F7F9FB"/>
          </w:tcPr>
          <w:p>
            <w:pPr>
              <w:spacing w:after="30"/>
            </w:pPr>
            <w:r>
              <w:rPr>
                <w:rFonts w:ascii="Aptos" w:hAnsi="Aptos"/>
                <w:color w:val="232D38"/>
                <w:sz w:val="14"/>
              </w:rPr>
              <w:t>Live reconciliation</w:t>
            </w:r>
          </w:p>
        </w:tc>
        <w:tc>
          <w:tcPr>
            <w:tcW w:type="dxa" w:w="3331"/>
            <w:tcMar>
              <w:top w:w="80" w:type="dxa"/>
              <w:start w:w="90" w:type="dxa"/>
              <w:bottom w:w="80" w:type="dxa"/>
              <w:end w:w="90" w:type="dxa"/>
            </w:tcMar>
            <w:vAlign w:val="top"/>
            <w:shd w:fill="F7F9FB"/>
          </w:tcPr>
          <w:p>
            <w:pPr>
              <w:spacing w:after="30"/>
            </w:pPr>
            <w:r>
              <w:rPr>
                <w:rFonts w:ascii="Aptos" w:hAnsi="Aptos"/>
                <w:color w:val="232D38"/>
                <w:sz w:val="14"/>
              </w:rPr>
              <w:t>G5/G8</w:t>
            </w:r>
          </w:p>
        </w:tc>
      </w:tr>
      <w:tr>
        <w:trPr>
          <w:cantSplit/>
        </w:trPr>
        <w:tc>
          <w:tcPr>
            <w:tcW w:type="dxa" w:w="3331"/>
            <w:tcMar>
              <w:top w:w="80" w:type="dxa"/>
              <w:start w:w="90" w:type="dxa"/>
              <w:bottom w:w="80" w:type="dxa"/>
              <w:end w:w="90" w:type="dxa"/>
            </w:tcMar>
            <w:vAlign w:val="top"/>
          </w:tcPr>
          <w:p>
            <w:pPr>
              <w:spacing w:after="30"/>
            </w:pPr>
            <w:r>
              <w:rPr>
                <w:rFonts w:ascii="Aptos" w:hAnsi="Aptos"/>
                <w:color w:val="232D38"/>
                <w:sz w:val="14"/>
              </w:rPr>
              <w:t>G12</w:t>
            </w:r>
          </w:p>
        </w:tc>
        <w:tc>
          <w:tcPr>
            <w:tcW w:type="dxa" w:w="3331"/>
            <w:tcMar>
              <w:top w:w="80" w:type="dxa"/>
              <w:start w:w="90" w:type="dxa"/>
              <w:bottom w:w="80" w:type="dxa"/>
              <w:end w:w="90" w:type="dxa"/>
            </w:tcMar>
            <w:vAlign w:val="top"/>
          </w:tcPr>
          <w:p>
            <w:pPr>
              <w:spacing w:after="30"/>
            </w:pPr>
            <w:r>
              <w:rPr>
                <w:rFonts w:ascii="Aptos" w:hAnsi="Aptos"/>
                <w:color w:val="232D38"/>
                <w:sz w:val="14"/>
              </w:rPr>
              <w:t>Independent assurance</w:t>
            </w:r>
          </w:p>
        </w:tc>
        <w:tc>
          <w:tcPr>
            <w:tcW w:type="dxa" w:w="3331"/>
            <w:tcMar>
              <w:top w:w="80" w:type="dxa"/>
              <w:start w:w="90" w:type="dxa"/>
              <w:bottom w:w="80" w:type="dxa"/>
              <w:end w:w="90" w:type="dxa"/>
            </w:tcMar>
            <w:vAlign w:val="top"/>
          </w:tcPr>
          <w:p>
            <w:pPr>
              <w:spacing w:after="30"/>
            </w:pPr>
            <w:r>
              <w:rPr>
                <w:rFonts w:ascii="Aptos" w:hAnsi="Aptos"/>
                <w:color w:val="232D38"/>
                <w:sz w:val="14"/>
              </w:rPr>
              <w:t>G8</w:t>
            </w:r>
          </w:p>
        </w:tc>
      </w:tr>
      <w:tr>
        <w:trPr>
          <w:cantSplit/>
        </w:trPr>
        <w:tc>
          <w:tcPr>
            <w:tcW w:type="dxa" w:w="3331"/>
            <w:tcMar>
              <w:top w:w="80" w:type="dxa"/>
              <w:start w:w="90" w:type="dxa"/>
              <w:bottom w:w="80" w:type="dxa"/>
              <w:end w:w="90" w:type="dxa"/>
            </w:tcMar>
            <w:vAlign w:val="top"/>
            <w:shd w:fill="F7F9FB"/>
          </w:tcPr>
          <w:p>
            <w:pPr>
              <w:spacing w:after="30"/>
            </w:pPr>
            <w:r>
              <w:rPr>
                <w:rFonts w:ascii="Aptos" w:hAnsi="Aptos"/>
                <w:color w:val="232D38"/>
                <w:sz w:val="14"/>
              </w:rPr>
              <w:t>G13</w:t>
            </w:r>
          </w:p>
        </w:tc>
        <w:tc>
          <w:tcPr>
            <w:tcW w:type="dxa" w:w="3331"/>
            <w:tcMar>
              <w:top w:w="80" w:type="dxa"/>
              <w:start w:w="90" w:type="dxa"/>
              <w:bottom w:w="80" w:type="dxa"/>
              <w:end w:w="90" w:type="dxa"/>
            </w:tcMar>
            <w:vAlign w:val="top"/>
            <w:shd w:fill="F7F9FB"/>
          </w:tcPr>
          <w:p>
            <w:pPr>
              <w:spacing w:after="30"/>
            </w:pPr>
            <w:r>
              <w:rPr>
                <w:rFonts w:ascii="Aptos" w:hAnsi="Aptos"/>
                <w:color w:val="232D38"/>
                <w:sz w:val="14"/>
              </w:rPr>
              <w:t>Controlled pilot</w:t>
            </w:r>
          </w:p>
        </w:tc>
        <w:tc>
          <w:tcPr>
            <w:tcW w:type="dxa" w:w="3331"/>
            <w:tcMar>
              <w:top w:w="80" w:type="dxa"/>
              <w:start w:w="90" w:type="dxa"/>
              <w:bottom w:w="80" w:type="dxa"/>
              <w:end w:w="90" w:type="dxa"/>
            </w:tcMar>
            <w:vAlign w:val="top"/>
            <w:shd w:fill="F7F9FB"/>
          </w:tcPr>
          <w:p>
            <w:pPr>
              <w:spacing w:after="30"/>
            </w:pPr>
            <w:r>
              <w:rPr>
                <w:rFonts w:ascii="Aptos" w:hAnsi="Aptos"/>
                <w:color w:val="232D38"/>
                <w:sz w:val="14"/>
              </w:rPr>
              <w:t>G7</w:t>
            </w:r>
          </w:p>
        </w:tc>
      </w:tr>
      <w:tr>
        <w:trPr>
          <w:cantSplit/>
        </w:trPr>
        <w:tc>
          <w:tcPr>
            <w:tcW w:type="dxa" w:w="3331"/>
            <w:tcMar>
              <w:top w:w="80" w:type="dxa"/>
              <w:start w:w="90" w:type="dxa"/>
              <w:bottom w:w="80" w:type="dxa"/>
              <w:end w:w="90" w:type="dxa"/>
            </w:tcMar>
            <w:vAlign w:val="top"/>
          </w:tcPr>
          <w:p>
            <w:pPr>
              <w:spacing w:after="30"/>
            </w:pPr>
            <w:r>
              <w:rPr>
                <w:rFonts w:ascii="Aptos" w:hAnsi="Aptos"/>
                <w:color w:val="232D38"/>
                <w:sz w:val="14"/>
              </w:rPr>
              <w:t>G14</w:t>
            </w:r>
          </w:p>
        </w:tc>
        <w:tc>
          <w:tcPr>
            <w:tcW w:type="dxa" w:w="3331"/>
            <w:tcMar>
              <w:top w:w="80" w:type="dxa"/>
              <w:start w:w="90" w:type="dxa"/>
              <w:bottom w:w="80" w:type="dxa"/>
              <w:end w:w="90" w:type="dxa"/>
            </w:tcMar>
            <w:vAlign w:val="top"/>
          </w:tcPr>
          <w:p>
            <w:pPr>
              <w:spacing w:after="30"/>
            </w:pPr>
            <w:r>
              <w:rPr>
                <w:rFonts w:ascii="Aptos" w:hAnsi="Aptos"/>
                <w:color w:val="232D38"/>
                <w:sz w:val="14"/>
              </w:rPr>
              <w:t>Accounting/prudential validation</w:t>
            </w:r>
          </w:p>
        </w:tc>
        <w:tc>
          <w:tcPr>
            <w:tcW w:type="dxa" w:w="3331"/>
            <w:tcMar>
              <w:top w:w="80" w:type="dxa"/>
              <w:start w:w="90" w:type="dxa"/>
              <w:bottom w:w="80" w:type="dxa"/>
              <w:end w:w="90" w:type="dxa"/>
            </w:tcMar>
            <w:vAlign w:val="top"/>
          </w:tcPr>
          <w:p>
            <w:pPr>
              <w:spacing w:after="30"/>
            </w:pPr>
            <w:r>
              <w:rPr>
                <w:rFonts w:ascii="Aptos" w:hAnsi="Aptos"/>
                <w:color w:val="232D38"/>
                <w:sz w:val="14"/>
              </w:rPr>
              <w:t>G1/G6</w:t>
            </w:r>
          </w:p>
        </w:tc>
      </w:tr>
      <w:tr>
        <w:trPr>
          <w:cantSplit/>
        </w:trPr>
        <w:tc>
          <w:tcPr>
            <w:tcW w:type="dxa" w:w="3331"/>
            <w:tcMar>
              <w:top w:w="80" w:type="dxa"/>
              <w:start w:w="90" w:type="dxa"/>
              <w:bottom w:w="80" w:type="dxa"/>
              <w:end w:w="90" w:type="dxa"/>
            </w:tcMar>
            <w:vAlign w:val="top"/>
            <w:shd w:fill="F7F9FB"/>
          </w:tcPr>
          <w:p>
            <w:pPr>
              <w:spacing w:after="30"/>
            </w:pPr>
            <w:r>
              <w:rPr>
                <w:rFonts w:ascii="Aptos" w:hAnsi="Aptos"/>
                <w:color w:val="232D38"/>
                <w:sz w:val="14"/>
              </w:rPr>
              <w:t>G15</w:t>
            </w:r>
          </w:p>
        </w:tc>
        <w:tc>
          <w:tcPr>
            <w:tcW w:type="dxa" w:w="3331"/>
            <w:tcMar>
              <w:top w:w="80" w:type="dxa"/>
              <w:start w:w="90" w:type="dxa"/>
              <w:bottom w:w="80" w:type="dxa"/>
              <w:end w:w="90" w:type="dxa"/>
            </w:tcMar>
            <w:vAlign w:val="top"/>
            <w:shd w:fill="F7F9FB"/>
          </w:tcPr>
          <w:p>
            <w:pPr>
              <w:spacing w:after="30"/>
            </w:pPr>
            <w:r>
              <w:rPr>
                <w:rFonts w:ascii="Aptos" w:hAnsi="Aptos"/>
                <w:color w:val="232D38"/>
                <w:sz w:val="14"/>
              </w:rPr>
              <w:t>Cybersecurity assurance</w:t>
            </w:r>
          </w:p>
        </w:tc>
        <w:tc>
          <w:tcPr>
            <w:tcW w:type="dxa" w:w="3331"/>
            <w:tcMar>
              <w:top w:w="80" w:type="dxa"/>
              <w:start w:w="90" w:type="dxa"/>
              <w:bottom w:w="80" w:type="dxa"/>
              <w:end w:w="90" w:type="dxa"/>
            </w:tcMar>
            <w:vAlign w:val="top"/>
            <w:shd w:fill="F7F9FB"/>
          </w:tcPr>
          <w:p>
            <w:pPr>
              <w:spacing w:after="30"/>
            </w:pPr>
            <w:r>
              <w:rPr>
                <w:rFonts w:ascii="Aptos" w:hAnsi="Aptos"/>
                <w:color w:val="232D38"/>
                <w:sz w:val="14"/>
              </w:rPr>
              <w:t>G8</w:t>
            </w:r>
          </w:p>
        </w:tc>
      </w:tr>
      <w:tr>
        <w:trPr>
          <w:cantSplit/>
        </w:trPr>
        <w:tc>
          <w:tcPr>
            <w:tcW w:type="dxa" w:w="3331"/>
            <w:tcMar>
              <w:top w:w="80" w:type="dxa"/>
              <w:start w:w="90" w:type="dxa"/>
              <w:bottom w:w="80" w:type="dxa"/>
              <w:end w:w="90" w:type="dxa"/>
            </w:tcMar>
            <w:vAlign w:val="top"/>
          </w:tcPr>
          <w:p>
            <w:pPr>
              <w:spacing w:after="30"/>
            </w:pPr>
            <w:r>
              <w:rPr>
                <w:rFonts w:ascii="Aptos" w:hAnsi="Aptos"/>
                <w:color w:val="232D38"/>
                <w:sz w:val="14"/>
              </w:rPr>
              <w:t>G16</w:t>
            </w:r>
          </w:p>
        </w:tc>
        <w:tc>
          <w:tcPr>
            <w:tcW w:type="dxa" w:w="3331"/>
            <w:tcMar>
              <w:top w:w="80" w:type="dxa"/>
              <w:start w:w="90" w:type="dxa"/>
              <w:bottom w:w="80" w:type="dxa"/>
              <w:end w:w="90" w:type="dxa"/>
            </w:tcMar>
            <w:vAlign w:val="top"/>
          </w:tcPr>
          <w:p>
            <w:pPr>
              <w:spacing w:after="30"/>
            </w:pPr>
            <w:r>
              <w:rPr>
                <w:rFonts w:ascii="Aptos" w:hAnsi="Aptos"/>
                <w:color w:val="232D38"/>
                <w:sz w:val="14"/>
              </w:rPr>
              <w:t>Disaster recovery</w:t>
            </w:r>
          </w:p>
        </w:tc>
        <w:tc>
          <w:tcPr>
            <w:tcW w:type="dxa" w:w="3331"/>
            <w:tcMar>
              <w:top w:w="80" w:type="dxa"/>
              <w:start w:w="90" w:type="dxa"/>
              <w:bottom w:w="80" w:type="dxa"/>
              <w:end w:w="90" w:type="dxa"/>
            </w:tcMar>
            <w:vAlign w:val="top"/>
          </w:tcPr>
          <w:p>
            <w:pPr>
              <w:spacing w:after="30"/>
            </w:pPr>
            <w:r>
              <w:rPr>
                <w:rFonts w:ascii="Aptos" w:hAnsi="Aptos"/>
                <w:color w:val="232D38"/>
                <w:sz w:val="14"/>
              </w:rPr>
              <w:t>G8</w:t>
            </w:r>
          </w:p>
        </w:tc>
      </w:tr>
      <w:tr>
        <w:trPr>
          <w:cantSplit/>
        </w:trPr>
        <w:tc>
          <w:tcPr>
            <w:tcW w:type="dxa" w:w="3331"/>
            <w:tcMar>
              <w:top w:w="80" w:type="dxa"/>
              <w:start w:w="90" w:type="dxa"/>
              <w:bottom w:w="80" w:type="dxa"/>
              <w:end w:w="90" w:type="dxa"/>
            </w:tcMar>
            <w:vAlign w:val="top"/>
            <w:shd w:fill="F7F9FB"/>
          </w:tcPr>
          <w:p>
            <w:pPr>
              <w:spacing w:after="30"/>
            </w:pPr>
            <w:r>
              <w:rPr>
                <w:rFonts w:ascii="Aptos" w:hAnsi="Aptos"/>
                <w:color w:val="232D38"/>
                <w:sz w:val="14"/>
              </w:rPr>
              <w:t>G17</w:t>
            </w:r>
          </w:p>
        </w:tc>
        <w:tc>
          <w:tcPr>
            <w:tcW w:type="dxa" w:w="3331"/>
            <w:tcMar>
              <w:top w:w="80" w:type="dxa"/>
              <w:start w:w="90" w:type="dxa"/>
              <w:bottom w:w="80" w:type="dxa"/>
              <w:end w:w="90" w:type="dxa"/>
            </w:tcMar>
            <w:vAlign w:val="top"/>
            <w:shd w:fill="F7F9FB"/>
          </w:tcPr>
          <w:p>
            <w:pPr>
              <w:spacing w:after="30"/>
            </w:pPr>
            <w:r>
              <w:rPr>
                <w:rFonts w:ascii="Aptos" w:hAnsi="Aptos"/>
                <w:color w:val="232D38"/>
                <w:sz w:val="14"/>
              </w:rPr>
              <w:t>Commercial TCO/economics</w:t>
            </w:r>
          </w:p>
        </w:tc>
        <w:tc>
          <w:tcPr>
            <w:tcW w:type="dxa" w:w="3331"/>
            <w:tcMar>
              <w:top w:w="80" w:type="dxa"/>
              <w:start w:w="90" w:type="dxa"/>
              <w:bottom w:w="80" w:type="dxa"/>
              <w:end w:w="90" w:type="dxa"/>
            </w:tcMar>
            <w:vAlign w:val="top"/>
            <w:shd w:fill="F7F9FB"/>
          </w:tcPr>
          <w:p>
            <w:pPr>
              <w:spacing w:after="30"/>
            </w:pPr>
            <w:r>
              <w:rPr>
                <w:rFonts w:ascii="Aptos" w:hAnsi="Aptos"/>
                <w:color w:val="232D38"/>
                <w:sz w:val="14"/>
              </w:rPr>
              <w:t>G9</w:t>
            </w:r>
          </w:p>
        </w:tc>
      </w:tr>
      <w:tr>
        <w:trPr>
          <w:cantSplit/>
        </w:trPr>
        <w:tc>
          <w:tcPr>
            <w:tcW w:type="dxa" w:w="3331"/>
            <w:tcMar>
              <w:top w:w="80" w:type="dxa"/>
              <w:start w:w="90" w:type="dxa"/>
              <w:bottom w:w="80" w:type="dxa"/>
              <w:end w:w="90" w:type="dxa"/>
            </w:tcMar>
            <w:vAlign w:val="top"/>
          </w:tcPr>
          <w:p>
            <w:pPr>
              <w:spacing w:after="30"/>
            </w:pPr>
            <w:r>
              <w:rPr>
                <w:rFonts w:ascii="Aptos" w:hAnsi="Aptos"/>
                <w:color w:val="232D38"/>
                <w:sz w:val="14"/>
              </w:rPr>
              <w:t>G18</w:t>
            </w:r>
          </w:p>
        </w:tc>
        <w:tc>
          <w:tcPr>
            <w:tcW w:type="dxa" w:w="3331"/>
            <w:tcMar>
              <w:top w:w="80" w:type="dxa"/>
              <w:start w:w="90" w:type="dxa"/>
              <w:bottom w:w="80" w:type="dxa"/>
              <w:end w:w="90" w:type="dxa"/>
            </w:tcMar>
            <w:vAlign w:val="top"/>
          </w:tcPr>
          <w:p>
            <w:pPr>
              <w:spacing w:after="30"/>
            </w:pPr>
            <w:r>
              <w:rPr>
                <w:rFonts w:ascii="Aptos" w:hAnsi="Aptos"/>
                <w:color w:val="232D38"/>
                <w:sz w:val="14"/>
              </w:rPr>
              <w:t>Competitive/incumbent compatibility</w:t>
            </w:r>
          </w:p>
        </w:tc>
        <w:tc>
          <w:tcPr>
            <w:tcW w:type="dxa" w:w="3331"/>
            <w:tcMar>
              <w:top w:w="80" w:type="dxa"/>
              <w:start w:w="90" w:type="dxa"/>
              <w:bottom w:w="80" w:type="dxa"/>
              <w:end w:w="90" w:type="dxa"/>
            </w:tcMar>
            <w:vAlign w:val="top"/>
          </w:tcPr>
          <w:p>
            <w:pPr>
              <w:spacing w:after="30"/>
            </w:pPr>
            <w:r>
              <w:rPr>
                <w:rFonts w:ascii="Aptos" w:hAnsi="Aptos"/>
                <w:color w:val="232D38"/>
                <w:sz w:val="14"/>
              </w:rPr>
              <w:t>G3/G9</w:t>
            </w:r>
          </w:p>
        </w:tc>
      </w:tr>
      <w:tr>
        <w:trPr>
          <w:cantSplit/>
        </w:trPr>
        <w:tc>
          <w:tcPr>
            <w:tcW w:type="dxa" w:w="3331"/>
            <w:tcMar>
              <w:top w:w="80" w:type="dxa"/>
              <w:start w:w="90" w:type="dxa"/>
              <w:bottom w:w="80" w:type="dxa"/>
              <w:end w:w="90" w:type="dxa"/>
            </w:tcMar>
            <w:vAlign w:val="top"/>
            <w:shd w:fill="F7F9FB"/>
          </w:tcPr>
          <w:p>
            <w:pPr>
              <w:spacing w:after="30"/>
            </w:pPr>
            <w:r>
              <w:rPr>
                <w:rFonts w:ascii="Aptos" w:hAnsi="Aptos"/>
                <w:color w:val="232D38"/>
                <w:sz w:val="14"/>
              </w:rPr>
              <w:t>G19</w:t>
            </w:r>
          </w:p>
        </w:tc>
        <w:tc>
          <w:tcPr>
            <w:tcW w:type="dxa" w:w="3331"/>
            <w:tcMar>
              <w:top w:w="80" w:type="dxa"/>
              <w:start w:w="90" w:type="dxa"/>
              <w:bottom w:w="80" w:type="dxa"/>
              <w:end w:w="90" w:type="dxa"/>
            </w:tcMar>
            <w:vAlign w:val="top"/>
            <w:shd w:fill="F7F9FB"/>
          </w:tcPr>
          <w:p>
            <w:pPr>
              <w:spacing w:after="30"/>
            </w:pPr>
            <w:r>
              <w:rPr>
                <w:rFonts w:ascii="Aptos" w:hAnsi="Aptos"/>
                <w:color w:val="232D38"/>
                <w:sz w:val="14"/>
              </w:rPr>
              <w:t>Wind-down test</w:t>
            </w:r>
          </w:p>
        </w:tc>
        <w:tc>
          <w:tcPr>
            <w:tcW w:type="dxa" w:w="3331"/>
            <w:tcMar>
              <w:top w:w="80" w:type="dxa"/>
              <w:start w:w="90" w:type="dxa"/>
              <w:bottom w:w="80" w:type="dxa"/>
              <w:end w:w="90" w:type="dxa"/>
            </w:tcMar>
            <w:vAlign w:val="top"/>
            <w:shd w:fill="F7F9FB"/>
          </w:tcPr>
          <w:p>
            <w:pPr>
              <w:spacing w:after="30"/>
            </w:pPr>
            <w:r>
              <w:rPr>
                <w:rFonts w:ascii="Aptos" w:hAnsi="Aptos"/>
                <w:color w:val="232D38"/>
                <w:sz w:val="14"/>
              </w:rPr>
              <w:t>G8/G11</w:t>
            </w:r>
          </w:p>
        </w:tc>
      </w:tr>
      <w:tr>
        <w:trPr>
          <w:cantSplit/>
        </w:trPr>
        <w:tc>
          <w:tcPr>
            <w:tcW w:type="dxa" w:w="3331"/>
            <w:tcMar>
              <w:top w:w="80" w:type="dxa"/>
              <w:start w:w="90" w:type="dxa"/>
              <w:bottom w:w="80" w:type="dxa"/>
              <w:end w:w="90" w:type="dxa"/>
            </w:tcMar>
            <w:vAlign w:val="top"/>
          </w:tcPr>
          <w:p>
            <w:pPr>
              <w:spacing w:after="30"/>
            </w:pPr>
            <w:r>
              <w:rPr>
                <w:rFonts w:ascii="Aptos" w:hAnsi="Aptos"/>
                <w:color w:val="232D38"/>
                <w:sz w:val="14"/>
              </w:rPr>
              <w:t>G20</w:t>
            </w:r>
          </w:p>
        </w:tc>
        <w:tc>
          <w:tcPr>
            <w:tcW w:type="dxa" w:w="3331"/>
            <w:tcMar>
              <w:top w:w="80" w:type="dxa"/>
              <w:start w:w="90" w:type="dxa"/>
              <w:bottom w:w="80" w:type="dxa"/>
              <w:end w:w="90" w:type="dxa"/>
            </w:tcMar>
            <w:vAlign w:val="top"/>
          </w:tcPr>
          <w:p>
            <w:pPr>
              <w:spacing w:after="30"/>
            </w:pPr>
            <w:r>
              <w:rPr>
                <w:rFonts w:ascii="Aptos" w:hAnsi="Aptos"/>
                <w:color w:val="232D38"/>
                <w:sz w:val="14"/>
              </w:rPr>
              <w:t>Production governance</w:t>
            </w:r>
          </w:p>
        </w:tc>
        <w:tc>
          <w:tcPr>
            <w:tcW w:type="dxa" w:w="3331"/>
            <w:tcMar>
              <w:top w:w="80" w:type="dxa"/>
              <w:start w:w="90" w:type="dxa"/>
              <w:bottom w:w="80" w:type="dxa"/>
              <w:end w:w="90" w:type="dxa"/>
            </w:tcMar>
            <w:vAlign w:val="top"/>
          </w:tcPr>
          <w:p>
            <w:pPr>
              <w:spacing w:after="30"/>
            </w:pPr>
            <w:r>
              <w:rPr>
                <w:rFonts w:ascii="Aptos" w:hAnsi="Aptos"/>
                <w:color w:val="232D38"/>
                <w:sz w:val="14"/>
              </w:rPr>
              <w:t>G11</w:t>
            </w:r>
          </w:p>
        </w:tc>
      </w:tr>
    </w:tbl>
    <w:p>
      <w:pPr>
        <w:spacing w:after="0"/>
      </w:pPr>
    </w:p>
    <w:p>
      <w:r>
        <w:rPr>
          <w:i w:val="0"/>
        </w:rPr>
        <w:t>The older 13-gate count is historical, not the active full readiness model. G0–G11 is the institutional roadmap; the 20 controls are detailed evidence requirements. Do not collapse these into one ambiguous counter.</w:t>
      </w:r>
    </w:p>
    <w:p>
      <w:pPr>
        <w:pStyle w:val="Heading2"/>
      </w:pPr>
      <w:r>
        <w:t>9.3 Enterprise risk register</w:t>
      </w:r>
    </w:p>
    <w:p>
      <w:r>
        <w:rPr>
          <w:i w:val="0"/>
        </w:rPr>
        <w:t>Maintain a live risk register. Scoring requires explicit owner-approved likelihood/impact scales; do not assign false precision. Each risk has inherent and residual assessment, controls, indicator/threshold, owner, mitigation, due condition, evidence, acceptance authority and review date.</w:t>
      </w:r>
    </w:p>
    <w:tbl>
      <w:tblPr>
        <w:tblStyle w:val="TableGrid"/>
        <w:tblW w:type="auto" w:w="0"/>
        <w:jc w:val="center"/>
        <w:tblLook w:firstColumn="1" w:firstRow="1" w:lastColumn="0" w:lastRow="0" w:noHBand="0" w:noVBand="1" w:val="04A0"/>
      </w:tblPr>
      <w:tblGrid>
        <w:gridCol w:w="3331"/>
        <w:gridCol w:w="3331"/>
        <w:gridCol w:w="3331"/>
      </w:tblGrid>
      <w:tr>
        <w:trPr>
          <w:tblHeader w:val="true"/>
          <w:cantSplit/>
        </w:trPr>
        <w:tc>
          <w:tcPr>
            <w:tcW w:type="dxa" w:w="1872"/>
            <w:shd w:fill="07111F"/>
            <w:tcMar>
              <w:top w:w="80" w:type="dxa"/>
              <w:start w:w="90" w:type="dxa"/>
              <w:bottom w:w="80" w:type="dxa"/>
              <w:end w:w="90" w:type="dxa"/>
            </w:tcMar>
            <w:vAlign w:val="center"/>
          </w:tcPr>
          <w:p>
            <w:r>
              <w:rPr>
                <w:rFonts w:ascii="Aptos" w:hAnsi="Aptos"/>
                <w:b/>
                <w:color w:val="FFFFFF"/>
                <w:sz w:val="14"/>
              </w:rPr>
              <w:t>Risk family</w:t>
            </w:r>
          </w:p>
        </w:tc>
        <w:tc>
          <w:tcPr>
            <w:tcW w:type="dxa" w:w="3960"/>
            <w:shd w:fill="07111F"/>
            <w:tcMar>
              <w:top w:w="80" w:type="dxa"/>
              <w:start w:w="90" w:type="dxa"/>
              <w:bottom w:w="80" w:type="dxa"/>
              <w:end w:w="90" w:type="dxa"/>
            </w:tcMar>
            <w:vAlign w:val="center"/>
          </w:tcPr>
          <w:p>
            <w:r>
              <w:rPr>
                <w:rFonts w:ascii="Aptos" w:hAnsi="Aptos"/>
                <w:b/>
                <w:color w:val="FFFFFF"/>
                <w:sz w:val="14"/>
              </w:rPr>
              <w:t>Examples</w:t>
            </w:r>
          </w:p>
        </w:tc>
        <w:tc>
          <w:tcPr>
            <w:tcW w:type="dxa" w:w="4104"/>
            <w:shd w:fill="07111F"/>
            <w:tcMar>
              <w:top w:w="80" w:type="dxa"/>
              <w:start w:w="90" w:type="dxa"/>
              <w:bottom w:w="80" w:type="dxa"/>
              <w:end w:w="90" w:type="dxa"/>
            </w:tcMar>
            <w:vAlign w:val="center"/>
          </w:tcPr>
          <w:p>
            <w:r>
              <w:rPr>
                <w:rFonts w:ascii="Aptos" w:hAnsi="Aptos"/>
                <w:b/>
                <w:color w:val="FFFFFF"/>
                <w:sz w:val="14"/>
              </w:rPr>
              <w:t>Minimum control response</w:t>
            </w:r>
          </w:p>
        </w:tc>
      </w:tr>
      <w:tr>
        <w:trPr>
          <w:cantSplit/>
        </w:trPr>
        <w:tc>
          <w:tcPr>
            <w:tcW w:type="dxa" w:w="3331"/>
            <w:tcMar>
              <w:top w:w="80" w:type="dxa"/>
              <w:start w:w="90" w:type="dxa"/>
              <w:bottom w:w="80" w:type="dxa"/>
              <w:end w:w="90" w:type="dxa"/>
            </w:tcMar>
            <w:vAlign w:val="top"/>
            <w:shd w:fill="F7F9FB"/>
          </w:tcPr>
          <w:p>
            <w:pPr>
              <w:spacing w:after="30"/>
            </w:pPr>
            <w:r>
              <w:rPr>
                <w:rFonts w:ascii="Aptos" w:hAnsi="Aptos"/>
                <w:color w:val="232D38"/>
                <w:sz w:val="14"/>
              </w:rPr>
              <w:t>Legal/entity</w:t>
            </w:r>
          </w:p>
        </w:tc>
        <w:tc>
          <w:tcPr>
            <w:tcW w:type="dxa" w:w="3331"/>
            <w:tcMar>
              <w:top w:w="80" w:type="dxa"/>
              <w:start w:w="90" w:type="dxa"/>
              <w:bottom w:w="80" w:type="dxa"/>
              <w:end w:w="90" w:type="dxa"/>
            </w:tcMar>
            <w:vAlign w:val="top"/>
            <w:shd w:fill="F7F9FB"/>
          </w:tcPr>
          <w:p>
            <w:pPr>
              <w:spacing w:after="30"/>
            </w:pPr>
            <w:r>
              <w:rPr>
                <w:rFonts w:ascii="Aptos" w:hAnsi="Aptos"/>
                <w:color w:val="232D38"/>
                <w:sz w:val="14"/>
              </w:rPr>
              <w:t>Unknown counterparty, conflicting instruments, unclear obligor, unenforceable finality/redemption, cross-border gap.</w:t>
            </w:r>
          </w:p>
        </w:tc>
        <w:tc>
          <w:tcPr>
            <w:tcW w:type="dxa" w:w="3331"/>
            <w:tcMar>
              <w:top w:w="80" w:type="dxa"/>
              <w:start w:w="90" w:type="dxa"/>
              <w:bottom w:w="80" w:type="dxa"/>
              <w:end w:w="90" w:type="dxa"/>
            </w:tcMar>
            <w:vAlign w:val="top"/>
            <w:shd w:fill="F7F9FB"/>
          </w:tcPr>
          <w:p>
            <w:pPr>
              <w:spacing w:after="30"/>
            </w:pPr>
            <w:r>
              <w:rPr>
                <w:rFonts w:ascii="Aptos" w:hAnsi="Aptos"/>
                <w:color w:val="232D38"/>
                <w:sz w:val="14"/>
              </w:rPr>
              <w:t>G0/G1 primary-document/counsel gate; block affected activity.</w:t>
            </w:r>
          </w:p>
        </w:tc>
      </w:tr>
      <w:tr>
        <w:trPr>
          <w:cantSplit/>
        </w:trPr>
        <w:tc>
          <w:tcPr>
            <w:tcW w:type="dxa" w:w="3331"/>
            <w:tcMar>
              <w:top w:w="80" w:type="dxa"/>
              <w:start w:w="90" w:type="dxa"/>
              <w:bottom w:w="80" w:type="dxa"/>
              <w:end w:w="90" w:type="dxa"/>
            </w:tcMar>
            <w:vAlign w:val="top"/>
          </w:tcPr>
          <w:p>
            <w:pPr>
              <w:spacing w:after="30"/>
            </w:pPr>
            <w:r>
              <w:rPr>
                <w:rFonts w:ascii="Aptos" w:hAnsi="Aptos"/>
                <w:color w:val="232D38"/>
                <w:sz w:val="14"/>
              </w:rPr>
              <w:t>Backing/liquidity</w:t>
            </w:r>
          </w:p>
        </w:tc>
        <w:tc>
          <w:tcPr>
            <w:tcW w:type="dxa" w:w="3331"/>
            <w:tcMar>
              <w:top w:w="80" w:type="dxa"/>
              <w:start w:w="90" w:type="dxa"/>
              <w:bottom w:w="80" w:type="dxa"/>
              <w:end w:w="90" w:type="dxa"/>
            </w:tcMar>
            <w:vAlign w:val="top"/>
          </w:tcPr>
          <w:p>
            <w:pPr>
              <w:spacing w:after="30"/>
            </w:pPr>
            <w:r>
              <w:rPr>
                <w:rFonts w:ascii="Aptos" w:hAnsi="Aptos"/>
                <w:color w:val="232D38"/>
                <w:sz w:val="14"/>
              </w:rPr>
              <w:t>Double-counted backing, encumbrance, wrong owner/account, stale value, illiquid assets, failed redemption.</w:t>
            </w:r>
          </w:p>
        </w:tc>
        <w:tc>
          <w:tcPr>
            <w:tcW w:type="dxa" w:w="3331"/>
            <w:tcMar>
              <w:top w:w="80" w:type="dxa"/>
              <w:start w:w="90" w:type="dxa"/>
              <w:bottom w:w="80" w:type="dxa"/>
              <w:end w:w="90" w:type="dxa"/>
            </w:tcMar>
            <w:vAlign w:val="top"/>
          </w:tcPr>
          <w:p>
            <w:pPr>
              <w:spacing w:after="30"/>
            </w:pPr>
            <w:r>
              <w:rPr>
                <w:rFonts w:ascii="Aptos" w:hAnsi="Aptos"/>
                <w:color w:val="232D38"/>
                <w:sz w:val="14"/>
              </w:rPr>
              <w:t>PBC controls, direct eligibility formula, separate liquidity/resilience and independent reconciliation.</w:t>
            </w:r>
          </w:p>
        </w:tc>
      </w:tr>
      <w:tr>
        <w:trPr>
          <w:cantSplit/>
        </w:trPr>
        <w:tc>
          <w:tcPr>
            <w:tcW w:type="dxa" w:w="3331"/>
            <w:tcMar>
              <w:top w:w="80" w:type="dxa"/>
              <w:start w:w="90" w:type="dxa"/>
              <w:bottom w:w="80" w:type="dxa"/>
              <w:end w:w="90" w:type="dxa"/>
            </w:tcMar>
            <w:vAlign w:val="top"/>
            <w:shd w:fill="F7F9FB"/>
          </w:tcPr>
          <w:p>
            <w:pPr>
              <w:spacing w:after="30"/>
            </w:pPr>
            <w:r>
              <w:rPr>
                <w:rFonts w:ascii="Aptos" w:hAnsi="Aptos"/>
                <w:color w:val="232D38"/>
                <w:sz w:val="14"/>
              </w:rPr>
              <w:t>Settlement/finality</w:t>
            </w:r>
          </w:p>
        </w:tc>
        <w:tc>
          <w:tcPr>
            <w:tcW w:type="dxa" w:w="3331"/>
            <w:tcMar>
              <w:top w:w="80" w:type="dxa"/>
              <w:start w:w="90" w:type="dxa"/>
              <w:bottom w:w="80" w:type="dxa"/>
              <w:end w:w="90" w:type="dxa"/>
            </w:tcMar>
            <w:vAlign w:val="top"/>
            <w:shd w:fill="F7F9FB"/>
          </w:tcPr>
          <w:p>
            <w:pPr>
              <w:spacing w:after="30"/>
            </w:pPr>
            <w:r>
              <w:rPr>
                <w:rFonts w:ascii="Aptos" w:hAnsi="Aptos"/>
                <w:color w:val="232D38"/>
                <w:sz w:val="14"/>
              </w:rPr>
              <w:t>False F7, duplicate movement, partial-leg exposure, late callback, ambiguous rail finality.</w:t>
            </w:r>
          </w:p>
        </w:tc>
        <w:tc>
          <w:tcPr>
            <w:tcW w:type="dxa" w:w="3331"/>
            <w:tcMar>
              <w:top w:w="80" w:type="dxa"/>
              <w:start w:w="90" w:type="dxa"/>
              <w:bottom w:w="80" w:type="dxa"/>
              <w:end w:w="90" w:type="dxa"/>
            </w:tcMar>
            <w:vAlign w:val="top"/>
            <w:shd w:fill="F7F9FB"/>
          </w:tcPr>
          <w:p>
            <w:pPr>
              <w:spacing w:after="30"/>
            </w:pPr>
            <w:r>
              <w:rPr>
                <w:rFonts w:ascii="Aptos" w:hAnsi="Aptos"/>
                <w:color w:val="232D38"/>
                <w:sz w:val="14"/>
              </w:rPr>
              <w:t>F0–F7 predicates, domain-specific maps, idempotency, linked compensations, hard stop.</w:t>
            </w:r>
          </w:p>
        </w:tc>
      </w:tr>
      <w:tr>
        <w:trPr>
          <w:cantSplit/>
        </w:trPr>
        <w:tc>
          <w:tcPr>
            <w:tcW w:type="dxa" w:w="3331"/>
            <w:tcMar>
              <w:top w:w="80" w:type="dxa"/>
              <w:start w:w="90" w:type="dxa"/>
              <w:bottom w:w="80" w:type="dxa"/>
              <w:end w:w="90" w:type="dxa"/>
            </w:tcMar>
            <w:vAlign w:val="top"/>
          </w:tcPr>
          <w:p>
            <w:pPr>
              <w:spacing w:after="30"/>
            </w:pPr>
            <w:r>
              <w:rPr>
                <w:rFonts w:ascii="Aptos" w:hAnsi="Aptos"/>
                <w:color w:val="232D38"/>
                <w:sz w:val="14"/>
              </w:rPr>
              <w:t>Cyber/security</w:t>
            </w:r>
          </w:p>
        </w:tc>
        <w:tc>
          <w:tcPr>
            <w:tcW w:type="dxa" w:w="3331"/>
            <w:tcMar>
              <w:top w:w="80" w:type="dxa"/>
              <w:start w:w="90" w:type="dxa"/>
              <w:bottom w:w="80" w:type="dxa"/>
              <w:end w:w="90" w:type="dxa"/>
            </w:tcMar>
            <w:vAlign w:val="top"/>
          </w:tcPr>
          <w:p>
            <w:pPr>
              <w:spacing w:after="30"/>
            </w:pPr>
            <w:r>
              <w:rPr>
                <w:rFonts w:ascii="Aptos" w:hAnsi="Aptos"/>
                <w:color w:val="232D38"/>
                <w:sz w:val="14"/>
              </w:rPr>
              <w:t>Credential/key compromise, insider action, supply-chain or tenant-isolation failure.</w:t>
            </w:r>
          </w:p>
        </w:tc>
        <w:tc>
          <w:tcPr>
            <w:tcW w:type="dxa" w:w="3331"/>
            <w:tcMar>
              <w:top w:w="80" w:type="dxa"/>
              <w:start w:w="90" w:type="dxa"/>
              <w:bottom w:w="80" w:type="dxa"/>
              <w:end w:w="90" w:type="dxa"/>
            </w:tcMar>
            <w:vAlign w:val="top"/>
          </w:tcPr>
          <w:p>
            <w:pPr>
              <w:spacing w:after="30"/>
            </w:pPr>
            <w:r>
              <w:rPr>
                <w:rFonts w:ascii="Aptos" w:hAnsi="Aptos"/>
                <w:color w:val="232D38"/>
                <w:sz w:val="14"/>
              </w:rPr>
              <w:t>Least privilege, dual control, scans, logging, drills and independent assurance.</w:t>
            </w:r>
          </w:p>
        </w:tc>
      </w:tr>
      <w:tr>
        <w:trPr>
          <w:cantSplit/>
        </w:trPr>
        <w:tc>
          <w:tcPr>
            <w:tcW w:type="dxa" w:w="3331"/>
            <w:tcMar>
              <w:top w:w="80" w:type="dxa"/>
              <w:start w:w="90" w:type="dxa"/>
              <w:bottom w:w="80" w:type="dxa"/>
              <w:end w:w="90" w:type="dxa"/>
            </w:tcMar>
            <w:vAlign w:val="top"/>
            <w:shd w:fill="F7F9FB"/>
          </w:tcPr>
          <w:p>
            <w:pPr>
              <w:spacing w:after="30"/>
            </w:pPr>
            <w:r>
              <w:rPr>
                <w:rFonts w:ascii="Aptos" w:hAnsi="Aptos"/>
                <w:color w:val="232D38"/>
                <w:sz w:val="14"/>
              </w:rPr>
              <w:t>Data/evidence</w:t>
            </w:r>
          </w:p>
        </w:tc>
        <w:tc>
          <w:tcPr>
            <w:tcW w:type="dxa" w:w="3331"/>
            <w:tcMar>
              <w:top w:w="80" w:type="dxa"/>
              <w:start w:w="90" w:type="dxa"/>
              <w:bottom w:w="80" w:type="dxa"/>
              <w:end w:w="90" w:type="dxa"/>
            </w:tcMar>
            <w:vAlign w:val="top"/>
            <w:shd w:fill="F7F9FB"/>
          </w:tcPr>
          <w:p>
            <w:pPr>
              <w:spacing w:after="30"/>
            </w:pPr>
            <w:r>
              <w:rPr>
                <w:rFonts w:ascii="Aptos" w:hAnsi="Aptos"/>
                <w:color w:val="232D38"/>
                <w:sz w:val="14"/>
              </w:rPr>
              <w:t>Tampered/expired evidence, wrong scope, replay non-determinism, privacy breach.</w:t>
            </w:r>
          </w:p>
        </w:tc>
        <w:tc>
          <w:tcPr>
            <w:tcW w:type="dxa" w:w="3331"/>
            <w:tcMar>
              <w:top w:w="80" w:type="dxa"/>
              <w:start w:w="90" w:type="dxa"/>
              <w:bottom w:w="80" w:type="dxa"/>
              <w:end w:w="90" w:type="dxa"/>
            </w:tcMar>
            <w:vAlign w:val="top"/>
            <w:shd w:fill="F7F9FB"/>
          </w:tcPr>
          <w:p>
            <w:pPr>
              <w:spacing w:after="30"/>
            </w:pPr>
            <w:r>
              <w:rPr>
                <w:rFonts w:ascii="Aptos" w:hAnsi="Aptos"/>
                <w:color w:val="232D38"/>
                <w:sz w:val="14"/>
              </w:rPr>
              <w:t>Hashes, provenance, freshness, access/retention and replay validation.</w:t>
            </w:r>
          </w:p>
        </w:tc>
      </w:tr>
      <w:tr>
        <w:trPr>
          <w:cantSplit/>
        </w:trPr>
        <w:tc>
          <w:tcPr>
            <w:tcW w:type="dxa" w:w="3331"/>
            <w:tcMar>
              <w:top w:w="80" w:type="dxa"/>
              <w:start w:w="90" w:type="dxa"/>
              <w:bottom w:w="80" w:type="dxa"/>
              <w:end w:w="90" w:type="dxa"/>
            </w:tcMar>
            <w:vAlign w:val="top"/>
          </w:tcPr>
          <w:p>
            <w:pPr>
              <w:spacing w:after="30"/>
            </w:pPr>
            <w:r>
              <w:rPr>
                <w:rFonts w:ascii="Aptos" w:hAnsi="Aptos"/>
                <w:color w:val="232D38"/>
                <w:sz w:val="14"/>
              </w:rPr>
              <w:t>Provider/resilience</w:t>
            </w:r>
          </w:p>
        </w:tc>
        <w:tc>
          <w:tcPr>
            <w:tcW w:type="dxa" w:w="3331"/>
            <w:tcMar>
              <w:top w:w="80" w:type="dxa"/>
              <w:start w:w="90" w:type="dxa"/>
              <w:bottom w:w="80" w:type="dxa"/>
              <w:end w:w="90" w:type="dxa"/>
            </w:tcMar>
            <w:vAlign w:val="top"/>
          </w:tcPr>
          <w:p>
            <w:pPr>
              <w:spacing w:after="30"/>
            </w:pPr>
            <w:r>
              <w:rPr>
                <w:rFonts w:ascii="Aptos" w:hAnsi="Aptos"/>
                <w:color w:val="232D38"/>
                <w:sz w:val="14"/>
              </w:rPr>
              <w:t>Provider degradation, quotas, deployment failure, backup unavailable.</w:t>
            </w:r>
          </w:p>
        </w:tc>
        <w:tc>
          <w:tcPr>
            <w:tcW w:type="dxa" w:w="3331"/>
            <w:tcMar>
              <w:top w:w="80" w:type="dxa"/>
              <w:start w:w="90" w:type="dxa"/>
              <w:bottom w:w="80" w:type="dxa"/>
              <w:end w:w="90" w:type="dxa"/>
            </w:tcMar>
            <w:vAlign w:val="top"/>
          </w:tcPr>
          <w:p>
            <w:pPr>
              <w:spacing w:after="30"/>
            </w:pPr>
            <w:r>
              <w:rPr>
                <w:rFonts w:ascii="Aptos" w:hAnsi="Aptos"/>
                <w:color w:val="232D38"/>
                <w:sz w:val="14"/>
              </w:rPr>
              <w:t>Harmony probes, outbox/idempotency, safe-degrade, tested recovery and known-good release.</w:t>
            </w:r>
          </w:p>
        </w:tc>
      </w:tr>
      <w:tr>
        <w:trPr>
          <w:cantSplit/>
        </w:trPr>
        <w:tc>
          <w:tcPr>
            <w:tcW w:type="dxa" w:w="3331"/>
            <w:tcMar>
              <w:top w:w="80" w:type="dxa"/>
              <w:start w:w="90" w:type="dxa"/>
              <w:bottom w:w="80" w:type="dxa"/>
              <w:end w:w="90" w:type="dxa"/>
            </w:tcMar>
            <w:vAlign w:val="top"/>
            <w:shd w:fill="F7F9FB"/>
          </w:tcPr>
          <w:p>
            <w:pPr>
              <w:spacing w:after="30"/>
            </w:pPr>
            <w:r>
              <w:rPr>
                <w:rFonts w:ascii="Aptos" w:hAnsi="Aptos"/>
                <w:color w:val="232D38"/>
                <w:sz w:val="14"/>
              </w:rPr>
              <w:t>Compliance/reputation</w:t>
            </w:r>
          </w:p>
        </w:tc>
        <w:tc>
          <w:tcPr>
            <w:tcW w:type="dxa" w:w="3331"/>
            <w:tcMar>
              <w:top w:w="80" w:type="dxa"/>
              <w:start w:w="90" w:type="dxa"/>
              <w:bottom w:w="80" w:type="dxa"/>
              <w:end w:w="90" w:type="dxa"/>
            </w:tcMar>
            <w:vAlign w:val="top"/>
            <w:shd w:fill="F7F9FB"/>
          </w:tcPr>
          <w:p>
            <w:pPr>
              <w:spacing w:after="30"/>
            </w:pPr>
            <w:r>
              <w:rPr>
                <w:rFonts w:ascii="Aptos" w:hAnsi="Aptos"/>
                <w:color w:val="232D38"/>
                <w:sz w:val="14"/>
              </w:rPr>
              <w:t>Sanctions failure, unreviewed jurisdiction, misleading claims, confusion around MTQ.</w:t>
            </w:r>
          </w:p>
        </w:tc>
        <w:tc>
          <w:tcPr>
            <w:tcW w:type="dxa" w:w="3331"/>
            <w:tcMar>
              <w:top w:w="80" w:type="dxa"/>
              <w:start w:w="90" w:type="dxa"/>
              <w:bottom w:w="80" w:type="dxa"/>
              <w:end w:w="90" w:type="dxa"/>
            </w:tcMar>
            <w:vAlign w:val="top"/>
            <w:shd w:fill="F7F9FB"/>
          </w:tcPr>
          <w:p>
            <w:pPr>
              <w:spacing w:after="30"/>
            </w:pPr>
            <w:r>
              <w:rPr>
                <w:rFonts w:ascii="Aptos" w:hAnsi="Aptos"/>
                <w:color w:val="232D38"/>
                <w:sz w:val="14"/>
              </w:rPr>
              <w:t>Hard eligibility/legal gates, claim registry, holds and communications review.</w:t>
            </w:r>
          </w:p>
        </w:tc>
      </w:tr>
      <w:tr>
        <w:trPr>
          <w:cantSplit/>
        </w:trPr>
        <w:tc>
          <w:tcPr>
            <w:tcW w:type="dxa" w:w="3331"/>
            <w:tcMar>
              <w:top w:w="80" w:type="dxa"/>
              <w:start w:w="90" w:type="dxa"/>
              <w:bottom w:w="80" w:type="dxa"/>
              <w:end w:w="90" w:type="dxa"/>
            </w:tcMar>
            <w:vAlign w:val="top"/>
          </w:tcPr>
          <w:p>
            <w:pPr>
              <w:spacing w:after="30"/>
            </w:pPr>
            <w:r>
              <w:rPr>
                <w:rFonts w:ascii="Aptos" w:hAnsi="Aptos"/>
                <w:color w:val="232D38"/>
                <w:sz w:val="14"/>
              </w:rPr>
              <w:t>Commercial/adoption</w:t>
            </w:r>
          </w:p>
        </w:tc>
        <w:tc>
          <w:tcPr>
            <w:tcW w:type="dxa" w:w="3331"/>
            <w:tcMar>
              <w:top w:w="80" w:type="dxa"/>
              <w:start w:w="90" w:type="dxa"/>
              <w:bottom w:w="80" w:type="dxa"/>
              <w:end w:w="90" w:type="dxa"/>
            </w:tcMar>
            <w:vAlign w:val="top"/>
          </w:tcPr>
          <w:p>
            <w:pPr>
              <w:spacing w:after="30"/>
            </w:pPr>
            <w:r>
              <w:rPr>
                <w:rFonts w:ascii="Aptos" w:hAnsi="Aptos"/>
                <w:color w:val="232D38"/>
                <w:sz w:val="14"/>
              </w:rPr>
              <w:t>Unvalidated problem, long integration, weak ROI, incumbent competition, low willingness to pay.</w:t>
            </w:r>
          </w:p>
        </w:tc>
        <w:tc>
          <w:tcPr>
            <w:tcW w:type="dxa" w:w="3331"/>
            <w:tcMar>
              <w:top w:w="80" w:type="dxa"/>
              <w:start w:w="90" w:type="dxa"/>
              <w:bottom w:w="80" w:type="dxa"/>
              <w:end w:w="90" w:type="dxa"/>
            </w:tcMar>
            <w:vAlign w:val="top"/>
          </w:tcPr>
          <w:p>
            <w:pPr>
              <w:spacing w:after="30"/>
            </w:pPr>
            <w:r>
              <w:rPr>
                <w:rFonts w:ascii="Aptos" w:hAnsi="Aptos"/>
                <w:color w:val="232D38"/>
                <w:sz w:val="14"/>
              </w:rPr>
              <w:t>Design partner, baseline, ROI/price tests, competitive interviews and stop criteria.</w:t>
            </w:r>
          </w:p>
        </w:tc>
      </w:tr>
      <w:tr>
        <w:trPr>
          <w:cantSplit/>
        </w:trPr>
        <w:tc>
          <w:tcPr>
            <w:tcW w:type="dxa" w:w="3331"/>
            <w:tcMar>
              <w:top w:w="80" w:type="dxa"/>
              <w:start w:w="90" w:type="dxa"/>
              <w:bottom w:w="80" w:type="dxa"/>
              <w:end w:w="90" w:type="dxa"/>
            </w:tcMar>
            <w:vAlign w:val="top"/>
            <w:shd w:fill="F7F9FB"/>
          </w:tcPr>
          <w:p>
            <w:pPr>
              <w:spacing w:after="30"/>
            </w:pPr>
            <w:r>
              <w:rPr>
                <w:rFonts w:ascii="Aptos" w:hAnsi="Aptos"/>
                <w:color w:val="232D38"/>
                <w:sz w:val="14"/>
              </w:rPr>
              <w:t>Governance/continuity</w:t>
            </w:r>
          </w:p>
        </w:tc>
        <w:tc>
          <w:tcPr>
            <w:tcW w:type="dxa" w:w="3331"/>
            <w:tcMar>
              <w:top w:w="80" w:type="dxa"/>
              <w:start w:w="90" w:type="dxa"/>
              <w:bottom w:w="80" w:type="dxa"/>
              <w:end w:w="90" w:type="dxa"/>
            </w:tcMar>
            <w:vAlign w:val="top"/>
            <w:shd w:fill="F7F9FB"/>
          </w:tcPr>
          <w:p>
            <w:pPr>
              <w:spacing w:after="30"/>
            </w:pPr>
            <w:r>
              <w:rPr>
                <w:rFonts w:ascii="Aptos" w:hAnsi="Aptos"/>
                <w:color w:val="232D38"/>
                <w:sz w:val="14"/>
              </w:rPr>
              <w:t>Single-person dependency, unclear succession, no wind-down, disputed authority, no insurance.</w:t>
            </w:r>
          </w:p>
        </w:tc>
        <w:tc>
          <w:tcPr>
            <w:tcW w:type="dxa" w:w="3331"/>
            <w:tcMar>
              <w:top w:w="80" w:type="dxa"/>
              <w:start w:w="90" w:type="dxa"/>
              <w:bottom w:w="80" w:type="dxa"/>
              <w:end w:w="90" w:type="dxa"/>
            </w:tcMar>
            <w:vAlign w:val="top"/>
            <w:shd w:fill="F7F9FB"/>
          </w:tcPr>
          <w:p>
            <w:pPr>
              <w:spacing w:after="30"/>
            </w:pPr>
            <w:r>
              <w:rPr>
                <w:rFonts w:ascii="Aptos" w:hAnsi="Aptos"/>
                <w:color w:val="232D38"/>
                <w:sz w:val="14"/>
              </w:rPr>
              <w:t>Authority matrix, continuity/wind-down, insurance assessment and counsel review.</w:t>
            </w:r>
          </w:p>
        </w:tc>
      </w:tr>
    </w:tbl>
    <w:p>
      <w:pPr>
        <w:spacing w:after="0"/>
      </w:pPr>
    </w:p>
    <w:p>
      <w:pPr>
        <w:pStyle w:val="Heading2"/>
      </w:pPr>
      <w:r>
        <w:t>9.4 Insurance and risk transfer</w:t>
      </w:r>
    </w:p>
    <w:p>
      <w:r>
        <w:rPr>
          <w:i w:val="0"/>
        </w:rPr>
        <w:t>Assess technology E&amp;O, cyber, professional indemnity, D&amp;O, crime/fidelity and other cover with qualified brokers/counsel based on actual entity/activity/jurisdiction. Do not say “insured” until policy/binder, named insured, limits, exclusions, territory, claims-made/retroactive terms and effective dates are verified. Insurance never substitutes for controls or statutory duties.</w:t>
      </w:r>
    </w:p>
    <w:p>
      <w:pPr>
        <w:pStyle w:val="Heading2"/>
      </w:pPr>
      <w:r>
        <w:t>9.5 Jurisdiction, CNY/CNH and Sharia boundaries</w:t>
      </w:r>
    </w:p>
    <w:p>
      <w:pPr>
        <w:pStyle w:val="ListBullet"/>
        <w:spacing w:after="50"/>
      </w:pPr>
      <w:r>
        <w:t>Every corridor/activity remains JURISDICTION_PENDING until supported by scope-specific qualified legal evidence. Seeded registry values and engineering interpretations are triage only.</w:t>
      </w:r>
    </w:p>
    <w:p>
      <w:pPr>
        <w:pStyle w:val="ListBullet"/>
        <w:spacing w:after="50"/>
      </w:pPr>
      <w:r>
        <w:t>Candidate jurisdictions (US, EU, UAE, Singapore, Japan, UK, Hong Kong, China or others) are not pre-approved. Permission binds to activity + entity + asset + participant + corridor + effective time.</w:t>
      </w:r>
    </w:p>
    <w:p>
      <w:pPr>
        <w:pStyle w:val="ListBullet"/>
        <w:spacing w:after="50"/>
      </w:pPr>
      <w:r>
        <w:t>CNY and CNH must not be treated as interchangeable. Future use specifies onshore/offshore form, market, counterparty, account, clearing/settlement path, restrictions and legal review.</w:t>
      </w:r>
    </w:p>
    <w:p>
      <w:pPr>
        <w:pStyle w:val="ListBullet"/>
        <w:spacing w:after="50"/>
      </w:pPr>
      <w:r>
        <w:t>Prohibited/unknown corridor is excluded even if commercial score is high.</w:t>
      </w:r>
    </w:p>
    <w:p>
      <w:pPr>
        <w:pStyle w:val="ListBullet"/>
        <w:spacing w:after="50"/>
      </w:pPr>
      <w:r>
        <w:t>Store source, retrieval date, counsel/reviewer, interpretation scope and review date for every jurisdiction proposition.</w:t>
      </w:r>
    </w:p>
    <w:p>
      <w:pPr>
        <w:pStyle w:val="ListBullet"/>
        <w:spacing w:after="50"/>
      </w:pPr>
      <w:r>
        <w:t>Sharia/AAOIFI claim requires qualified governance and documented scope/opinion; software cannot create a Sharia approval badge.</w:t>
      </w:r>
    </w:p>
    <w:p>
      <w:pPr>
        <w:pStyle w:val="Heading1"/>
      </w:pPr>
      <w:r>
        <w:t>PART X — Testing, Change Control, Deployment and Acceptance Criteria</w:t>
      </w:r>
    </w:p>
    <w:p>
      <w:pPr>
        <w:pStyle w:val="Heading2"/>
      </w:pPr>
      <w:r>
        <w:t>10.1 Required test layers</w:t>
      </w:r>
    </w:p>
    <w:tbl>
      <w:tblPr>
        <w:tblStyle w:val="TableGrid"/>
        <w:tblW w:type="auto" w:w="0"/>
        <w:jc w:val="center"/>
        <w:tblLook w:firstColumn="1" w:firstRow="1" w:lastColumn="0" w:lastRow="0" w:noHBand="0" w:noVBand="1" w:val="04A0"/>
      </w:tblPr>
      <w:tblGrid>
        <w:gridCol w:w="3331"/>
        <w:gridCol w:w="3331"/>
        <w:gridCol w:w="3331"/>
      </w:tblGrid>
      <w:tr>
        <w:trPr>
          <w:tblHeader w:val="true"/>
          <w:cantSplit/>
        </w:trPr>
        <w:tc>
          <w:tcPr>
            <w:tcW w:type="dxa" w:w="1728"/>
            <w:shd w:fill="07111F"/>
            <w:tcMar>
              <w:top w:w="80" w:type="dxa"/>
              <w:start w:w="90" w:type="dxa"/>
              <w:bottom w:w="80" w:type="dxa"/>
              <w:end w:w="90" w:type="dxa"/>
            </w:tcMar>
            <w:vAlign w:val="center"/>
          </w:tcPr>
          <w:p>
            <w:r>
              <w:rPr>
                <w:rFonts w:ascii="Aptos" w:hAnsi="Aptos"/>
                <w:b/>
                <w:color w:val="FFFFFF"/>
                <w:sz w:val="14"/>
              </w:rPr>
              <w:t>Test layer</w:t>
            </w:r>
          </w:p>
        </w:tc>
        <w:tc>
          <w:tcPr>
            <w:tcW w:type="dxa" w:w="3168"/>
            <w:shd w:fill="07111F"/>
            <w:tcMar>
              <w:top w:w="80" w:type="dxa"/>
              <w:start w:w="90" w:type="dxa"/>
              <w:bottom w:w="80" w:type="dxa"/>
              <w:end w:w="90" w:type="dxa"/>
            </w:tcMar>
            <w:vAlign w:val="center"/>
          </w:tcPr>
          <w:p>
            <w:r>
              <w:rPr>
                <w:rFonts w:ascii="Aptos" w:hAnsi="Aptos"/>
                <w:b/>
                <w:color w:val="FFFFFF"/>
                <w:sz w:val="14"/>
              </w:rPr>
              <w:t>Purpose</w:t>
            </w:r>
          </w:p>
        </w:tc>
        <w:tc>
          <w:tcPr>
            <w:tcW w:type="dxa" w:w="5040"/>
            <w:shd w:fill="07111F"/>
            <w:tcMar>
              <w:top w:w="80" w:type="dxa"/>
              <w:start w:w="90" w:type="dxa"/>
              <w:bottom w:w="80" w:type="dxa"/>
              <w:end w:w="90" w:type="dxa"/>
            </w:tcMar>
            <w:vAlign w:val="center"/>
          </w:tcPr>
          <w:p>
            <w:r>
              <w:rPr>
                <w:rFonts w:ascii="Aptos" w:hAnsi="Aptos"/>
                <w:b/>
                <w:color w:val="FFFFFF"/>
                <w:sz w:val="14"/>
              </w:rPr>
              <w:t>Minimum examples</w:t>
            </w:r>
          </w:p>
        </w:tc>
      </w:tr>
      <w:tr>
        <w:trPr>
          <w:cantSplit/>
        </w:trPr>
        <w:tc>
          <w:tcPr>
            <w:tcW w:type="dxa" w:w="3331"/>
            <w:tcMar>
              <w:top w:w="80" w:type="dxa"/>
              <w:start w:w="90" w:type="dxa"/>
              <w:bottom w:w="80" w:type="dxa"/>
              <w:end w:w="90" w:type="dxa"/>
            </w:tcMar>
            <w:vAlign w:val="top"/>
            <w:shd w:fill="F7F9FB"/>
          </w:tcPr>
          <w:p>
            <w:pPr>
              <w:spacing w:after="30"/>
            </w:pPr>
            <w:r>
              <w:rPr>
                <w:rFonts w:ascii="Aptos" w:hAnsi="Aptos"/>
                <w:color w:val="232D38"/>
                <w:sz w:val="14"/>
              </w:rPr>
              <w:t>Unit</w:t>
            </w:r>
          </w:p>
        </w:tc>
        <w:tc>
          <w:tcPr>
            <w:tcW w:type="dxa" w:w="3331"/>
            <w:tcMar>
              <w:top w:w="80" w:type="dxa"/>
              <w:start w:w="90" w:type="dxa"/>
              <w:bottom w:w="80" w:type="dxa"/>
              <w:end w:w="90" w:type="dxa"/>
            </w:tcMar>
            <w:vAlign w:val="top"/>
            <w:shd w:fill="F7F9FB"/>
          </w:tcPr>
          <w:p>
            <w:pPr>
              <w:spacing w:after="30"/>
            </w:pPr>
            <w:r>
              <w:rPr>
                <w:rFonts w:ascii="Aptos" w:hAnsi="Aptos"/>
                <w:color w:val="232D38"/>
                <w:sz w:val="14"/>
              </w:rPr>
              <w:t>Pure deterministic logic.</w:t>
            </w:r>
          </w:p>
        </w:tc>
        <w:tc>
          <w:tcPr>
            <w:tcW w:type="dxa" w:w="3331"/>
            <w:tcMar>
              <w:top w:w="80" w:type="dxa"/>
              <w:start w:w="90" w:type="dxa"/>
              <w:bottom w:w="80" w:type="dxa"/>
              <w:end w:w="90" w:type="dxa"/>
            </w:tcMar>
            <w:vAlign w:val="top"/>
            <w:shd w:fill="F7F9FB"/>
          </w:tcPr>
          <w:p>
            <w:pPr>
              <w:spacing w:after="30"/>
            </w:pPr>
            <w:r>
              <w:rPr>
                <w:rFonts w:ascii="Aptos" w:hAnsi="Aptos"/>
                <w:color w:val="232D38"/>
                <w:sz w:val="14"/>
              </w:rPr>
              <w:t>Policy decisions, backing min formula, IDs, decimal precision, state guards, CPI normalization, ROI calculations.</w:t>
            </w:r>
          </w:p>
        </w:tc>
      </w:tr>
      <w:tr>
        <w:trPr>
          <w:cantSplit/>
        </w:trPr>
        <w:tc>
          <w:tcPr>
            <w:tcW w:type="dxa" w:w="3331"/>
            <w:tcMar>
              <w:top w:w="80" w:type="dxa"/>
              <w:start w:w="90" w:type="dxa"/>
              <w:bottom w:w="80" w:type="dxa"/>
              <w:end w:w="90" w:type="dxa"/>
            </w:tcMar>
            <w:vAlign w:val="top"/>
          </w:tcPr>
          <w:p>
            <w:pPr>
              <w:spacing w:after="30"/>
            </w:pPr>
            <w:r>
              <w:rPr>
                <w:rFonts w:ascii="Aptos" w:hAnsi="Aptos"/>
                <w:color w:val="232D38"/>
                <w:sz w:val="14"/>
              </w:rPr>
              <w:t>Property/invariant</w:t>
            </w:r>
          </w:p>
        </w:tc>
        <w:tc>
          <w:tcPr>
            <w:tcW w:type="dxa" w:w="3331"/>
            <w:tcMar>
              <w:top w:w="80" w:type="dxa"/>
              <w:start w:w="90" w:type="dxa"/>
              <w:bottom w:w="80" w:type="dxa"/>
              <w:end w:w="90" w:type="dxa"/>
            </w:tcMar>
            <w:vAlign w:val="top"/>
          </w:tcPr>
          <w:p>
            <w:pPr>
              <w:spacing w:after="30"/>
            </w:pPr>
            <w:r>
              <w:rPr>
                <w:rFonts w:ascii="Aptos" w:hAnsi="Aptos"/>
                <w:color w:val="232D38"/>
                <w:sz w:val="14"/>
              </w:rPr>
              <w:t>Universal safety conditions over generated inputs.</w:t>
            </w:r>
          </w:p>
        </w:tc>
        <w:tc>
          <w:tcPr>
            <w:tcW w:type="dxa" w:w="3331"/>
            <w:tcMar>
              <w:top w:w="80" w:type="dxa"/>
              <w:start w:w="90" w:type="dxa"/>
              <w:bottom w:w="80" w:type="dxa"/>
              <w:end w:w="90" w:type="dxa"/>
            </w:tcMar>
            <w:vAlign w:val="top"/>
          </w:tcPr>
          <w:p>
            <w:pPr>
              <w:spacing w:after="30"/>
            </w:pPr>
            <w:r>
              <w:rPr>
                <w:rFonts w:ascii="Aptos" w:hAnsi="Aptos"/>
                <w:color w:val="232D38"/>
                <w:sz w:val="14"/>
              </w:rPr>
              <w:t>No mint if obligor missing; ineligible backing cannot improve eligibility; unknown jurisdiction never passes; final states never silently regress; duplicate request never doubles effect.</w:t>
            </w:r>
          </w:p>
        </w:tc>
      </w:tr>
      <w:tr>
        <w:trPr>
          <w:cantSplit/>
        </w:trPr>
        <w:tc>
          <w:tcPr>
            <w:tcW w:type="dxa" w:w="3331"/>
            <w:tcMar>
              <w:top w:w="80" w:type="dxa"/>
              <w:start w:w="90" w:type="dxa"/>
              <w:bottom w:w="80" w:type="dxa"/>
              <w:end w:w="90" w:type="dxa"/>
            </w:tcMar>
            <w:vAlign w:val="top"/>
            <w:shd w:fill="F7F9FB"/>
          </w:tcPr>
          <w:p>
            <w:pPr>
              <w:spacing w:after="30"/>
            </w:pPr>
            <w:r>
              <w:rPr>
                <w:rFonts w:ascii="Aptos" w:hAnsi="Aptos"/>
                <w:color w:val="232D38"/>
                <w:sz w:val="14"/>
              </w:rPr>
              <w:t>Contract</w:t>
            </w:r>
          </w:p>
        </w:tc>
        <w:tc>
          <w:tcPr>
            <w:tcW w:type="dxa" w:w="3331"/>
            <w:tcMar>
              <w:top w:w="80" w:type="dxa"/>
              <w:start w:w="90" w:type="dxa"/>
              <w:bottom w:w="80" w:type="dxa"/>
              <w:end w:w="90" w:type="dxa"/>
            </w:tcMar>
            <w:vAlign w:val="top"/>
            <w:shd w:fill="F7F9FB"/>
          </w:tcPr>
          <w:p>
            <w:pPr>
              <w:spacing w:after="30"/>
            </w:pPr>
            <w:r>
              <w:rPr>
                <w:rFonts w:ascii="Aptos" w:hAnsi="Aptos"/>
                <w:color w:val="232D38"/>
                <w:sz w:val="14"/>
              </w:rPr>
              <w:t>Service/provider boundary compatibility.</w:t>
            </w:r>
          </w:p>
        </w:tc>
        <w:tc>
          <w:tcPr>
            <w:tcW w:type="dxa" w:w="3331"/>
            <w:tcMar>
              <w:top w:w="80" w:type="dxa"/>
              <w:start w:w="90" w:type="dxa"/>
              <w:bottom w:w="80" w:type="dxa"/>
              <w:end w:w="90" w:type="dxa"/>
            </w:tcMar>
            <w:vAlign w:val="top"/>
            <w:shd w:fill="F7F9FB"/>
          </w:tcPr>
          <w:p>
            <w:pPr>
              <w:spacing w:after="30"/>
            </w:pPr>
            <w:r>
              <w:rPr>
                <w:rFonts w:ascii="Aptos" w:hAnsi="Aptos"/>
                <w:color w:val="232D38"/>
                <w:sz w:val="14"/>
              </w:rPr>
              <w:t>API/event schemas, Inngest versions, rail adapters, callbacks, error mapping and migration compatibility.</w:t>
            </w:r>
          </w:p>
        </w:tc>
      </w:tr>
      <w:tr>
        <w:trPr>
          <w:cantSplit/>
        </w:trPr>
        <w:tc>
          <w:tcPr>
            <w:tcW w:type="dxa" w:w="3331"/>
            <w:tcMar>
              <w:top w:w="80" w:type="dxa"/>
              <w:start w:w="90" w:type="dxa"/>
              <w:bottom w:w="80" w:type="dxa"/>
              <w:end w:w="90" w:type="dxa"/>
            </w:tcMar>
            <w:vAlign w:val="top"/>
          </w:tcPr>
          <w:p>
            <w:pPr>
              <w:spacing w:after="30"/>
            </w:pPr>
            <w:r>
              <w:rPr>
                <w:rFonts w:ascii="Aptos" w:hAnsi="Aptos"/>
                <w:color w:val="232D38"/>
                <w:sz w:val="14"/>
              </w:rPr>
              <w:t>Integration</w:t>
            </w:r>
          </w:p>
        </w:tc>
        <w:tc>
          <w:tcPr>
            <w:tcW w:type="dxa" w:w="3331"/>
            <w:tcMar>
              <w:top w:w="80" w:type="dxa"/>
              <w:start w:w="90" w:type="dxa"/>
              <w:bottom w:w="80" w:type="dxa"/>
              <w:end w:w="90" w:type="dxa"/>
            </w:tcMar>
            <w:vAlign w:val="top"/>
          </w:tcPr>
          <w:p>
            <w:pPr>
              <w:spacing w:after="30"/>
            </w:pPr>
            <w:r>
              <w:rPr>
                <w:rFonts w:ascii="Aptos" w:hAnsi="Aptos"/>
                <w:color w:val="232D38"/>
                <w:sz w:val="14"/>
              </w:rPr>
              <w:t>Real components in controlled test environment.</w:t>
            </w:r>
          </w:p>
        </w:tc>
        <w:tc>
          <w:tcPr>
            <w:tcW w:type="dxa" w:w="3331"/>
            <w:tcMar>
              <w:top w:w="80" w:type="dxa"/>
              <w:start w:w="90" w:type="dxa"/>
              <w:bottom w:w="80" w:type="dxa"/>
              <w:end w:w="90" w:type="dxa"/>
            </w:tcMar>
            <w:vAlign w:val="top"/>
          </w:tcPr>
          <w:p>
            <w:pPr>
              <w:spacing w:after="30"/>
            </w:pPr>
            <w:r>
              <w:rPr>
                <w:rFonts w:ascii="Aptos" w:hAnsi="Aptos"/>
                <w:color w:val="232D38"/>
                <w:sz w:val="14"/>
              </w:rPr>
              <w:t>Neon transaction + outbox, Inngest delivery/retry, Turso projection, authz, reconciliation and replay.</w:t>
            </w:r>
          </w:p>
        </w:tc>
      </w:tr>
      <w:tr>
        <w:trPr>
          <w:cantSplit/>
        </w:trPr>
        <w:tc>
          <w:tcPr>
            <w:tcW w:type="dxa" w:w="3331"/>
            <w:tcMar>
              <w:top w:w="80" w:type="dxa"/>
              <w:start w:w="90" w:type="dxa"/>
              <w:bottom w:w="80" w:type="dxa"/>
              <w:end w:w="90" w:type="dxa"/>
            </w:tcMar>
            <w:vAlign w:val="top"/>
            <w:shd w:fill="F7F9FB"/>
          </w:tcPr>
          <w:p>
            <w:pPr>
              <w:spacing w:after="30"/>
            </w:pPr>
            <w:r>
              <w:rPr>
                <w:rFonts w:ascii="Aptos" w:hAnsi="Aptos"/>
                <w:color w:val="232D38"/>
                <w:sz w:val="14"/>
              </w:rPr>
              <w:t>End-to-end</w:t>
            </w:r>
          </w:p>
        </w:tc>
        <w:tc>
          <w:tcPr>
            <w:tcW w:type="dxa" w:w="3331"/>
            <w:tcMar>
              <w:top w:w="80" w:type="dxa"/>
              <w:start w:w="90" w:type="dxa"/>
              <w:bottom w:w="80" w:type="dxa"/>
              <w:end w:w="90" w:type="dxa"/>
            </w:tcMar>
            <w:vAlign w:val="top"/>
            <w:shd w:fill="F7F9FB"/>
          </w:tcPr>
          <w:p>
            <w:pPr>
              <w:spacing w:after="30"/>
            </w:pPr>
            <w:r>
              <w:rPr>
                <w:rFonts w:ascii="Aptos" w:hAnsi="Aptos"/>
                <w:color w:val="232D38"/>
                <w:sz w:val="14"/>
              </w:rPr>
              <w:t>Full flow across declared stack.</w:t>
            </w:r>
          </w:p>
        </w:tc>
        <w:tc>
          <w:tcPr>
            <w:tcW w:type="dxa" w:w="3331"/>
            <w:tcMar>
              <w:top w:w="80" w:type="dxa"/>
              <w:start w:w="90" w:type="dxa"/>
              <w:bottom w:w="80" w:type="dxa"/>
              <w:end w:w="90" w:type="dxa"/>
            </w:tcMar>
            <w:vAlign w:val="top"/>
            <w:shd w:fill="F7F9FB"/>
          </w:tcPr>
          <w:p>
            <w:pPr>
              <w:spacing w:after="30"/>
            </w:pPr>
            <w:r>
              <w:rPr>
                <w:rFonts w:ascii="Aptos" w:hAnsi="Aptos"/>
                <w:color w:val="232D38"/>
                <w:sz w:val="14"/>
              </w:rPr>
              <w:t>Pilot A normal path, compliance fail, route change, outage, mismatch, safe halt, recovery and regulatory replay.</w:t>
            </w:r>
          </w:p>
        </w:tc>
      </w:tr>
      <w:tr>
        <w:trPr>
          <w:cantSplit/>
        </w:trPr>
        <w:tc>
          <w:tcPr>
            <w:tcW w:type="dxa" w:w="3331"/>
            <w:tcMar>
              <w:top w:w="80" w:type="dxa"/>
              <w:start w:w="90" w:type="dxa"/>
              <w:bottom w:w="80" w:type="dxa"/>
              <w:end w:w="90" w:type="dxa"/>
            </w:tcMar>
            <w:vAlign w:val="top"/>
          </w:tcPr>
          <w:p>
            <w:pPr>
              <w:spacing w:after="30"/>
            </w:pPr>
            <w:r>
              <w:rPr>
                <w:rFonts w:ascii="Aptos" w:hAnsi="Aptos"/>
                <w:color w:val="232D38"/>
                <w:sz w:val="14"/>
              </w:rPr>
              <w:t>Security</w:t>
            </w:r>
          </w:p>
        </w:tc>
        <w:tc>
          <w:tcPr>
            <w:tcW w:type="dxa" w:w="3331"/>
            <w:tcMar>
              <w:top w:w="80" w:type="dxa"/>
              <w:start w:w="90" w:type="dxa"/>
              <w:bottom w:w="80" w:type="dxa"/>
              <w:end w:w="90" w:type="dxa"/>
            </w:tcMar>
            <w:vAlign w:val="top"/>
          </w:tcPr>
          <w:p>
            <w:pPr>
              <w:spacing w:after="30"/>
            </w:pPr>
            <w:r>
              <w:rPr>
                <w:rFonts w:ascii="Aptos" w:hAnsi="Aptos"/>
                <w:color w:val="232D38"/>
                <w:sz w:val="14"/>
              </w:rPr>
              <w:t>Attack/abuse cases.</w:t>
            </w:r>
          </w:p>
        </w:tc>
        <w:tc>
          <w:tcPr>
            <w:tcW w:type="dxa" w:w="3331"/>
            <w:tcMar>
              <w:top w:w="80" w:type="dxa"/>
              <w:start w:w="90" w:type="dxa"/>
              <w:bottom w:w="80" w:type="dxa"/>
              <w:end w:w="90" w:type="dxa"/>
            </w:tcMar>
            <w:vAlign w:val="top"/>
          </w:tcPr>
          <w:p>
            <w:pPr>
              <w:spacing w:after="30"/>
            </w:pPr>
            <w:r>
              <w:rPr>
                <w:rFonts w:ascii="Aptos" w:hAnsi="Aptos"/>
                <w:color w:val="232D38"/>
                <w:sz w:val="14"/>
              </w:rPr>
              <w:t>Unauthorized mint, tenant escape, replay, stale signature, privilege escalation, secret leak, event injection and dependency risk.</w:t>
            </w:r>
          </w:p>
        </w:tc>
      </w:tr>
      <w:tr>
        <w:trPr>
          <w:cantSplit/>
        </w:trPr>
        <w:tc>
          <w:tcPr>
            <w:tcW w:type="dxa" w:w="3331"/>
            <w:tcMar>
              <w:top w:w="80" w:type="dxa"/>
              <w:start w:w="90" w:type="dxa"/>
              <w:bottom w:w="80" w:type="dxa"/>
              <w:end w:w="90" w:type="dxa"/>
            </w:tcMar>
            <w:vAlign w:val="top"/>
            <w:shd w:fill="F7F9FB"/>
          </w:tcPr>
          <w:p>
            <w:pPr>
              <w:spacing w:after="30"/>
            </w:pPr>
            <w:r>
              <w:rPr>
                <w:rFonts w:ascii="Aptos" w:hAnsi="Aptos"/>
                <w:color w:val="232D38"/>
                <w:sz w:val="14"/>
              </w:rPr>
              <w:t>Resilience</w:t>
            </w:r>
          </w:p>
        </w:tc>
        <w:tc>
          <w:tcPr>
            <w:tcW w:type="dxa" w:w="3331"/>
            <w:tcMar>
              <w:top w:w="80" w:type="dxa"/>
              <w:start w:w="90" w:type="dxa"/>
              <w:bottom w:w="80" w:type="dxa"/>
              <w:end w:w="90" w:type="dxa"/>
            </w:tcMar>
            <w:vAlign w:val="top"/>
            <w:shd w:fill="F7F9FB"/>
          </w:tcPr>
          <w:p>
            <w:pPr>
              <w:spacing w:after="30"/>
            </w:pPr>
            <w:r>
              <w:rPr>
                <w:rFonts w:ascii="Aptos" w:hAnsi="Aptos"/>
                <w:color w:val="232D38"/>
                <w:sz w:val="14"/>
              </w:rPr>
              <w:t>Failure and recovery.</w:t>
            </w:r>
          </w:p>
        </w:tc>
        <w:tc>
          <w:tcPr>
            <w:tcW w:type="dxa" w:w="3331"/>
            <w:tcMar>
              <w:top w:w="80" w:type="dxa"/>
              <w:start w:w="90" w:type="dxa"/>
              <w:bottom w:w="80" w:type="dxa"/>
              <w:end w:w="90" w:type="dxa"/>
            </w:tcMar>
            <w:vAlign w:val="top"/>
            <w:shd w:fill="F7F9FB"/>
          </w:tcPr>
          <w:p>
            <w:pPr>
              <w:spacing w:after="30"/>
            </w:pPr>
            <w:r>
              <w:rPr>
                <w:rFonts w:ascii="Aptos" w:hAnsi="Aptos"/>
                <w:color w:val="232D38"/>
                <w:sz w:val="14"/>
              </w:rPr>
              <w:t>Duplicate/out-of-order event, DB outage, stuck outbox, stale Turso, Inngest outage, key rotation/revocation and restore.</w:t>
            </w:r>
          </w:p>
        </w:tc>
      </w:tr>
      <w:tr>
        <w:trPr>
          <w:cantSplit/>
        </w:trPr>
        <w:tc>
          <w:tcPr>
            <w:tcW w:type="dxa" w:w="3331"/>
            <w:tcMar>
              <w:top w:w="80" w:type="dxa"/>
              <w:start w:w="90" w:type="dxa"/>
              <w:bottom w:w="80" w:type="dxa"/>
              <w:end w:w="90" w:type="dxa"/>
            </w:tcMar>
            <w:vAlign w:val="top"/>
          </w:tcPr>
          <w:p>
            <w:pPr>
              <w:spacing w:after="30"/>
            </w:pPr>
            <w:r>
              <w:rPr>
                <w:rFonts w:ascii="Aptos" w:hAnsi="Aptos"/>
                <w:color w:val="232D38"/>
                <w:sz w:val="14"/>
              </w:rPr>
              <w:t>Independent assurance</w:t>
            </w:r>
          </w:p>
        </w:tc>
        <w:tc>
          <w:tcPr>
            <w:tcW w:type="dxa" w:w="3331"/>
            <w:tcMar>
              <w:top w:w="80" w:type="dxa"/>
              <w:start w:w="90" w:type="dxa"/>
              <w:bottom w:w="80" w:type="dxa"/>
              <w:end w:w="90" w:type="dxa"/>
            </w:tcMar>
            <w:vAlign w:val="top"/>
          </w:tcPr>
          <w:p>
            <w:pPr>
              <w:spacing w:after="30"/>
            </w:pPr>
            <w:r>
              <w:rPr>
                <w:rFonts w:ascii="Aptos" w:hAnsi="Aptos"/>
                <w:color w:val="232D38"/>
                <w:sz w:val="14"/>
              </w:rPr>
              <w:t>External confidence in defined scope.</w:t>
            </w:r>
          </w:p>
        </w:tc>
        <w:tc>
          <w:tcPr>
            <w:tcW w:type="dxa" w:w="3331"/>
            <w:tcMar>
              <w:top w:w="80" w:type="dxa"/>
              <w:start w:w="90" w:type="dxa"/>
              <w:bottom w:w="80" w:type="dxa"/>
              <w:end w:w="90" w:type="dxa"/>
            </w:tcMar>
            <w:vAlign w:val="top"/>
          </w:tcPr>
          <w:p>
            <w:pPr>
              <w:spacing w:after="30"/>
            </w:pPr>
            <w:r>
              <w:rPr>
                <w:rFonts w:ascii="Aptos" w:hAnsi="Aptos"/>
                <w:color w:val="232D38"/>
                <w:sz w:val="14"/>
              </w:rPr>
              <w:t>Code/security review, cloud config, invariants, evidence semantics, operational response and remediation retest.</w:t>
            </w:r>
          </w:p>
        </w:tc>
      </w:tr>
    </w:tbl>
    <w:p>
      <w:pPr>
        <w:spacing w:after="0"/>
      </w:pPr>
    </w:p>
    <w:p>
      <w:pPr>
        <w:pStyle w:val="Heading2"/>
      </w:pPr>
      <w:r>
        <w:t>10.2 Mandatory adversarial scenarios</w:t>
      </w:r>
    </w:p>
    <w:p>
      <w:pPr>
        <w:pStyle w:val="ListBullet"/>
        <w:spacing w:after="50"/>
      </w:pPr>
      <w:r>
        <w:t>MTQ disabled: every UI/API/event/scheduled/background mint, transfer, redemption or obligation-creation path is blocked and observable.</w:t>
      </w:r>
    </w:p>
    <w:p>
      <w:pPr>
        <w:pStyle w:val="ListBullet"/>
        <w:spacing w:after="50"/>
      </w:pPr>
      <w:r>
        <w:t>Missing/conflicting obligor; missing redemption entity; expired opinion; unknown/prohibited jurisdiction; entity-authority mismatch.</w:t>
      </w:r>
    </w:p>
    <w:p>
      <w:pPr>
        <w:pStyle w:val="ListBullet"/>
        <w:spacing w:after="50"/>
      </w:pPr>
      <w:r>
        <w:t>Backing statement absent/stale; same backing cell linked twice; asset encumbered/frozen; amount exceeds available settlement; valuation source disagreement.</w:t>
      </w:r>
    </w:p>
    <w:p>
      <w:pPr>
        <w:pStyle w:val="ListBullet"/>
        <w:spacing w:after="50"/>
      </w:pPr>
      <w:r>
        <w:t>Duplicate instruction; idempotency key reused with different body; duplicate Inngest event; delayed webhook; out-of-order callback; timeout with uncertain outcome.</w:t>
      </w:r>
    </w:p>
    <w:p>
      <w:pPr>
        <w:pStyle w:val="ListBullet"/>
        <w:spacing w:after="50"/>
      </w:pPr>
      <w:r>
        <w:t>Unauthorized/stale BM-15; finality proof tied to wrong transaction; false F7; route bypass attempt; policy changed mid-flow.</w:t>
      </w:r>
    </w:p>
    <w:p>
      <w:pPr>
        <w:pStyle w:val="ListBullet"/>
        <w:spacing w:after="50"/>
      </w:pPr>
      <w:r>
        <w:t>Neon commit succeeds but dispatch fails; dispatch succeeds but acknowledgement fails; Turso update fails; duplicate replay; projection watermark mismatch.</w:t>
      </w:r>
    </w:p>
    <w:p>
      <w:pPr>
        <w:pStyle w:val="ListBullet"/>
        <w:spacing w:after="50"/>
      </w:pPr>
      <w:r>
        <w:t>Bank/rail/custodian/provider outage; retry storm; quota exhaustion; network partition; key rotated/revoked; backup restore with outstanding events.</w:t>
      </w:r>
    </w:p>
    <w:p>
      <w:pPr>
        <w:pStyle w:val="ListBullet"/>
        <w:spacing w:after="50"/>
      </w:pPr>
      <w:r>
        <w:t>Reconciliation residual, tolerance mismatch, precision mismatch, missing external ref, duplicate external record and unexplained amount.</w:t>
      </w:r>
    </w:p>
    <w:p>
      <w:pPr>
        <w:pStyle w:val="ListBullet"/>
        <w:spacing w:after="50"/>
      </w:pPr>
      <w:r>
        <w:t>Break-glass without second approver, expired access, role revocation mid-flow, policy rollback and unauthorized production flag.</w:t>
      </w:r>
    </w:p>
    <w:p>
      <w:pPr>
        <w:pStyle w:val="ListBullet"/>
        <w:spacing w:after="50"/>
      </w:pPr>
      <w:r>
        <w:t>Leak via logs, error text, events, source map, client bundle, docs, screenshots, generated report or fixture.</w:t>
      </w:r>
    </w:p>
    <w:p>
      <w:pPr>
        <w:pStyle w:val="ListBullet"/>
        <w:spacing w:after="50"/>
      </w:pPr>
      <w:r>
        <w:t>Conflicting blueprint, stale schema, legacy BM IDs, stale jurisdiction seed, USD-peg phrase, old gate counter and inconsistent aggregate total.</w:t>
      </w:r>
    </w:p>
    <w:p>
      <w:pPr>
        <w:pStyle w:val="ListBullet"/>
        <w:spacing w:after="50"/>
      </w:pPr>
      <w:r>
        <w:t>AI recommends an ineligible/cheap route or policy override; hard constraints reject it deterministically.</w:t>
      </w:r>
    </w:p>
    <w:p>
      <w:pPr>
        <w:pStyle w:val="Heading2"/>
      </w:pPr>
      <w:r>
        <w:t>10.3 Release acceptance checklist</w:t>
      </w:r>
    </w:p>
    <w:p>
      <w:pPr>
        <w:pStyle w:val="ListBullet"/>
        <w:spacing w:after="50"/>
      </w:pPr>
      <w:r>
        <w:t>Canonical blueprint version/hash is recorded and release manifest links to it.</w:t>
      </w:r>
    </w:p>
    <w:p>
      <w:pPr>
        <w:pStyle w:val="ListBullet"/>
        <w:spacing w:after="50"/>
      </w:pPr>
      <w:r>
        <w:t>Every active requirement maps to implementation, tests, owner, evidence and gate; unknowns remain explicit.</w:t>
      </w:r>
    </w:p>
    <w:p>
      <w:pPr>
        <w:pStyle w:val="ListBullet"/>
        <w:spacing w:after="50"/>
      </w:pPr>
      <w:r>
        <w:t>Repository/deployment identity matches; worktree and known-good checkpoint are understood; no unreviewed destructive migration.</w:t>
      </w:r>
    </w:p>
    <w:p>
      <w:pPr>
        <w:pStyle w:val="ListBullet"/>
        <w:spacing w:after="50"/>
      </w:pPr>
      <w:r>
        <w:t>Lint/typecheck/unit/property/contract/integration/e2e/security/dependency/secret-scan results include exact commands, versions, timestamps, exit codes and limitations.</w:t>
      </w:r>
    </w:p>
    <w:p>
      <w:pPr>
        <w:pStyle w:val="ListBullet"/>
        <w:spacing w:after="50"/>
      </w:pPr>
      <w:r>
        <w:t>Migrations are reversible or have a documented forward-recovery plan; backup/restore is tested for actual tier.</w:t>
      </w:r>
    </w:p>
    <w:p>
      <w:pPr>
        <w:pStyle w:val="ListBullet"/>
        <w:spacing w:after="50"/>
      </w:pPr>
      <w:r>
        <w:t>Provider-harmony suite passes for the declared environment or affected capability remains BLOCKED/UNVERIFIABLE.</w:t>
      </w:r>
    </w:p>
    <w:p>
      <w:pPr>
        <w:pStyle w:val="ListBullet"/>
        <w:spacing w:after="50"/>
      </w:pPr>
      <w:r>
        <w:t>Evidence/observability exists for success and failure; alert owners are assigned.</w:t>
      </w:r>
    </w:p>
    <w:p>
      <w:pPr>
        <w:pStyle w:val="ListBullet"/>
        <w:spacing w:after="50"/>
      </w:pPr>
      <w:r>
        <w:t>No credential values remain in repo/docs/logs; exposed values have verified rotation evidence or remain blocking.</w:t>
      </w:r>
    </w:p>
    <w:p>
      <w:pPr>
        <w:pStyle w:val="ListBullet"/>
        <w:spacing w:after="50"/>
      </w:pPr>
      <w:r>
        <w:t>No unresolved critical contradiction remains within release scope; accepted deviations have approval/expiry.</w:t>
      </w:r>
    </w:p>
    <w:p>
      <w:pPr>
        <w:pStyle w:val="ListBullet"/>
        <w:spacing w:after="50"/>
      </w:pPr>
      <w:r>
        <w:t>Production authorization remains FALSE unless G11 is explicitly passed by authorized decision body.</w:t>
      </w:r>
    </w:p>
    <w:p>
      <w:pPr>
        <w:pStyle w:val="Heading2"/>
      </w:pPr>
      <w:r>
        <w:t>10.4 Change management</w:t>
      </w:r>
    </w:p>
    <w:p>
      <w:r>
        <w:rPr>
          <w:i w:val="0"/>
        </w:rPr>
        <w:t>A change request includes ID, reason, affected sections/contracts/providers, user problem, legal/accounting/risk implications, security impact, compatibility, migration/rollback, tests, cost impact, evidence update, approvers, target release and post-release verification. Emergency changes may use a shortened authorized process with retrospective review; they cannot override legal prohibitions or production gates.</w:t>
      </w:r>
    </w:p>
    <w:p>
      <w:pPr>
        <w:pStyle w:val="Heading2"/>
      </w:pPr>
      <w:r>
        <w:t>10.5 Required repository deliverables</w:t>
      </w:r>
    </w:p>
    <w:tbl>
      <w:tblPr>
        <w:tblStyle w:val="TableGrid"/>
        <w:tblW w:type="auto" w:w="0"/>
        <w:jc w:val="center"/>
        <w:tblLook w:firstColumn="1" w:firstRow="1" w:lastColumn="0" w:lastRow="0" w:noHBand="0" w:noVBand="1" w:val="04A0"/>
      </w:tblPr>
      <w:tblGrid>
        <w:gridCol w:w="4997"/>
        <w:gridCol w:w="4997"/>
      </w:tblGrid>
      <w:tr>
        <w:trPr>
          <w:tblHeader w:val="true"/>
          <w:cantSplit/>
        </w:trPr>
        <w:tc>
          <w:tcPr>
            <w:tcW w:type="dxa" w:w="3672"/>
            <w:shd w:fill="07111F"/>
            <w:tcMar>
              <w:top w:w="80" w:type="dxa"/>
              <w:start w:w="90" w:type="dxa"/>
              <w:bottom w:w="80" w:type="dxa"/>
              <w:end w:w="90" w:type="dxa"/>
            </w:tcMar>
            <w:vAlign w:val="center"/>
          </w:tcPr>
          <w:p>
            <w:r>
              <w:rPr>
                <w:rFonts w:ascii="Aptos" w:hAnsi="Aptos"/>
                <w:b/>
                <w:color w:val="FFFFFF"/>
                <w:sz w:val="14"/>
              </w:rPr>
              <w:t>Suggested canonical path</w:t>
            </w:r>
          </w:p>
        </w:tc>
        <w:tc>
          <w:tcPr>
            <w:tcW w:type="dxa" w:w="6264"/>
            <w:shd w:fill="07111F"/>
            <w:tcMar>
              <w:top w:w="80" w:type="dxa"/>
              <w:start w:w="90" w:type="dxa"/>
              <w:bottom w:w="80" w:type="dxa"/>
              <w:end w:w="90" w:type="dxa"/>
            </w:tcMar>
            <w:vAlign w:val="center"/>
          </w:tcPr>
          <w:p>
            <w:r>
              <w:rPr>
                <w:rFonts w:ascii="Aptos" w:hAnsi="Aptos"/>
                <w:b/>
                <w:color w:val="FFFFFF"/>
                <w:sz w:val="14"/>
              </w:rPr>
              <w:t>Contents / notes</w:t>
            </w:r>
          </w:p>
        </w:tc>
      </w:tr>
      <w:tr>
        <w:trPr>
          <w:cantSplit/>
        </w:trPr>
        <w:tc>
          <w:tcPr>
            <w:tcW w:type="dxa" w:w="4997"/>
            <w:tcMar>
              <w:top w:w="80" w:type="dxa"/>
              <w:start w:w="90" w:type="dxa"/>
              <w:bottom w:w="80" w:type="dxa"/>
              <w:end w:w="90" w:type="dxa"/>
            </w:tcMar>
            <w:vAlign w:val="top"/>
            <w:shd w:fill="F7F9FB"/>
          </w:tcPr>
          <w:p>
            <w:pPr>
              <w:spacing w:after="30"/>
            </w:pPr>
            <w:r>
              <w:rPr>
                <w:rFonts w:ascii="Aptos" w:hAnsi="Aptos"/>
                <w:color w:val="232D38"/>
                <w:sz w:val="14"/>
              </w:rPr>
              <w:t>docs/canonical/MITHQAL_Canonical_Master_Blueprint_v26.0.docx</w:t>
            </w:r>
          </w:p>
        </w:tc>
        <w:tc>
          <w:tcPr>
            <w:tcW w:type="dxa" w:w="4997"/>
            <w:tcMar>
              <w:top w:w="80" w:type="dxa"/>
              <w:start w:w="90" w:type="dxa"/>
              <w:bottom w:w="80" w:type="dxa"/>
              <w:end w:w="90" w:type="dxa"/>
            </w:tcMar>
            <w:vAlign w:val="top"/>
            <w:shd w:fill="F7F9FB"/>
          </w:tcPr>
          <w:p>
            <w:pPr>
              <w:spacing w:after="30"/>
            </w:pPr>
            <w:r>
              <w:rPr>
                <w:rFonts w:ascii="Aptos" w:hAnsi="Aptos"/>
                <w:color w:val="232D38"/>
                <w:sz w:val="14"/>
              </w:rPr>
              <w:t>Approved source document, version-controlled and hash-pinned; no divergent active copies.</w:t>
            </w:r>
          </w:p>
        </w:tc>
      </w:tr>
      <w:tr>
        <w:trPr>
          <w:cantSplit/>
        </w:trPr>
        <w:tc>
          <w:tcPr>
            <w:tcW w:type="dxa" w:w="4997"/>
            <w:tcMar>
              <w:top w:w="80" w:type="dxa"/>
              <w:start w:w="90" w:type="dxa"/>
              <w:bottom w:w="80" w:type="dxa"/>
              <w:end w:w="90" w:type="dxa"/>
            </w:tcMar>
            <w:vAlign w:val="top"/>
          </w:tcPr>
          <w:p>
            <w:pPr>
              <w:spacing w:after="30"/>
            </w:pPr>
            <w:r>
              <w:rPr>
                <w:rFonts w:ascii="Aptos" w:hAnsi="Aptos"/>
                <w:color w:val="232D38"/>
                <w:sz w:val="14"/>
              </w:rPr>
              <w:t>docs/adr/</w:t>
            </w:r>
          </w:p>
        </w:tc>
        <w:tc>
          <w:tcPr>
            <w:tcW w:type="dxa" w:w="4997"/>
            <w:tcMar>
              <w:top w:w="80" w:type="dxa"/>
              <w:start w:w="90" w:type="dxa"/>
              <w:bottom w:w="80" w:type="dxa"/>
              <w:end w:w="90" w:type="dxa"/>
            </w:tcMar>
            <w:vAlign w:val="top"/>
          </w:tcPr>
          <w:p>
            <w:pPr>
              <w:spacing w:after="30"/>
            </w:pPr>
            <w:r>
              <w:rPr>
                <w:rFonts w:ascii="Aptos" w:hAnsi="Aptos"/>
                <w:color w:val="232D38"/>
                <w:sz w:val="14"/>
              </w:rPr>
              <w:t>ADRs for authority hierarchy, database write authority, outbox/events, finality, MTQ optionality and data governance.</w:t>
            </w:r>
          </w:p>
        </w:tc>
      </w:tr>
      <w:tr>
        <w:trPr>
          <w:cantSplit/>
        </w:trPr>
        <w:tc>
          <w:tcPr>
            <w:tcW w:type="dxa" w:w="4997"/>
            <w:tcMar>
              <w:top w:w="80" w:type="dxa"/>
              <w:start w:w="90" w:type="dxa"/>
              <w:bottom w:w="80" w:type="dxa"/>
              <w:end w:w="90" w:type="dxa"/>
            </w:tcMar>
            <w:vAlign w:val="top"/>
            <w:shd w:fill="F7F9FB"/>
          </w:tcPr>
          <w:p>
            <w:pPr>
              <w:spacing w:after="30"/>
            </w:pPr>
            <w:r>
              <w:rPr>
                <w:rFonts w:ascii="Aptos" w:hAnsi="Aptos"/>
                <w:color w:val="232D38"/>
                <w:sz w:val="14"/>
              </w:rPr>
              <w:t>docs/controls/</w:t>
            </w:r>
          </w:p>
        </w:tc>
        <w:tc>
          <w:tcPr>
            <w:tcW w:type="dxa" w:w="4997"/>
            <w:tcMar>
              <w:top w:w="80" w:type="dxa"/>
              <w:start w:w="90" w:type="dxa"/>
              <w:bottom w:w="80" w:type="dxa"/>
              <w:end w:w="90" w:type="dxa"/>
            </w:tcMar>
            <w:vAlign w:val="top"/>
            <w:shd w:fill="F7F9FB"/>
          </w:tcPr>
          <w:p>
            <w:pPr>
              <w:spacing w:after="30"/>
            </w:pPr>
            <w:r>
              <w:rPr>
                <w:rFonts w:ascii="Aptos" w:hAnsi="Aptos"/>
                <w:color w:val="232D38"/>
                <w:sz w:val="14"/>
              </w:rPr>
              <w:t>Control matrix linking requirements, owners, implementation, tests, evidence and gates.</w:t>
            </w:r>
          </w:p>
        </w:tc>
      </w:tr>
      <w:tr>
        <w:trPr>
          <w:cantSplit/>
        </w:trPr>
        <w:tc>
          <w:tcPr>
            <w:tcW w:type="dxa" w:w="4997"/>
            <w:tcMar>
              <w:top w:w="80" w:type="dxa"/>
              <w:start w:w="90" w:type="dxa"/>
              <w:bottom w:w="80" w:type="dxa"/>
              <w:end w:w="90" w:type="dxa"/>
            </w:tcMar>
            <w:vAlign w:val="top"/>
          </w:tcPr>
          <w:p>
            <w:pPr>
              <w:spacing w:after="30"/>
            </w:pPr>
            <w:r>
              <w:rPr>
                <w:rFonts w:ascii="Aptos" w:hAnsi="Aptos"/>
                <w:color w:val="232D38"/>
                <w:sz w:val="14"/>
              </w:rPr>
              <w:t>schemas/</w:t>
            </w:r>
          </w:p>
        </w:tc>
        <w:tc>
          <w:tcPr>
            <w:tcW w:type="dxa" w:w="4997"/>
            <w:tcMar>
              <w:top w:w="80" w:type="dxa"/>
              <w:start w:w="90" w:type="dxa"/>
              <w:bottom w:w="80" w:type="dxa"/>
              <w:end w:w="90" w:type="dxa"/>
            </w:tcMar>
            <w:vAlign w:val="top"/>
          </w:tcPr>
          <w:p>
            <w:pPr>
              <w:spacing w:after="30"/>
            </w:pPr>
            <w:r>
              <w:rPr>
                <w:rFonts w:ascii="Aptos" w:hAnsi="Aptos"/>
                <w:color w:val="232D38"/>
                <w:sz w:val="14"/>
              </w:rPr>
              <w:t>Versioned JSON/OpenAPI/event/database contracts; generated clients are build outputs.</w:t>
            </w:r>
          </w:p>
        </w:tc>
      </w:tr>
      <w:tr>
        <w:trPr>
          <w:cantSplit/>
        </w:trPr>
        <w:tc>
          <w:tcPr>
            <w:tcW w:type="dxa" w:w="4997"/>
            <w:tcMar>
              <w:top w:w="80" w:type="dxa"/>
              <w:start w:w="90" w:type="dxa"/>
              <w:bottom w:w="80" w:type="dxa"/>
              <w:end w:w="90" w:type="dxa"/>
            </w:tcMar>
            <w:vAlign w:val="top"/>
            <w:shd w:fill="F7F9FB"/>
          </w:tcPr>
          <w:p>
            <w:pPr>
              <w:spacing w:after="30"/>
            </w:pPr>
            <w:r>
              <w:rPr>
                <w:rFonts w:ascii="Aptos" w:hAnsi="Aptos"/>
                <w:color w:val="232D38"/>
                <w:sz w:val="14"/>
              </w:rPr>
              <w:t>policies/</w:t>
            </w:r>
          </w:p>
        </w:tc>
        <w:tc>
          <w:tcPr>
            <w:tcW w:type="dxa" w:w="4997"/>
            <w:tcMar>
              <w:top w:w="80" w:type="dxa"/>
              <w:start w:w="90" w:type="dxa"/>
              <w:bottom w:w="80" w:type="dxa"/>
              <w:end w:w="90" w:type="dxa"/>
            </w:tcMar>
            <w:vAlign w:val="top"/>
            <w:shd w:fill="F7F9FB"/>
          </w:tcPr>
          <w:p>
            <w:pPr>
              <w:spacing w:after="30"/>
            </w:pPr>
            <w:r>
              <w:rPr>
                <w:rFonts w:ascii="Aptos" w:hAnsi="Aptos"/>
                <w:color w:val="232D38"/>
                <w:sz w:val="14"/>
              </w:rPr>
              <w:t>Approved machine-readable registry with effective time, version, approver, hash, expiry, scope and rollback.</w:t>
            </w:r>
          </w:p>
        </w:tc>
      </w:tr>
      <w:tr>
        <w:trPr>
          <w:cantSplit/>
        </w:trPr>
        <w:tc>
          <w:tcPr>
            <w:tcW w:type="dxa" w:w="4997"/>
            <w:tcMar>
              <w:top w:w="80" w:type="dxa"/>
              <w:start w:w="90" w:type="dxa"/>
              <w:bottom w:w="80" w:type="dxa"/>
              <w:end w:w="90" w:type="dxa"/>
            </w:tcMar>
            <w:vAlign w:val="top"/>
          </w:tcPr>
          <w:p>
            <w:pPr>
              <w:spacing w:after="30"/>
            </w:pPr>
            <w:r>
              <w:rPr>
                <w:rFonts w:ascii="Aptos" w:hAnsi="Aptos"/>
                <w:color w:val="232D38"/>
                <w:sz w:val="14"/>
              </w:rPr>
              <w:t>migrations/</w:t>
            </w:r>
          </w:p>
        </w:tc>
        <w:tc>
          <w:tcPr>
            <w:tcW w:type="dxa" w:w="4997"/>
            <w:tcMar>
              <w:top w:w="80" w:type="dxa"/>
              <w:start w:w="90" w:type="dxa"/>
              <w:bottom w:w="80" w:type="dxa"/>
              <w:end w:w="90" w:type="dxa"/>
            </w:tcMar>
            <w:vAlign w:val="top"/>
          </w:tcPr>
          <w:p>
            <w:pPr>
              <w:spacing w:after="30"/>
            </w:pPr>
            <w:r>
              <w:rPr>
                <w:rFonts w:ascii="Aptos" w:hAnsi="Aptos"/>
                <w:color w:val="232D38"/>
                <w:sz w:val="14"/>
              </w:rPr>
              <w:t>DB migrations and verification tests.</w:t>
            </w:r>
          </w:p>
        </w:tc>
      </w:tr>
      <w:tr>
        <w:trPr>
          <w:cantSplit/>
        </w:trPr>
        <w:tc>
          <w:tcPr>
            <w:tcW w:type="dxa" w:w="4997"/>
            <w:tcMar>
              <w:top w:w="80" w:type="dxa"/>
              <w:start w:w="90" w:type="dxa"/>
              <w:bottom w:w="80" w:type="dxa"/>
              <w:end w:w="90" w:type="dxa"/>
            </w:tcMar>
            <w:vAlign w:val="top"/>
            <w:shd w:fill="F7F9FB"/>
          </w:tcPr>
          <w:p>
            <w:pPr>
              <w:spacing w:after="30"/>
            </w:pPr>
            <w:r>
              <w:rPr>
                <w:rFonts w:ascii="Aptos" w:hAnsi="Aptos"/>
                <w:color w:val="232D38"/>
                <w:sz w:val="14"/>
              </w:rPr>
              <w:t>src/</w:t>
            </w:r>
          </w:p>
        </w:tc>
        <w:tc>
          <w:tcPr>
            <w:tcW w:type="dxa" w:w="4997"/>
            <w:tcMar>
              <w:top w:w="80" w:type="dxa"/>
              <w:start w:w="90" w:type="dxa"/>
              <w:bottom w:w="80" w:type="dxa"/>
              <w:end w:w="90" w:type="dxa"/>
            </w:tcMar>
            <w:vAlign w:val="top"/>
            <w:shd w:fill="F7F9FB"/>
          </w:tcPr>
          <w:p>
            <w:pPr>
              <w:spacing w:after="30"/>
            </w:pPr>
            <w:r>
              <w:rPr>
                <w:rFonts w:ascii="Aptos" w:hAnsi="Aptos"/>
                <w:color w:val="232D38"/>
                <w:sz w:val="14"/>
              </w:rPr>
              <w:t>Application, domain services, adapters, policy evaluation, state machine, evidence and read models; adapt to existing structure.</w:t>
            </w:r>
          </w:p>
        </w:tc>
      </w:tr>
      <w:tr>
        <w:trPr>
          <w:cantSplit/>
        </w:trPr>
        <w:tc>
          <w:tcPr>
            <w:tcW w:type="dxa" w:w="4997"/>
            <w:tcMar>
              <w:top w:w="80" w:type="dxa"/>
              <w:start w:w="90" w:type="dxa"/>
              <w:bottom w:w="80" w:type="dxa"/>
              <w:end w:w="90" w:type="dxa"/>
            </w:tcMar>
            <w:vAlign w:val="top"/>
          </w:tcPr>
          <w:p>
            <w:pPr>
              <w:spacing w:after="30"/>
            </w:pPr>
            <w:r>
              <w:rPr>
                <w:rFonts w:ascii="Aptos" w:hAnsi="Aptos"/>
                <w:color w:val="232D38"/>
                <w:sz w:val="14"/>
              </w:rPr>
              <w:t>inngest/ or equivalent workflow registry</w:t>
            </w:r>
          </w:p>
        </w:tc>
        <w:tc>
          <w:tcPr>
            <w:tcW w:type="dxa" w:w="4997"/>
            <w:tcMar>
              <w:top w:w="80" w:type="dxa"/>
              <w:start w:w="90" w:type="dxa"/>
              <w:bottom w:w="80" w:type="dxa"/>
              <w:end w:w="90" w:type="dxa"/>
            </w:tcMar>
            <w:vAlign w:val="top"/>
          </w:tcPr>
          <w:p>
            <w:pPr>
              <w:spacing w:after="30"/>
            </w:pPr>
            <w:r>
              <w:rPr>
                <w:rFonts w:ascii="Aptos" w:hAnsi="Aptos"/>
                <w:color w:val="232D38"/>
                <w:sz w:val="14"/>
              </w:rPr>
              <w:t>Function catalog, schemas, retries, concurrency, idempotency and replay procedure.</w:t>
            </w:r>
          </w:p>
        </w:tc>
      </w:tr>
      <w:tr>
        <w:trPr>
          <w:cantSplit/>
        </w:trPr>
        <w:tc>
          <w:tcPr>
            <w:tcW w:type="dxa" w:w="4997"/>
            <w:tcMar>
              <w:top w:w="80" w:type="dxa"/>
              <w:start w:w="90" w:type="dxa"/>
              <w:bottom w:w="80" w:type="dxa"/>
              <w:end w:w="90" w:type="dxa"/>
            </w:tcMar>
            <w:vAlign w:val="top"/>
            <w:shd w:fill="F7F9FB"/>
          </w:tcPr>
          <w:p>
            <w:pPr>
              <w:spacing w:after="30"/>
            </w:pPr>
            <w:r>
              <w:rPr>
                <w:rFonts w:ascii="Aptos" w:hAnsi="Aptos"/>
                <w:color w:val="232D38"/>
                <w:sz w:val="14"/>
              </w:rPr>
              <w:t>tests/unit, property, contract, integration, e2e, security</w:t>
            </w:r>
          </w:p>
        </w:tc>
        <w:tc>
          <w:tcPr>
            <w:tcW w:type="dxa" w:w="4997"/>
            <w:tcMar>
              <w:top w:w="80" w:type="dxa"/>
              <w:start w:w="90" w:type="dxa"/>
              <w:bottom w:w="80" w:type="dxa"/>
              <w:end w:w="90" w:type="dxa"/>
            </w:tcMar>
            <w:vAlign w:val="top"/>
            <w:shd w:fill="F7F9FB"/>
          </w:tcPr>
          <w:p>
            <w:pPr>
              <w:spacing w:after="30"/>
            </w:pPr>
            <w:r>
              <w:rPr>
                <w:rFonts w:ascii="Aptos" w:hAnsi="Aptos"/>
                <w:color w:val="232D38"/>
                <w:sz w:val="14"/>
              </w:rPr>
              <w:t>Testing layers and synthetic fixtures by default.</w:t>
            </w:r>
          </w:p>
        </w:tc>
      </w:tr>
      <w:tr>
        <w:trPr>
          <w:cantSplit/>
        </w:trPr>
        <w:tc>
          <w:tcPr>
            <w:tcW w:type="dxa" w:w="4997"/>
            <w:tcMar>
              <w:top w:w="80" w:type="dxa"/>
              <w:start w:w="90" w:type="dxa"/>
              <w:bottom w:w="80" w:type="dxa"/>
              <w:end w:w="90" w:type="dxa"/>
            </w:tcMar>
            <w:vAlign w:val="top"/>
          </w:tcPr>
          <w:p>
            <w:pPr>
              <w:spacing w:after="30"/>
            </w:pPr>
            <w:r>
              <w:rPr>
                <w:rFonts w:ascii="Aptos" w:hAnsi="Aptos"/>
                <w:color w:val="232D38"/>
                <w:sz w:val="14"/>
              </w:rPr>
              <w:t>institutional/evidence/</w:t>
            </w:r>
          </w:p>
        </w:tc>
        <w:tc>
          <w:tcPr>
            <w:tcW w:type="dxa" w:w="4997"/>
            <w:tcMar>
              <w:top w:w="80" w:type="dxa"/>
              <w:start w:w="90" w:type="dxa"/>
              <w:bottom w:w="80" w:type="dxa"/>
              <w:end w:w="90" w:type="dxa"/>
            </w:tcMar>
            <w:vAlign w:val="top"/>
          </w:tcPr>
          <w:p>
            <w:pPr>
              <w:spacing w:after="30"/>
            </w:pPr>
            <w:r>
              <w:rPr>
                <w:rFonts w:ascii="Aptos" w:hAnsi="Aptos"/>
                <w:color w:val="232D38"/>
                <w:sz w:val="14"/>
              </w:rPr>
              <w:t>Evidence index/artifact metadata/reports; no raw secrets; confirm privacy/size before storing large files.</w:t>
            </w:r>
          </w:p>
        </w:tc>
      </w:tr>
      <w:tr>
        <w:trPr>
          <w:cantSplit/>
        </w:trPr>
        <w:tc>
          <w:tcPr>
            <w:tcW w:type="dxa" w:w="4997"/>
            <w:tcMar>
              <w:top w:w="80" w:type="dxa"/>
              <w:start w:w="90" w:type="dxa"/>
              <w:bottom w:w="80" w:type="dxa"/>
              <w:end w:w="90" w:type="dxa"/>
            </w:tcMar>
            <w:vAlign w:val="top"/>
            <w:shd w:fill="F7F9FB"/>
          </w:tcPr>
          <w:p>
            <w:pPr>
              <w:spacing w:after="30"/>
            </w:pPr>
            <w:r>
              <w:rPr>
                <w:rFonts w:ascii="Aptos" w:hAnsi="Aptos"/>
                <w:color w:val="232D38"/>
                <w:sz w:val="14"/>
              </w:rPr>
              <w:t>institutional/gates/</w:t>
            </w:r>
          </w:p>
        </w:tc>
        <w:tc>
          <w:tcPr>
            <w:tcW w:type="dxa" w:w="4997"/>
            <w:tcMar>
              <w:top w:w="80" w:type="dxa"/>
              <w:start w:w="90" w:type="dxa"/>
              <w:bottom w:w="80" w:type="dxa"/>
              <w:end w:w="90" w:type="dxa"/>
            </w:tcMar>
            <w:vAlign w:val="top"/>
            <w:shd w:fill="F7F9FB"/>
          </w:tcPr>
          <w:p>
            <w:pPr>
              <w:spacing w:after="30"/>
            </w:pPr>
            <w:r>
              <w:rPr>
                <w:rFonts w:ascii="Aptos" w:hAnsi="Aptos"/>
                <w:color w:val="232D38"/>
                <w:sz w:val="14"/>
              </w:rPr>
              <w:t>G0–G11 decisions, evidence, approver, timestamp, scope and expiry.</w:t>
            </w:r>
          </w:p>
        </w:tc>
      </w:tr>
      <w:tr>
        <w:trPr>
          <w:cantSplit/>
        </w:trPr>
        <w:tc>
          <w:tcPr>
            <w:tcW w:type="dxa" w:w="4997"/>
            <w:tcMar>
              <w:top w:w="80" w:type="dxa"/>
              <w:start w:w="90" w:type="dxa"/>
              <w:bottom w:w="80" w:type="dxa"/>
              <w:end w:w="90" w:type="dxa"/>
            </w:tcMar>
            <w:vAlign w:val="top"/>
          </w:tcPr>
          <w:p>
            <w:pPr>
              <w:spacing w:after="30"/>
            </w:pPr>
            <w:r>
              <w:rPr>
                <w:rFonts w:ascii="Aptos" w:hAnsi="Aptos"/>
                <w:color w:val="232D38"/>
                <w:sz w:val="14"/>
              </w:rPr>
              <w:t>institutional/release/</w:t>
            </w:r>
          </w:p>
        </w:tc>
        <w:tc>
          <w:tcPr>
            <w:tcW w:type="dxa" w:w="4997"/>
            <w:tcMar>
              <w:top w:w="80" w:type="dxa"/>
              <w:start w:w="90" w:type="dxa"/>
              <w:bottom w:w="80" w:type="dxa"/>
              <w:end w:w="90" w:type="dxa"/>
            </w:tcMar>
            <w:vAlign w:val="top"/>
          </w:tcPr>
          <w:p>
            <w:pPr>
              <w:spacing w:after="30"/>
            </w:pPr>
            <w:r>
              <w:rPr>
                <w:rFonts w:ascii="Aptos" w:hAnsi="Aptos"/>
                <w:color w:val="232D38"/>
                <w:sz w:val="14"/>
              </w:rPr>
              <w:t>Commit, blueprint hash, migrations, config refs, tests, provider status and production flag.</w:t>
            </w:r>
          </w:p>
        </w:tc>
      </w:tr>
      <w:tr>
        <w:trPr>
          <w:cantSplit/>
        </w:trPr>
        <w:tc>
          <w:tcPr>
            <w:tcW w:type="dxa" w:w="4997"/>
            <w:tcMar>
              <w:top w:w="80" w:type="dxa"/>
              <w:start w:w="90" w:type="dxa"/>
              <w:bottom w:w="80" w:type="dxa"/>
              <w:end w:w="90" w:type="dxa"/>
            </w:tcMar>
            <w:vAlign w:val="top"/>
            <w:shd w:fill="F7F9FB"/>
          </w:tcPr>
          <w:p>
            <w:pPr>
              <w:spacing w:after="30"/>
            </w:pPr>
            <w:r>
              <w:rPr>
                <w:rFonts w:ascii="Aptos" w:hAnsi="Aptos"/>
                <w:color w:val="232D38"/>
                <w:sz w:val="14"/>
              </w:rPr>
              <w:t>institutional/incidents/ and institutional/recovery/</w:t>
            </w:r>
          </w:p>
        </w:tc>
        <w:tc>
          <w:tcPr>
            <w:tcW w:type="dxa" w:w="4997"/>
            <w:tcMar>
              <w:top w:w="80" w:type="dxa"/>
              <w:start w:w="90" w:type="dxa"/>
              <w:bottom w:w="80" w:type="dxa"/>
              <w:end w:w="90" w:type="dxa"/>
            </w:tcMar>
            <w:vAlign w:val="top"/>
            <w:shd w:fill="F7F9FB"/>
          </w:tcPr>
          <w:p>
            <w:pPr>
              <w:spacing w:after="30"/>
            </w:pPr>
            <w:r>
              <w:rPr>
                <w:rFonts w:ascii="Aptos" w:hAnsi="Aptos"/>
                <w:color w:val="232D38"/>
                <w:sz w:val="14"/>
              </w:rPr>
              <w:t>Incidents, snapshots, known-good manifest, restore steps and recovery decisions.</w:t>
            </w:r>
          </w:p>
        </w:tc>
      </w:tr>
    </w:tbl>
    <w:p>
      <w:pPr>
        <w:spacing w:after="0"/>
      </w:pPr>
    </w:p>
    <w:p>
      <w:pPr>
        <w:pStyle w:val="Heading2"/>
      </w:pPr>
      <w:r>
        <w:t>10.6 Static contradiction scanner</w:t>
      </w:r>
    </w:p>
    <w:p>
      <w:r>
        <w:rPr>
          <w:i w:val="0"/>
        </w:rPr>
        <w:t>The scanner is a detection control, not proof of correctness. Its output declares what it scans/excludes. Cover active source, relevant comments/strings, schemas, migrations, workflow/function registries, environment templates, policy files, tests, docs, shipped generated files, release manifests and package/build configuration. Exclude dependency/vendor output only with a reason and separate supply-chain scan. Scan for legacy identifiers, PAR/USD-peg wording, stale 130% claims, gold/digital pilot allocation, old gate counts, jurisdiction state conflicts, dual-writer DB behavior, production flags, required-field omissions and unsupported “atomic/production/approved” claims.</w:t>
      </w:r>
    </w:p>
    <w:p>
      <w:r>
        <w:rPr>
          <w:i w:val="0"/>
        </w:rPr>
        <w:t>Each finding includes path, line/rule, secret-redacted excerpt, severity, owner and disposition. Suppression requires a justified expiring exception. Run the scanner in pull-request CI and release checks. Coverage must not be claimed as repository-wide if only src/lib/*.ts is scanned.</w:t>
      </w:r>
    </w:p>
    <w:p>
      <w:pPr>
        <w:pStyle w:val="Heading1"/>
      </w:pPr>
      <w:r>
        <w:t>PART XI — Phased Implementation Plan and Decision Log</w:t>
      </w:r>
    </w:p>
    <w:p>
      <w:pPr>
        <w:pStyle w:val="Heading2"/>
      </w:pPr>
      <w:r>
        <w:t>11.1 Gate-first phases</w:t>
      </w:r>
    </w:p>
    <w:tbl>
      <w:tblPr>
        <w:tblStyle w:val="TableGrid"/>
        <w:tblW w:type="auto" w:w="0"/>
        <w:jc w:val="center"/>
        <w:tblLook w:firstColumn="1" w:firstRow="1" w:lastColumn="0" w:lastRow="0" w:noHBand="0" w:noVBand="1" w:val="04A0"/>
      </w:tblPr>
      <w:tblGrid>
        <w:gridCol w:w="2498"/>
        <w:gridCol w:w="2498"/>
        <w:gridCol w:w="2498"/>
        <w:gridCol w:w="2498"/>
      </w:tblGrid>
      <w:tr>
        <w:trPr>
          <w:tblHeader w:val="true"/>
          <w:cantSplit/>
        </w:trPr>
        <w:tc>
          <w:tcPr>
            <w:tcW w:type="dxa" w:w="2232"/>
            <w:shd w:fill="07111F"/>
            <w:tcMar>
              <w:top w:w="80" w:type="dxa"/>
              <w:start w:w="90" w:type="dxa"/>
              <w:bottom w:w="80" w:type="dxa"/>
              <w:end w:w="90" w:type="dxa"/>
            </w:tcMar>
            <w:vAlign w:val="center"/>
          </w:tcPr>
          <w:p>
            <w:r>
              <w:rPr>
                <w:rFonts w:ascii="Aptos" w:hAnsi="Aptos"/>
                <w:b/>
                <w:color w:val="FFFFFF"/>
                <w:sz w:val="13"/>
              </w:rPr>
              <w:t>Phase</w:t>
            </w:r>
          </w:p>
        </w:tc>
        <w:tc>
          <w:tcPr>
            <w:tcW w:type="dxa" w:w="2448"/>
            <w:shd w:fill="07111F"/>
            <w:tcMar>
              <w:top w:w="80" w:type="dxa"/>
              <w:start w:w="90" w:type="dxa"/>
              <w:bottom w:w="80" w:type="dxa"/>
              <w:end w:w="90" w:type="dxa"/>
            </w:tcMar>
            <w:vAlign w:val="center"/>
          </w:tcPr>
          <w:p>
            <w:r>
              <w:rPr>
                <w:rFonts w:ascii="Aptos" w:hAnsi="Aptos"/>
                <w:b/>
                <w:color w:val="FFFFFF"/>
                <w:sz w:val="13"/>
              </w:rPr>
              <w:t>Objective</w:t>
            </w:r>
          </w:p>
        </w:tc>
        <w:tc>
          <w:tcPr>
            <w:tcW w:type="dxa" w:w="3528"/>
            <w:shd w:fill="07111F"/>
            <w:tcMar>
              <w:top w:w="80" w:type="dxa"/>
              <w:start w:w="90" w:type="dxa"/>
              <w:bottom w:w="80" w:type="dxa"/>
              <w:end w:w="90" w:type="dxa"/>
            </w:tcMar>
            <w:vAlign w:val="center"/>
          </w:tcPr>
          <w:p>
            <w:r>
              <w:rPr>
                <w:rFonts w:ascii="Aptos" w:hAnsi="Aptos"/>
                <w:b/>
                <w:color w:val="FFFFFF"/>
                <w:sz w:val="13"/>
              </w:rPr>
              <w:t>Core outputs</w:t>
            </w:r>
          </w:p>
        </w:tc>
        <w:tc>
          <w:tcPr>
            <w:tcW w:type="dxa" w:w="2664"/>
            <w:shd w:fill="07111F"/>
            <w:tcMar>
              <w:top w:w="80" w:type="dxa"/>
              <w:start w:w="90" w:type="dxa"/>
              <w:bottom w:w="80" w:type="dxa"/>
              <w:end w:w="90" w:type="dxa"/>
            </w:tcMar>
            <w:vAlign w:val="center"/>
          </w:tcPr>
          <w:p>
            <w:r>
              <w:rPr>
                <w:rFonts w:ascii="Aptos" w:hAnsi="Aptos"/>
                <w:b/>
                <w:color w:val="FFFFFF"/>
                <w:sz w:val="13"/>
              </w:rPr>
              <w:t>Exit rule</w:t>
            </w:r>
          </w:p>
        </w:tc>
      </w:tr>
      <w:tr>
        <w:trPr>
          <w:cantSplit/>
        </w:trPr>
        <w:tc>
          <w:tcPr>
            <w:tcW w:type="dxa" w:w="2498"/>
            <w:tcMar>
              <w:top w:w="80" w:type="dxa"/>
              <w:start w:w="90" w:type="dxa"/>
              <w:bottom w:w="80" w:type="dxa"/>
              <w:end w:w="90" w:type="dxa"/>
            </w:tcMar>
            <w:vAlign w:val="top"/>
            <w:shd w:fill="F7F9FB"/>
          </w:tcPr>
          <w:p>
            <w:pPr>
              <w:spacing w:after="30"/>
            </w:pPr>
            <w:r>
              <w:rPr>
                <w:rFonts w:ascii="Aptos" w:hAnsi="Aptos"/>
                <w:color w:val="232D38"/>
                <w:sz w:val="13"/>
              </w:rPr>
              <w:t>0 — Forensic safety/baseline</w:t>
            </w:r>
          </w:p>
        </w:tc>
        <w:tc>
          <w:tcPr>
            <w:tcW w:type="dxa" w:w="2498"/>
            <w:tcMar>
              <w:top w:w="80" w:type="dxa"/>
              <w:start w:w="90" w:type="dxa"/>
              <w:bottom w:w="80" w:type="dxa"/>
              <w:end w:w="90" w:type="dxa"/>
            </w:tcMar>
            <w:vAlign w:val="top"/>
            <w:shd w:fill="F7F9FB"/>
          </w:tcPr>
          <w:p>
            <w:pPr>
              <w:spacing w:after="30"/>
            </w:pPr>
            <w:r>
              <w:rPr>
                <w:rFonts w:ascii="Aptos" w:hAnsi="Aptos"/>
                <w:color w:val="232D38"/>
                <w:sz w:val="13"/>
              </w:rPr>
              <w:t>Protect evidence, address credential exposure, identify last known-good state and repository identity.</w:t>
            </w:r>
          </w:p>
        </w:tc>
        <w:tc>
          <w:tcPr>
            <w:tcW w:type="dxa" w:w="2498"/>
            <w:tcMar>
              <w:top w:w="80" w:type="dxa"/>
              <w:start w:w="90" w:type="dxa"/>
              <w:bottom w:w="80" w:type="dxa"/>
              <w:end w:w="90" w:type="dxa"/>
            </w:tcMar>
            <w:vAlign w:val="top"/>
            <w:shd w:fill="F7F9FB"/>
          </w:tcPr>
          <w:p>
            <w:pPr>
              <w:spacing w:after="30"/>
            </w:pPr>
            <w:r>
              <w:rPr>
                <w:rFonts w:ascii="Aptos" w:hAnsi="Aptos"/>
                <w:color w:val="232D38"/>
                <w:sz w:val="13"/>
              </w:rPr>
              <w:t>Snapshots, archive inventory, rotation status, release manifest, repo/provider evidence.</w:t>
            </w:r>
          </w:p>
        </w:tc>
        <w:tc>
          <w:tcPr>
            <w:tcW w:type="dxa" w:w="2498"/>
            <w:tcMar>
              <w:top w:w="80" w:type="dxa"/>
              <w:start w:w="90" w:type="dxa"/>
              <w:bottom w:w="80" w:type="dxa"/>
              <w:end w:w="90" w:type="dxa"/>
            </w:tcMar>
            <w:vAlign w:val="top"/>
            <w:shd w:fill="F7F9FB"/>
          </w:tcPr>
          <w:p>
            <w:pPr>
              <w:spacing w:after="30"/>
            </w:pPr>
            <w:r>
              <w:rPr>
                <w:rFonts w:ascii="Aptos" w:hAnsi="Aptos"/>
                <w:color w:val="232D38"/>
                <w:sz w:val="13"/>
              </w:rPr>
              <w:t>No unknown destructive changes; secret status and known-good point evidenced or explicitly blocking.</w:t>
            </w:r>
          </w:p>
        </w:tc>
      </w:tr>
      <w:tr>
        <w:trPr>
          <w:cantSplit/>
        </w:trPr>
        <w:tc>
          <w:tcPr>
            <w:tcW w:type="dxa" w:w="2498"/>
            <w:tcMar>
              <w:top w:w="80" w:type="dxa"/>
              <w:start w:w="90" w:type="dxa"/>
              <w:bottom w:w="80" w:type="dxa"/>
              <w:end w:w="90" w:type="dxa"/>
            </w:tcMar>
            <w:vAlign w:val="top"/>
          </w:tcPr>
          <w:p>
            <w:pPr>
              <w:spacing w:after="30"/>
            </w:pPr>
            <w:r>
              <w:rPr>
                <w:rFonts w:ascii="Aptos" w:hAnsi="Aptos"/>
                <w:color w:val="232D38"/>
                <w:sz w:val="13"/>
              </w:rPr>
              <w:t>1 — Authority/contradiction closure</w:t>
            </w:r>
          </w:p>
        </w:tc>
        <w:tc>
          <w:tcPr>
            <w:tcW w:type="dxa" w:w="2498"/>
            <w:tcMar>
              <w:top w:w="80" w:type="dxa"/>
              <w:start w:w="90" w:type="dxa"/>
              <w:bottom w:w="80" w:type="dxa"/>
              <w:end w:w="90" w:type="dxa"/>
            </w:tcMar>
            <w:vAlign w:val="top"/>
          </w:tcPr>
          <w:p>
            <w:pPr>
              <w:spacing w:after="30"/>
            </w:pPr>
            <w:r>
              <w:rPr>
                <w:rFonts w:ascii="Aptos" w:hAnsi="Aptos"/>
                <w:color w:val="232D38"/>
                <w:sz w:val="13"/>
              </w:rPr>
              <w:t>Adopt blueprint; reconcile policy/code/schema/document drift.</w:t>
            </w:r>
          </w:p>
        </w:tc>
        <w:tc>
          <w:tcPr>
            <w:tcW w:type="dxa" w:w="2498"/>
            <w:tcMar>
              <w:top w:w="80" w:type="dxa"/>
              <w:start w:w="90" w:type="dxa"/>
              <w:bottom w:w="80" w:type="dxa"/>
              <w:end w:w="90" w:type="dxa"/>
            </w:tcMar>
            <w:vAlign w:val="top"/>
          </w:tcPr>
          <w:p>
            <w:pPr>
              <w:spacing w:after="30"/>
            </w:pPr>
            <w:r>
              <w:rPr>
                <w:rFonts w:ascii="Aptos" w:hAnsi="Aptos"/>
                <w:color w:val="232D38"/>
                <w:sz w:val="13"/>
              </w:rPr>
              <w:t>Approved hash, ADRs, canonical BM IDs, finality, gate registry, contradiction/test map.</w:t>
            </w:r>
          </w:p>
        </w:tc>
        <w:tc>
          <w:tcPr>
            <w:tcW w:type="dxa" w:w="2498"/>
            <w:tcMar>
              <w:top w:w="80" w:type="dxa"/>
              <w:start w:w="90" w:type="dxa"/>
              <w:bottom w:w="80" w:type="dxa"/>
              <w:end w:w="90" w:type="dxa"/>
            </w:tcMar>
            <w:vAlign w:val="top"/>
          </w:tcPr>
          <w:p>
            <w:pPr>
              <w:spacing w:after="30"/>
            </w:pPr>
            <w:r>
              <w:rPr>
                <w:rFonts w:ascii="Aptos" w:hAnsi="Aptos"/>
                <w:color w:val="232D38"/>
                <w:sz w:val="13"/>
              </w:rPr>
              <w:t>No unresolved P0 conflict affecting Pilot A or MTQ safety.</w:t>
            </w:r>
          </w:p>
        </w:tc>
      </w:tr>
      <w:tr>
        <w:trPr>
          <w:cantSplit/>
        </w:trPr>
        <w:tc>
          <w:tcPr>
            <w:tcW w:type="dxa" w:w="2498"/>
            <w:tcMar>
              <w:top w:w="80" w:type="dxa"/>
              <w:start w:w="90" w:type="dxa"/>
              <w:bottom w:w="80" w:type="dxa"/>
              <w:end w:w="90" w:type="dxa"/>
            </w:tcMar>
            <w:vAlign w:val="top"/>
            <w:shd w:fill="F7F9FB"/>
          </w:tcPr>
          <w:p>
            <w:pPr>
              <w:spacing w:after="30"/>
            </w:pPr>
            <w:r>
              <w:rPr>
                <w:rFonts w:ascii="Aptos" w:hAnsi="Aptos"/>
                <w:color w:val="232D38"/>
                <w:sz w:val="13"/>
              </w:rPr>
              <w:t>2 — Evidence/data foundation</w:t>
            </w:r>
          </w:p>
        </w:tc>
        <w:tc>
          <w:tcPr>
            <w:tcW w:type="dxa" w:w="2498"/>
            <w:tcMar>
              <w:top w:w="80" w:type="dxa"/>
              <w:start w:w="90" w:type="dxa"/>
              <w:bottom w:w="80" w:type="dxa"/>
              <w:end w:w="90" w:type="dxa"/>
            </w:tcMar>
            <w:vAlign w:val="top"/>
            <w:shd w:fill="F7F9FB"/>
          </w:tcPr>
          <w:p>
            <w:pPr>
              <w:spacing w:after="30"/>
            </w:pPr>
            <w:r>
              <w:rPr>
                <w:rFonts w:ascii="Aptos" w:hAnsi="Aptos"/>
                <w:color w:val="232D38"/>
                <w:sz w:val="13"/>
              </w:rPr>
              <w:t>Implement IDs, provenance, state truth, obligation/evidence registries, outbox and reconciliation.</w:t>
            </w:r>
          </w:p>
        </w:tc>
        <w:tc>
          <w:tcPr>
            <w:tcW w:type="dxa" w:w="2498"/>
            <w:tcMar>
              <w:top w:w="80" w:type="dxa"/>
              <w:start w:w="90" w:type="dxa"/>
              <w:bottom w:w="80" w:type="dxa"/>
              <w:end w:w="90" w:type="dxa"/>
            </w:tcMar>
            <w:vAlign w:val="top"/>
            <w:shd w:fill="F7F9FB"/>
          </w:tcPr>
          <w:p>
            <w:pPr>
              <w:spacing w:after="30"/>
            </w:pPr>
            <w:r>
              <w:rPr>
                <w:rFonts w:ascii="Aptos" w:hAnsi="Aptos"/>
                <w:color w:val="232D38"/>
                <w:sz w:val="13"/>
              </w:rPr>
              <w:t>Schemas, migrations, event contracts, evidence interfaces, policy decisions, tests and audit trail.</w:t>
            </w:r>
          </w:p>
        </w:tc>
        <w:tc>
          <w:tcPr>
            <w:tcW w:type="dxa" w:w="2498"/>
            <w:tcMar>
              <w:top w:w="80" w:type="dxa"/>
              <w:start w:w="90" w:type="dxa"/>
              <w:bottom w:w="80" w:type="dxa"/>
              <w:end w:w="90" w:type="dxa"/>
            </w:tcMar>
            <w:vAlign w:val="top"/>
            <w:shd w:fill="F7F9FB"/>
          </w:tcPr>
          <w:p>
            <w:pPr>
              <w:spacing w:after="30"/>
            </w:pPr>
            <w:r>
              <w:rPr>
                <w:rFonts w:ascii="Aptos" w:hAnsi="Aptos"/>
                <w:color w:val="232D38"/>
                <w:sz w:val="13"/>
              </w:rPr>
              <w:t>Invariants pass against real controlled integrations.</w:t>
            </w:r>
          </w:p>
        </w:tc>
      </w:tr>
      <w:tr>
        <w:trPr>
          <w:cantSplit/>
        </w:trPr>
        <w:tc>
          <w:tcPr>
            <w:tcW w:type="dxa" w:w="2498"/>
            <w:tcMar>
              <w:top w:w="80" w:type="dxa"/>
              <w:start w:w="90" w:type="dxa"/>
              <w:bottom w:w="80" w:type="dxa"/>
              <w:end w:w="90" w:type="dxa"/>
            </w:tcMar>
            <w:vAlign w:val="top"/>
          </w:tcPr>
          <w:p>
            <w:pPr>
              <w:spacing w:after="30"/>
            </w:pPr>
            <w:r>
              <w:rPr>
                <w:rFonts w:ascii="Aptos" w:hAnsi="Aptos"/>
                <w:color w:val="232D38"/>
                <w:sz w:val="13"/>
              </w:rPr>
              <w:t>3 — Provider harmony</w:t>
            </w:r>
          </w:p>
        </w:tc>
        <w:tc>
          <w:tcPr>
            <w:tcW w:type="dxa" w:w="2498"/>
            <w:tcMar>
              <w:top w:w="80" w:type="dxa"/>
              <w:start w:w="90" w:type="dxa"/>
              <w:bottom w:w="80" w:type="dxa"/>
              <w:end w:w="90" w:type="dxa"/>
            </w:tcMar>
            <w:vAlign w:val="top"/>
          </w:tcPr>
          <w:p>
            <w:pPr>
              <w:spacing w:after="30"/>
            </w:pPr>
            <w:r>
              <w:rPr>
                <w:rFonts w:ascii="Aptos" w:hAnsi="Aptos"/>
                <w:color w:val="232D38"/>
                <w:sz w:val="13"/>
              </w:rPr>
              <w:t>Verify GitHub/Vercel/Inngest/Neon/Turso and recovery.</w:t>
            </w:r>
          </w:p>
        </w:tc>
        <w:tc>
          <w:tcPr>
            <w:tcW w:type="dxa" w:w="2498"/>
            <w:tcMar>
              <w:top w:w="80" w:type="dxa"/>
              <w:start w:w="90" w:type="dxa"/>
              <w:bottom w:w="80" w:type="dxa"/>
              <w:end w:w="90" w:type="dxa"/>
            </w:tcMar>
            <w:vAlign w:val="top"/>
          </w:tcPr>
          <w:p>
            <w:pPr>
              <w:spacing w:after="30"/>
            </w:pPr>
            <w:r>
              <w:rPr>
                <w:rFonts w:ascii="Aptos" w:hAnsi="Aptos"/>
                <w:color w:val="232D38"/>
                <w:sz w:val="13"/>
              </w:rPr>
              <w:t>Provider probes, environment matrix, outbox replay, projection watermarks, telemetry and restore evidence.</w:t>
            </w:r>
          </w:p>
        </w:tc>
        <w:tc>
          <w:tcPr>
            <w:tcW w:type="dxa" w:w="2498"/>
            <w:tcMar>
              <w:top w:w="80" w:type="dxa"/>
              <w:start w:w="90" w:type="dxa"/>
              <w:bottom w:w="80" w:type="dxa"/>
              <w:end w:w="90" w:type="dxa"/>
            </w:tcMar>
            <w:vAlign w:val="top"/>
          </w:tcPr>
          <w:p>
            <w:pPr>
              <w:spacing w:after="30"/>
            </w:pPr>
            <w:r>
              <w:rPr>
                <w:rFonts w:ascii="Aptos" w:hAnsi="Aptos"/>
                <w:color w:val="232D38"/>
                <w:sz w:val="13"/>
              </w:rPr>
              <w:t>Declared end-to-end harmony suite passes or explicit blockers remain.</w:t>
            </w:r>
          </w:p>
        </w:tc>
      </w:tr>
      <w:tr>
        <w:trPr>
          <w:cantSplit/>
        </w:trPr>
        <w:tc>
          <w:tcPr>
            <w:tcW w:type="dxa" w:w="2498"/>
            <w:tcMar>
              <w:top w:w="80" w:type="dxa"/>
              <w:start w:w="90" w:type="dxa"/>
              <w:bottom w:w="80" w:type="dxa"/>
              <w:end w:w="90" w:type="dxa"/>
            </w:tcMar>
            <w:vAlign w:val="top"/>
            <w:shd w:fill="F7F9FB"/>
          </w:tcPr>
          <w:p>
            <w:pPr>
              <w:spacing w:after="30"/>
            </w:pPr>
            <w:r>
              <w:rPr>
                <w:rFonts w:ascii="Aptos" w:hAnsi="Aptos"/>
                <w:color w:val="232D38"/>
                <w:sz w:val="13"/>
              </w:rPr>
              <w:t>4 — Pilot A</w:t>
            </w:r>
          </w:p>
        </w:tc>
        <w:tc>
          <w:tcPr>
            <w:tcW w:type="dxa" w:w="2498"/>
            <w:tcMar>
              <w:top w:w="80" w:type="dxa"/>
              <w:start w:w="90" w:type="dxa"/>
              <w:bottom w:w="80" w:type="dxa"/>
              <w:end w:w="90" w:type="dxa"/>
            </w:tcMar>
            <w:vAlign w:val="top"/>
            <w:shd w:fill="F7F9FB"/>
          </w:tcPr>
          <w:p>
            <w:pPr>
              <w:spacing w:after="30"/>
            </w:pPr>
            <w:r>
              <w:rPr>
                <w:rFonts w:ascii="Aptos" w:hAnsi="Aptos"/>
                <w:color w:val="232D38"/>
                <w:sz w:val="13"/>
              </w:rPr>
              <w:t>Demonstrate control plane without MTQ or unauthorized real value.</w:t>
            </w:r>
          </w:p>
        </w:tc>
        <w:tc>
          <w:tcPr>
            <w:tcW w:type="dxa" w:w="2498"/>
            <w:tcMar>
              <w:top w:w="80" w:type="dxa"/>
              <w:start w:w="90" w:type="dxa"/>
              <w:bottom w:w="80" w:type="dxa"/>
              <w:end w:w="90" w:type="dxa"/>
            </w:tcMar>
            <w:vAlign w:val="top"/>
            <w:shd w:fill="F7F9FB"/>
          </w:tcPr>
          <w:p>
            <w:pPr>
              <w:spacing w:after="30"/>
            </w:pPr>
            <w:r>
              <w:rPr>
                <w:rFonts w:ascii="Aptos" w:hAnsi="Aptos"/>
                <w:color w:val="232D38"/>
                <w:sz w:val="13"/>
              </w:rPr>
              <w:t>Repeatable normal/failure/recovery/replay, measured result and evidence dossier.</w:t>
            </w:r>
          </w:p>
        </w:tc>
        <w:tc>
          <w:tcPr>
            <w:tcW w:type="dxa" w:w="2498"/>
            <w:tcMar>
              <w:top w:w="80" w:type="dxa"/>
              <w:start w:w="90" w:type="dxa"/>
              <w:bottom w:w="80" w:type="dxa"/>
              <w:end w:w="90" w:type="dxa"/>
            </w:tcMar>
            <w:vAlign w:val="top"/>
            <w:shd w:fill="F7F9FB"/>
          </w:tcPr>
          <w:p>
            <w:pPr>
              <w:spacing w:after="30"/>
            </w:pPr>
            <w:r>
              <w:rPr>
                <w:rFonts w:ascii="Aptos" w:hAnsi="Aptos"/>
                <w:color w:val="232D38"/>
                <w:sz w:val="13"/>
              </w:rPr>
              <w:t>Scenarios have expected/actual results; no critical invariant failures; limitations published.</w:t>
            </w:r>
          </w:p>
        </w:tc>
      </w:tr>
      <w:tr>
        <w:trPr>
          <w:cantSplit/>
        </w:trPr>
        <w:tc>
          <w:tcPr>
            <w:tcW w:type="dxa" w:w="2498"/>
            <w:tcMar>
              <w:top w:w="80" w:type="dxa"/>
              <w:start w:w="90" w:type="dxa"/>
              <w:bottom w:w="80" w:type="dxa"/>
              <w:end w:w="90" w:type="dxa"/>
            </w:tcMar>
            <w:vAlign w:val="top"/>
          </w:tcPr>
          <w:p>
            <w:pPr>
              <w:spacing w:after="30"/>
            </w:pPr>
            <w:r>
              <w:rPr>
                <w:rFonts w:ascii="Aptos" w:hAnsi="Aptos"/>
                <w:color w:val="232D38"/>
                <w:sz w:val="13"/>
              </w:rPr>
              <w:t>5 — Institutional readiness</w:t>
            </w:r>
          </w:p>
        </w:tc>
        <w:tc>
          <w:tcPr>
            <w:tcW w:type="dxa" w:w="2498"/>
            <w:tcMar>
              <w:top w:w="80" w:type="dxa"/>
              <w:start w:w="90" w:type="dxa"/>
              <w:bottom w:w="80" w:type="dxa"/>
              <w:end w:w="90" w:type="dxa"/>
            </w:tcMar>
            <w:vAlign w:val="top"/>
          </w:tcPr>
          <w:p>
            <w:pPr>
              <w:spacing w:after="30"/>
            </w:pPr>
            <w:r>
              <w:rPr>
                <w:rFonts w:ascii="Aptos" w:hAnsi="Aptos"/>
                <w:color w:val="232D38"/>
                <w:sz w:val="13"/>
              </w:rPr>
              <w:t>Prepare G0/G1/G3/G4 external evaluation.</w:t>
            </w:r>
          </w:p>
        </w:tc>
        <w:tc>
          <w:tcPr>
            <w:tcW w:type="dxa" w:w="2498"/>
            <w:tcMar>
              <w:top w:w="80" w:type="dxa"/>
              <w:start w:w="90" w:type="dxa"/>
              <w:bottom w:w="80" w:type="dxa"/>
              <w:end w:w="90" w:type="dxa"/>
            </w:tcMar>
            <w:vAlign w:val="top"/>
          </w:tcPr>
          <w:p>
            <w:pPr>
              <w:spacing w:after="30"/>
            </w:pPr>
            <w:r>
              <w:rPr>
                <w:rFonts w:ascii="Aptos" w:hAnsi="Aptos"/>
                <w:color w:val="232D38"/>
                <w:sz w:val="13"/>
              </w:rPr>
              <w:t>Entity/legal pack, counsel questions/opinions, design partner, bank pack, draft term sheet.</w:t>
            </w:r>
          </w:p>
        </w:tc>
        <w:tc>
          <w:tcPr>
            <w:tcW w:type="dxa" w:w="2498"/>
            <w:tcMar>
              <w:top w:w="80" w:type="dxa"/>
              <w:start w:w="90" w:type="dxa"/>
              <w:bottom w:w="80" w:type="dxa"/>
              <w:end w:w="90" w:type="dxa"/>
            </w:tcMar>
            <w:vAlign w:val="top"/>
          </w:tcPr>
          <w:p>
            <w:pPr>
              <w:spacing w:after="30"/>
            </w:pPr>
            <w:r>
              <w:rPr>
                <w:rFonts w:ascii="Aptos" w:hAnsi="Aptos"/>
                <w:color w:val="232D38"/>
                <w:sz w:val="13"/>
              </w:rPr>
              <w:t>External gates use primary/authorized evidence; not closed by software.</w:t>
            </w:r>
          </w:p>
        </w:tc>
      </w:tr>
      <w:tr>
        <w:trPr>
          <w:cantSplit/>
        </w:trPr>
        <w:tc>
          <w:tcPr>
            <w:tcW w:type="dxa" w:w="2498"/>
            <w:tcMar>
              <w:top w:w="80" w:type="dxa"/>
              <w:start w:w="90" w:type="dxa"/>
              <w:bottom w:w="80" w:type="dxa"/>
              <w:end w:w="90" w:type="dxa"/>
            </w:tcMar>
            <w:vAlign w:val="top"/>
            <w:shd w:fill="F7F9FB"/>
          </w:tcPr>
          <w:p>
            <w:pPr>
              <w:spacing w:after="30"/>
            </w:pPr>
            <w:r>
              <w:rPr>
                <w:rFonts w:ascii="Aptos" w:hAnsi="Aptos"/>
                <w:color w:val="232D38"/>
                <w:sz w:val="13"/>
              </w:rPr>
              <w:t>6 — Scoped controlled pilot</w:t>
            </w:r>
          </w:p>
        </w:tc>
        <w:tc>
          <w:tcPr>
            <w:tcW w:type="dxa" w:w="2498"/>
            <w:tcMar>
              <w:top w:w="80" w:type="dxa"/>
              <w:start w:w="90" w:type="dxa"/>
              <w:bottom w:w="80" w:type="dxa"/>
              <w:end w:w="90" w:type="dxa"/>
            </w:tcMar>
            <w:vAlign w:val="top"/>
            <w:shd w:fill="F7F9FB"/>
          </w:tcPr>
          <w:p>
            <w:pPr>
              <w:spacing w:after="30"/>
            </w:pPr>
            <w:r>
              <w:rPr>
                <w:rFonts w:ascii="Aptos" w:hAnsi="Aptos"/>
                <w:color w:val="232D38"/>
                <w:sz w:val="13"/>
              </w:rPr>
              <w:t>Only for authorized scope with bank data/rail access and safeguards.</w:t>
            </w:r>
          </w:p>
        </w:tc>
        <w:tc>
          <w:tcPr>
            <w:tcW w:type="dxa" w:w="2498"/>
            <w:tcMar>
              <w:top w:w="80" w:type="dxa"/>
              <w:start w:w="90" w:type="dxa"/>
              <w:bottom w:w="80" w:type="dxa"/>
              <w:end w:w="90" w:type="dxa"/>
            </w:tcMar>
            <w:vAlign w:val="top"/>
            <w:shd w:fill="F7F9FB"/>
          </w:tcPr>
          <w:p>
            <w:pPr>
              <w:spacing w:after="30"/>
            </w:pPr>
            <w:r>
              <w:rPr>
                <w:rFonts w:ascii="Aptos" w:hAnsi="Aptos"/>
                <w:color w:val="232D38"/>
                <w:sz w:val="13"/>
              </w:rPr>
              <w:t>Pilot runbook, bank certification, support, reconciliation, stop criteria and outcomes.</w:t>
            </w:r>
          </w:p>
        </w:tc>
        <w:tc>
          <w:tcPr>
            <w:tcW w:type="dxa" w:w="2498"/>
            <w:tcMar>
              <w:top w:w="80" w:type="dxa"/>
              <w:start w:w="90" w:type="dxa"/>
              <w:bottom w:w="80" w:type="dxa"/>
              <w:end w:w="90" w:type="dxa"/>
            </w:tcMar>
            <w:vAlign w:val="top"/>
            <w:shd w:fill="F7F9FB"/>
          </w:tcPr>
          <w:p>
            <w:pPr>
              <w:spacing w:after="30"/>
            </w:pPr>
            <w:r>
              <w:rPr>
                <w:rFonts w:ascii="Aptos" w:hAnsi="Aptos"/>
                <w:color w:val="232D38"/>
                <w:sz w:val="13"/>
              </w:rPr>
              <w:t>G7/G8/G9 reviewed; no unsupported ROI/production claim.</w:t>
            </w:r>
          </w:p>
        </w:tc>
      </w:tr>
      <w:tr>
        <w:trPr>
          <w:cantSplit/>
        </w:trPr>
        <w:tc>
          <w:tcPr>
            <w:tcW w:type="dxa" w:w="2498"/>
            <w:tcMar>
              <w:top w:w="80" w:type="dxa"/>
              <w:start w:w="90" w:type="dxa"/>
              <w:bottom w:w="80" w:type="dxa"/>
              <w:end w:w="90" w:type="dxa"/>
            </w:tcMar>
            <w:vAlign w:val="top"/>
          </w:tcPr>
          <w:p>
            <w:pPr>
              <w:spacing w:after="30"/>
            </w:pPr>
            <w:r>
              <w:rPr>
                <w:rFonts w:ascii="Aptos" w:hAnsi="Aptos"/>
                <w:color w:val="232D38"/>
                <w:sz w:val="13"/>
              </w:rPr>
              <w:t>7 — MTQ extension review</w:t>
            </w:r>
          </w:p>
        </w:tc>
        <w:tc>
          <w:tcPr>
            <w:tcW w:type="dxa" w:w="2498"/>
            <w:tcMar>
              <w:top w:w="80" w:type="dxa"/>
              <w:start w:w="90" w:type="dxa"/>
              <w:bottom w:w="80" w:type="dxa"/>
              <w:end w:w="90" w:type="dxa"/>
            </w:tcMar>
            <w:vAlign w:val="top"/>
          </w:tcPr>
          <w:p>
            <w:pPr>
              <w:spacing w:after="30"/>
            </w:pPr>
            <w:r>
              <w:rPr>
                <w:rFonts w:ascii="Aptos" w:hAnsi="Aptos"/>
                <w:color w:val="232D38"/>
                <w:sz w:val="13"/>
              </w:rPr>
              <w:t>Assess whether MTQ solves a validated problem and is feasible.</w:t>
            </w:r>
          </w:p>
        </w:tc>
        <w:tc>
          <w:tcPr>
            <w:tcW w:type="dxa" w:w="2498"/>
            <w:tcMar>
              <w:top w:w="80" w:type="dxa"/>
              <w:start w:w="90" w:type="dxa"/>
              <w:bottom w:w="80" w:type="dxa"/>
              <w:end w:w="90" w:type="dxa"/>
            </w:tcMar>
            <w:vAlign w:val="top"/>
          </w:tcPr>
          <w:p>
            <w:pPr>
              <w:spacing w:after="30"/>
            </w:pPr>
            <w:r>
              <w:rPr>
                <w:rFonts w:ascii="Aptos" w:hAnsi="Aptos"/>
                <w:color w:val="232D38"/>
                <w:sz w:val="13"/>
              </w:rPr>
              <w:t>Obligor/redemption/custody/backing, accounting/tax/prudential, legal and control evidence.</w:t>
            </w:r>
          </w:p>
        </w:tc>
        <w:tc>
          <w:tcPr>
            <w:tcW w:type="dxa" w:w="2498"/>
            <w:tcMar>
              <w:top w:w="80" w:type="dxa"/>
              <w:start w:w="90" w:type="dxa"/>
              <w:bottom w:w="80" w:type="dxa"/>
              <w:end w:w="90" w:type="dxa"/>
            </w:tcMar>
            <w:vAlign w:val="top"/>
          </w:tcPr>
          <w:p>
            <w:pPr>
              <w:spacing w:after="30"/>
            </w:pPr>
            <w:r>
              <w:rPr>
                <w:rFonts w:ascii="Aptos" w:hAnsi="Aptos"/>
                <w:color w:val="232D38"/>
                <w:sz w:val="13"/>
              </w:rPr>
              <w:t>Pilot B separately approved or stay MTQ-off.</w:t>
            </w:r>
          </w:p>
        </w:tc>
      </w:tr>
      <w:tr>
        <w:trPr>
          <w:cantSplit/>
        </w:trPr>
        <w:tc>
          <w:tcPr>
            <w:tcW w:type="dxa" w:w="2498"/>
            <w:tcMar>
              <w:top w:w="80" w:type="dxa"/>
              <w:start w:w="90" w:type="dxa"/>
              <w:bottom w:w="80" w:type="dxa"/>
              <w:end w:w="90" w:type="dxa"/>
            </w:tcMar>
            <w:vAlign w:val="top"/>
            <w:shd w:fill="F7F9FB"/>
          </w:tcPr>
          <w:p>
            <w:pPr>
              <w:spacing w:after="30"/>
            </w:pPr>
            <w:r>
              <w:rPr>
                <w:rFonts w:ascii="Aptos" w:hAnsi="Aptos"/>
                <w:color w:val="232D38"/>
                <w:sz w:val="13"/>
              </w:rPr>
              <w:t>8 — Repeatability/production review</w:t>
            </w:r>
          </w:p>
        </w:tc>
        <w:tc>
          <w:tcPr>
            <w:tcW w:type="dxa" w:w="2498"/>
            <w:tcMar>
              <w:top w:w="80" w:type="dxa"/>
              <w:start w:w="90" w:type="dxa"/>
              <w:bottom w:w="80" w:type="dxa"/>
              <w:end w:w="90" w:type="dxa"/>
            </w:tcMar>
            <w:vAlign w:val="top"/>
            <w:shd w:fill="F7F9FB"/>
          </w:tcPr>
          <w:p>
            <w:pPr>
              <w:spacing w:after="30"/>
            </w:pPr>
            <w:r>
              <w:rPr>
                <w:rFonts w:ascii="Aptos" w:hAnsi="Aptos"/>
                <w:color w:val="232D38"/>
                <w:sz w:val="13"/>
              </w:rPr>
              <w:t>Prove transferable deployment and control environment.</w:t>
            </w:r>
          </w:p>
        </w:tc>
        <w:tc>
          <w:tcPr>
            <w:tcW w:type="dxa" w:w="2498"/>
            <w:tcMar>
              <w:top w:w="80" w:type="dxa"/>
              <w:start w:w="90" w:type="dxa"/>
              <w:bottom w:w="80" w:type="dxa"/>
              <w:end w:w="90" w:type="dxa"/>
            </w:tcMar>
            <w:vAlign w:val="top"/>
            <w:shd w:fill="F7F9FB"/>
          </w:tcPr>
          <w:p>
            <w:pPr>
              <w:spacing w:after="30"/>
            </w:pPr>
            <w:r>
              <w:rPr>
                <w:rFonts w:ascii="Aptos" w:hAnsi="Aptos"/>
                <w:color w:val="232D38"/>
                <w:sz w:val="13"/>
              </w:rPr>
              <w:t>Second case, TCO/support, assurance, DR/wind-down, G10/G11 review.</w:t>
            </w:r>
          </w:p>
        </w:tc>
        <w:tc>
          <w:tcPr>
            <w:tcW w:type="dxa" w:w="2498"/>
            <w:tcMar>
              <w:top w:w="80" w:type="dxa"/>
              <w:start w:w="90" w:type="dxa"/>
              <w:bottom w:w="80" w:type="dxa"/>
              <w:end w:w="90" w:type="dxa"/>
            </w:tcMar>
            <w:vAlign w:val="top"/>
            <w:shd w:fill="F7F9FB"/>
          </w:tcPr>
          <w:p>
            <w:pPr>
              <w:spacing w:after="30"/>
            </w:pPr>
            <w:r>
              <w:rPr>
                <w:rFonts w:ascii="Aptos" w:hAnsi="Aptos"/>
                <w:color w:val="232D38"/>
                <w:sz w:val="13"/>
              </w:rPr>
              <w:t>Explicit narrow production approval; no automatic expansion of scope.</w:t>
            </w:r>
          </w:p>
        </w:tc>
      </w:tr>
    </w:tbl>
    <w:p>
      <w:pPr>
        <w:spacing w:after="0"/>
      </w:pPr>
    </w:p>
    <w:p>
      <w:r>
        <w:rPr>
          <w:i w:val="0"/>
        </w:rPr>
        <w:t>Calendar estimates are deliberately not gates. Legal, regulatory, bank procurement and custody timelines are external dependencies; they cannot be claimed as “completed by code.”</w:t>
      </w:r>
    </w:p>
    <w:p>
      <w:pPr>
        <w:pStyle w:val="Heading2"/>
      </w:pPr>
      <w:r>
        <w:t>11.2 Stop / continue / pivot</w:t>
      </w:r>
    </w:p>
    <w:tbl>
      <w:tblPr>
        <w:tblStyle w:val="TableGrid"/>
        <w:tblW w:type="auto" w:w="0"/>
        <w:jc w:val="center"/>
        <w:tblLook w:firstColumn="1" w:firstRow="1" w:lastColumn="0" w:lastRow="0" w:noHBand="0" w:noVBand="1" w:val="04A0"/>
      </w:tblPr>
      <w:tblGrid>
        <w:gridCol w:w="3331"/>
        <w:gridCol w:w="3331"/>
        <w:gridCol w:w="3331"/>
      </w:tblGrid>
      <w:tr>
        <w:trPr>
          <w:tblHeader w:val="true"/>
          <w:cantSplit/>
        </w:trPr>
        <w:tc>
          <w:tcPr>
            <w:tcW w:type="dxa" w:w="2088"/>
            <w:shd w:fill="07111F"/>
            <w:tcMar>
              <w:top w:w="80" w:type="dxa"/>
              <w:start w:w="90" w:type="dxa"/>
              <w:bottom w:w="80" w:type="dxa"/>
              <w:end w:w="90" w:type="dxa"/>
            </w:tcMar>
            <w:vAlign w:val="center"/>
          </w:tcPr>
          <w:p>
            <w:r>
              <w:rPr>
                <w:rFonts w:ascii="Aptos" w:hAnsi="Aptos"/>
                <w:b/>
                <w:color w:val="FFFFFF"/>
                <w:sz w:val="14"/>
              </w:rPr>
              <w:t>Decision</w:t>
            </w:r>
          </w:p>
        </w:tc>
        <w:tc>
          <w:tcPr>
            <w:tcW w:type="dxa" w:w="3960"/>
            <w:shd w:fill="07111F"/>
            <w:tcMar>
              <w:top w:w="80" w:type="dxa"/>
              <w:start w:w="90" w:type="dxa"/>
              <w:bottom w:w="80" w:type="dxa"/>
              <w:end w:w="90" w:type="dxa"/>
            </w:tcMar>
            <w:vAlign w:val="center"/>
          </w:tcPr>
          <w:p>
            <w:r>
              <w:rPr>
                <w:rFonts w:ascii="Aptos" w:hAnsi="Aptos"/>
                <w:b/>
                <w:color w:val="FFFFFF"/>
                <w:sz w:val="14"/>
              </w:rPr>
              <w:t>Trigger examples</w:t>
            </w:r>
          </w:p>
        </w:tc>
        <w:tc>
          <w:tcPr>
            <w:tcW w:type="dxa" w:w="4536"/>
            <w:shd w:fill="07111F"/>
            <w:tcMar>
              <w:top w:w="80" w:type="dxa"/>
              <w:start w:w="90" w:type="dxa"/>
              <w:bottom w:w="80" w:type="dxa"/>
              <w:end w:w="90" w:type="dxa"/>
            </w:tcMar>
            <w:vAlign w:val="center"/>
          </w:tcPr>
          <w:p>
            <w:r>
              <w:rPr>
                <w:rFonts w:ascii="Aptos" w:hAnsi="Aptos"/>
                <w:b/>
                <w:color w:val="FFFFFF"/>
                <w:sz w:val="14"/>
              </w:rPr>
              <w:t>Required action</w:t>
            </w:r>
          </w:p>
        </w:tc>
      </w:tr>
      <w:tr>
        <w:trPr>
          <w:cantSplit/>
        </w:trPr>
        <w:tc>
          <w:tcPr>
            <w:tcW w:type="dxa" w:w="3331"/>
            <w:tcMar>
              <w:top w:w="80" w:type="dxa"/>
              <w:start w:w="90" w:type="dxa"/>
              <w:bottom w:w="80" w:type="dxa"/>
              <w:end w:w="90" w:type="dxa"/>
            </w:tcMar>
            <w:vAlign w:val="top"/>
            <w:shd w:fill="F7F9FB"/>
          </w:tcPr>
          <w:p>
            <w:pPr>
              <w:spacing w:after="30"/>
            </w:pPr>
            <w:r>
              <w:rPr>
                <w:rFonts w:ascii="Aptos" w:hAnsi="Aptos"/>
                <w:color w:val="232D38"/>
                <w:sz w:val="14"/>
              </w:rPr>
              <w:t>STOP / safe halt</w:t>
            </w:r>
          </w:p>
        </w:tc>
        <w:tc>
          <w:tcPr>
            <w:tcW w:type="dxa" w:w="3331"/>
            <w:tcMar>
              <w:top w:w="80" w:type="dxa"/>
              <w:start w:w="90" w:type="dxa"/>
              <w:bottom w:w="80" w:type="dxa"/>
              <w:end w:w="90" w:type="dxa"/>
            </w:tcMar>
            <w:vAlign w:val="top"/>
            <w:shd w:fill="F7F9FB"/>
          </w:tcPr>
          <w:p>
            <w:pPr>
              <w:spacing w:after="30"/>
            </w:pPr>
            <w:r>
              <w:rPr>
                <w:rFonts w:ascii="Aptos" w:hAnsi="Aptos"/>
                <w:color w:val="232D38"/>
                <w:sz w:val="14"/>
              </w:rPr>
              <w:t>Legal prohibition, false finality, duplicate backing, unauthorized action, critical evidence loss, compromised key or material unexplained reconciliation gap.</w:t>
            </w:r>
          </w:p>
        </w:tc>
        <w:tc>
          <w:tcPr>
            <w:tcW w:type="dxa" w:w="3331"/>
            <w:tcMar>
              <w:top w:w="80" w:type="dxa"/>
              <w:start w:w="90" w:type="dxa"/>
              <w:bottom w:w="80" w:type="dxa"/>
              <w:end w:w="90" w:type="dxa"/>
            </w:tcMar>
            <w:vAlign w:val="top"/>
            <w:shd w:fill="F7F9FB"/>
          </w:tcPr>
          <w:p>
            <w:pPr>
              <w:spacing w:after="30"/>
            </w:pPr>
            <w:r>
              <w:rPr>
                <w:rFonts w:ascii="Aptos" w:hAnsi="Aptos"/>
                <w:color w:val="232D38"/>
                <w:sz w:val="14"/>
              </w:rPr>
              <w:t>Block affected flow; preserve evidence; notify designated parties per plan; recover only on explicit approval.</w:t>
            </w:r>
          </w:p>
        </w:tc>
      </w:tr>
      <w:tr>
        <w:trPr>
          <w:cantSplit/>
        </w:trPr>
        <w:tc>
          <w:tcPr>
            <w:tcW w:type="dxa" w:w="3331"/>
            <w:tcMar>
              <w:top w:w="80" w:type="dxa"/>
              <w:start w:w="90" w:type="dxa"/>
              <w:bottom w:w="80" w:type="dxa"/>
              <w:end w:w="90" w:type="dxa"/>
            </w:tcMar>
            <w:vAlign w:val="top"/>
          </w:tcPr>
          <w:p>
            <w:pPr>
              <w:spacing w:after="30"/>
            </w:pPr>
            <w:r>
              <w:rPr>
                <w:rFonts w:ascii="Aptos" w:hAnsi="Aptos"/>
                <w:color w:val="232D38"/>
                <w:sz w:val="14"/>
              </w:rPr>
              <w:t>CONTINUE in scope</w:t>
            </w:r>
          </w:p>
        </w:tc>
        <w:tc>
          <w:tcPr>
            <w:tcW w:type="dxa" w:w="3331"/>
            <w:tcMar>
              <w:top w:w="80" w:type="dxa"/>
              <w:start w:w="90" w:type="dxa"/>
              <w:bottom w:w="80" w:type="dxa"/>
              <w:end w:w="90" w:type="dxa"/>
            </w:tcMar>
            <w:vAlign w:val="top"/>
          </w:tcPr>
          <w:p>
            <w:pPr>
              <w:spacing w:after="30"/>
            </w:pPr>
            <w:r>
              <w:rPr>
                <w:rFonts w:ascii="Aptos" w:hAnsi="Aptos"/>
                <w:color w:val="232D38"/>
                <w:sz w:val="14"/>
              </w:rPr>
              <w:t>No critical failures; required evidence passed for declared non-production scope; remaining issues do not weaken invariants.</w:t>
            </w:r>
          </w:p>
        </w:tc>
        <w:tc>
          <w:tcPr>
            <w:tcW w:type="dxa" w:w="3331"/>
            <w:tcMar>
              <w:top w:w="80" w:type="dxa"/>
              <w:start w:w="90" w:type="dxa"/>
              <w:bottom w:w="80" w:type="dxa"/>
              <w:end w:w="90" w:type="dxa"/>
            </w:tcMar>
            <w:vAlign w:val="top"/>
          </w:tcPr>
          <w:p>
            <w:pPr>
              <w:spacing w:after="30"/>
            </w:pPr>
            <w:r>
              <w:rPr>
                <w:rFonts w:ascii="Aptos" w:hAnsi="Aptos"/>
                <w:color w:val="232D38"/>
                <w:sz w:val="14"/>
              </w:rPr>
              <w:t>Continue test/Pilot A; publish scope/limits and keep production false.</w:t>
            </w:r>
          </w:p>
        </w:tc>
      </w:tr>
      <w:tr>
        <w:trPr>
          <w:cantSplit/>
        </w:trPr>
        <w:tc>
          <w:tcPr>
            <w:tcW w:type="dxa" w:w="3331"/>
            <w:tcMar>
              <w:top w:w="80" w:type="dxa"/>
              <w:start w:w="90" w:type="dxa"/>
              <w:bottom w:w="80" w:type="dxa"/>
              <w:end w:w="90" w:type="dxa"/>
            </w:tcMar>
            <w:vAlign w:val="top"/>
            <w:shd w:fill="F7F9FB"/>
          </w:tcPr>
          <w:p>
            <w:pPr>
              <w:spacing w:after="30"/>
            </w:pPr>
            <w:r>
              <w:rPr>
                <w:rFonts w:ascii="Aptos" w:hAnsi="Aptos"/>
                <w:color w:val="232D38"/>
                <w:sz w:val="14"/>
              </w:rPr>
              <w:t>REMEDIATE</w:t>
            </w:r>
          </w:p>
        </w:tc>
        <w:tc>
          <w:tcPr>
            <w:tcW w:type="dxa" w:w="3331"/>
            <w:tcMar>
              <w:top w:w="80" w:type="dxa"/>
              <w:start w:w="90" w:type="dxa"/>
              <w:bottom w:w="80" w:type="dxa"/>
              <w:end w:w="90" w:type="dxa"/>
            </w:tcMar>
            <w:vAlign w:val="top"/>
            <w:shd w:fill="F7F9FB"/>
          </w:tcPr>
          <w:p>
            <w:pPr>
              <w:spacing w:after="30"/>
            </w:pPr>
            <w:r>
              <w:rPr>
                <w:rFonts w:ascii="Aptos" w:hAnsi="Aptos"/>
                <w:color w:val="232D38"/>
                <w:sz w:val="14"/>
              </w:rPr>
              <w:t>Correctness/harmony is unreproducible, P0/P1 issue, failed recovery or missing evidence.</w:t>
            </w:r>
          </w:p>
        </w:tc>
        <w:tc>
          <w:tcPr>
            <w:tcW w:type="dxa" w:w="3331"/>
            <w:tcMar>
              <w:top w:w="80" w:type="dxa"/>
              <w:start w:w="90" w:type="dxa"/>
              <w:bottom w:w="80" w:type="dxa"/>
              <w:end w:w="90" w:type="dxa"/>
            </w:tcMar>
            <w:vAlign w:val="top"/>
            <w:shd w:fill="F7F9FB"/>
          </w:tcPr>
          <w:p>
            <w:pPr>
              <w:spacing w:after="30"/>
            </w:pPr>
            <w:r>
              <w:rPr>
                <w:rFonts w:ascii="Aptos" w:hAnsi="Aptos"/>
                <w:color w:val="232D38"/>
                <w:sz w:val="14"/>
              </w:rPr>
              <w:t>Assign owner/acceptance test; no expansion before retest evidence.</w:t>
            </w:r>
          </w:p>
        </w:tc>
      </w:tr>
      <w:tr>
        <w:trPr>
          <w:cantSplit/>
        </w:trPr>
        <w:tc>
          <w:tcPr>
            <w:tcW w:type="dxa" w:w="3331"/>
            <w:tcMar>
              <w:top w:w="80" w:type="dxa"/>
              <w:start w:w="90" w:type="dxa"/>
              <w:bottom w:w="80" w:type="dxa"/>
              <w:end w:w="90" w:type="dxa"/>
            </w:tcMar>
            <w:vAlign w:val="top"/>
          </w:tcPr>
          <w:p>
            <w:pPr>
              <w:spacing w:after="30"/>
            </w:pPr>
            <w:r>
              <w:rPr>
                <w:rFonts w:ascii="Aptos" w:hAnsi="Aptos"/>
                <w:color w:val="232D38"/>
                <w:sz w:val="14"/>
              </w:rPr>
              <w:t>PIVOT product thesis</w:t>
            </w:r>
          </w:p>
        </w:tc>
        <w:tc>
          <w:tcPr>
            <w:tcW w:type="dxa" w:w="3331"/>
            <w:tcMar>
              <w:top w:w="80" w:type="dxa"/>
              <w:start w:w="90" w:type="dxa"/>
              <w:bottom w:w="80" w:type="dxa"/>
              <w:end w:w="90" w:type="dxa"/>
            </w:tcMar>
            <w:vAlign w:val="top"/>
          </w:tcPr>
          <w:p>
            <w:pPr>
              <w:spacing w:after="30"/>
            </w:pPr>
            <w:r>
              <w:rPr>
                <w:rFonts w:ascii="Aptos" w:hAnsi="Aptos"/>
                <w:color w:val="232D38"/>
                <w:sz w:val="14"/>
              </w:rPr>
              <w:t>Bank cannot validate problem, measured value is weak, burden exceeds benefit or no feasible legal route.</w:t>
            </w:r>
          </w:p>
        </w:tc>
        <w:tc>
          <w:tcPr>
            <w:tcW w:type="dxa" w:w="3331"/>
            <w:tcMar>
              <w:top w:w="80" w:type="dxa"/>
              <w:start w:w="90" w:type="dxa"/>
              <w:bottom w:w="80" w:type="dxa"/>
              <w:end w:w="90" w:type="dxa"/>
            </w:tcMar>
            <w:vAlign w:val="top"/>
          </w:tcPr>
          <w:p>
            <w:pPr>
              <w:spacing w:after="30"/>
            </w:pPr>
            <w:r>
              <w:rPr>
                <w:rFonts w:ascii="Aptos" w:hAnsi="Aptos"/>
                <w:color w:val="232D38"/>
                <w:sz w:val="14"/>
              </w:rPr>
              <w:t>Do not hide weak demand with features; reassess problem/corridor/packaging using evidence.</w:t>
            </w:r>
          </w:p>
        </w:tc>
      </w:tr>
      <w:tr>
        <w:trPr>
          <w:cantSplit/>
        </w:trPr>
        <w:tc>
          <w:tcPr>
            <w:tcW w:type="dxa" w:w="3331"/>
            <w:tcMar>
              <w:top w:w="80" w:type="dxa"/>
              <w:start w:w="90" w:type="dxa"/>
              <w:bottom w:w="80" w:type="dxa"/>
              <w:end w:w="90" w:type="dxa"/>
            </w:tcMar>
            <w:vAlign w:val="top"/>
            <w:shd w:fill="F7F9FB"/>
          </w:tcPr>
          <w:p>
            <w:pPr>
              <w:spacing w:after="30"/>
            </w:pPr>
            <w:r>
              <w:rPr>
                <w:rFonts w:ascii="Aptos" w:hAnsi="Aptos"/>
                <w:color w:val="232D38"/>
                <w:sz w:val="14"/>
              </w:rPr>
              <w:t>MTQ NO-GO / optional</w:t>
            </w:r>
          </w:p>
        </w:tc>
        <w:tc>
          <w:tcPr>
            <w:tcW w:type="dxa" w:w="3331"/>
            <w:tcMar>
              <w:top w:w="80" w:type="dxa"/>
              <w:start w:w="90" w:type="dxa"/>
              <w:bottom w:w="80" w:type="dxa"/>
              <w:end w:w="90" w:type="dxa"/>
            </w:tcMar>
            <w:vAlign w:val="top"/>
            <w:shd w:fill="F7F9FB"/>
          </w:tcPr>
          <w:p>
            <w:pPr>
              <w:spacing w:after="30"/>
            </w:pPr>
            <w:r>
              <w:rPr>
                <w:rFonts w:ascii="Aptos" w:hAnsi="Aptos"/>
                <w:color w:val="232D38"/>
                <w:sz w:val="14"/>
              </w:rPr>
              <w:t>Legal/obligor/redemption/custody/backing/accounting path is unclear, too costly or prohibited.</w:t>
            </w:r>
          </w:p>
        </w:tc>
        <w:tc>
          <w:tcPr>
            <w:tcW w:type="dxa" w:w="3331"/>
            <w:tcMar>
              <w:top w:w="80" w:type="dxa"/>
              <w:start w:w="90" w:type="dxa"/>
              <w:bottom w:w="80" w:type="dxa"/>
              <w:end w:w="90" w:type="dxa"/>
            </w:tcMar>
            <w:vAlign w:val="top"/>
            <w:shd w:fill="F7F9FB"/>
          </w:tcPr>
          <w:p>
            <w:pPr>
              <w:spacing w:after="30"/>
            </w:pPr>
            <w:r>
              <w:rPr>
                <w:rFonts w:ascii="Aptos" w:hAnsi="Aptos"/>
                <w:color w:val="232D38"/>
                <w:sz w:val="14"/>
              </w:rPr>
              <w:t>Keep control plane MTQ-off; no issuance or market-facing claim.</w:t>
            </w:r>
          </w:p>
        </w:tc>
      </w:tr>
    </w:tbl>
    <w:p>
      <w:pPr>
        <w:spacing w:after="0"/>
      </w:pPr>
    </w:p>
    <w:p>
      <w:pPr>
        <w:pStyle w:val="Heading2"/>
      </w:pPr>
      <w:r>
        <w:t>11.3 Reconciled decision log</w:t>
      </w:r>
    </w:p>
    <w:tbl>
      <w:tblPr>
        <w:tblStyle w:val="TableGrid"/>
        <w:tblW w:type="auto" w:w="0"/>
        <w:jc w:val="center"/>
        <w:tblLook w:firstColumn="1" w:firstRow="1" w:lastColumn="0" w:lastRow="0" w:noHBand="0" w:noVBand="1" w:val="04A0"/>
      </w:tblPr>
      <w:tblGrid>
        <w:gridCol w:w="3331"/>
        <w:gridCol w:w="3331"/>
        <w:gridCol w:w="3331"/>
      </w:tblGrid>
      <w:tr>
        <w:trPr>
          <w:tblHeader w:val="true"/>
          <w:cantSplit/>
        </w:trPr>
        <w:tc>
          <w:tcPr>
            <w:tcW w:type="dxa" w:w="1008"/>
            <w:shd w:fill="07111F"/>
            <w:tcMar>
              <w:top w:w="80" w:type="dxa"/>
              <w:start w:w="90" w:type="dxa"/>
              <w:bottom w:w="80" w:type="dxa"/>
              <w:end w:w="90" w:type="dxa"/>
            </w:tcMar>
            <w:vAlign w:val="center"/>
          </w:tcPr>
          <w:p>
            <w:r>
              <w:rPr>
                <w:rFonts w:ascii="Aptos" w:hAnsi="Aptos"/>
                <w:b/>
                <w:color w:val="FFFFFF"/>
                <w:sz w:val="14"/>
              </w:rPr>
              <w:t>ID</w:t>
            </w:r>
          </w:p>
        </w:tc>
        <w:tc>
          <w:tcPr>
            <w:tcW w:type="dxa" w:w="3960"/>
            <w:shd w:fill="07111F"/>
            <w:tcMar>
              <w:top w:w="80" w:type="dxa"/>
              <w:start w:w="90" w:type="dxa"/>
              <w:bottom w:w="80" w:type="dxa"/>
              <w:end w:w="90" w:type="dxa"/>
            </w:tcMar>
            <w:vAlign w:val="center"/>
          </w:tcPr>
          <w:p>
            <w:r>
              <w:rPr>
                <w:rFonts w:ascii="Aptos" w:hAnsi="Aptos"/>
                <w:b/>
                <w:color w:val="FFFFFF"/>
                <w:sz w:val="14"/>
              </w:rPr>
              <w:t>Canonical choice</w:t>
            </w:r>
          </w:p>
        </w:tc>
        <w:tc>
          <w:tcPr>
            <w:tcW w:type="dxa" w:w="5544"/>
            <w:shd w:fill="07111F"/>
            <w:tcMar>
              <w:top w:w="80" w:type="dxa"/>
              <w:start w:w="90" w:type="dxa"/>
              <w:bottom w:w="80" w:type="dxa"/>
              <w:end w:w="90" w:type="dxa"/>
            </w:tcMar>
            <w:vAlign w:val="center"/>
          </w:tcPr>
          <w:p>
            <w:r>
              <w:rPr>
                <w:rFonts w:ascii="Aptos" w:hAnsi="Aptos"/>
                <w:b/>
                <w:color w:val="FFFFFF"/>
                <w:sz w:val="14"/>
              </w:rPr>
              <w:t>Reason / note</w:t>
            </w:r>
          </w:p>
        </w:tc>
      </w:tr>
      <w:tr>
        <w:trPr>
          <w:cantSplit/>
        </w:trPr>
        <w:tc>
          <w:tcPr>
            <w:tcW w:type="dxa" w:w="3331"/>
            <w:tcMar>
              <w:top w:w="80" w:type="dxa"/>
              <w:start w:w="90" w:type="dxa"/>
              <w:bottom w:w="80" w:type="dxa"/>
              <w:end w:w="90" w:type="dxa"/>
            </w:tcMar>
            <w:vAlign w:val="top"/>
            <w:shd w:fill="F7F9FB"/>
          </w:tcPr>
          <w:p>
            <w:pPr>
              <w:spacing w:after="30"/>
            </w:pPr>
            <w:r>
              <w:rPr>
                <w:rFonts w:ascii="Aptos" w:hAnsi="Aptos"/>
                <w:color w:val="232D38"/>
                <w:sz w:val="14"/>
              </w:rPr>
              <w:t>D-001</w:t>
            </w:r>
          </w:p>
        </w:tc>
        <w:tc>
          <w:tcPr>
            <w:tcW w:type="dxa" w:w="3331"/>
            <w:tcMar>
              <w:top w:w="80" w:type="dxa"/>
              <w:start w:w="90" w:type="dxa"/>
              <w:bottom w:w="80" w:type="dxa"/>
              <w:end w:w="90" w:type="dxa"/>
            </w:tcMar>
            <w:vAlign w:val="top"/>
            <w:shd w:fill="F7F9FB"/>
          </w:tcPr>
          <w:p>
            <w:pPr>
              <w:spacing w:after="30"/>
            </w:pPr>
            <w:r>
              <w:rPr>
                <w:rFonts w:ascii="Aptos" w:hAnsi="Aptos"/>
                <w:color w:val="232D38"/>
                <w:sz w:val="14"/>
              </w:rPr>
              <w:t>Control plane is core; MTQ optional.</w:t>
            </w:r>
          </w:p>
        </w:tc>
        <w:tc>
          <w:tcPr>
            <w:tcW w:type="dxa" w:w="3331"/>
            <w:tcMar>
              <w:top w:w="80" w:type="dxa"/>
              <w:start w:w="90" w:type="dxa"/>
              <w:bottom w:w="80" w:type="dxa"/>
              <w:end w:w="90" w:type="dxa"/>
            </w:tcMar>
            <w:vAlign w:val="top"/>
            <w:shd w:fill="F7F9FB"/>
          </w:tcPr>
          <w:p>
            <w:pPr>
              <w:spacing w:after="30"/>
            </w:pPr>
            <w:r>
              <w:rPr>
                <w:rFonts w:ascii="Aptos" w:hAnsi="Aptos"/>
                <w:color w:val="232D38"/>
                <w:sz w:val="14"/>
              </w:rPr>
              <w:t>Do not make token adoption a prerequisite.</w:t>
            </w:r>
          </w:p>
        </w:tc>
      </w:tr>
      <w:tr>
        <w:trPr>
          <w:cantSplit/>
        </w:trPr>
        <w:tc>
          <w:tcPr>
            <w:tcW w:type="dxa" w:w="3331"/>
            <w:tcMar>
              <w:top w:w="80" w:type="dxa"/>
              <w:start w:w="90" w:type="dxa"/>
              <w:bottom w:w="80" w:type="dxa"/>
              <w:end w:w="90" w:type="dxa"/>
            </w:tcMar>
            <w:vAlign w:val="top"/>
          </w:tcPr>
          <w:p>
            <w:pPr>
              <w:spacing w:after="30"/>
            </w:pPr>
            <w:r>
              <w:rPr>
                <w:rFonts w:ascii="Aptos" w:hAnsi="Aptos"/>
                <w:color w:val="232D38"/>
                <w:sz w:val="14"/>
              </w:rPr>
              <w:t>D-002</w:t>
            </w:r>
          </w:p>
        </w:tc>
        <w:tc>
          <w:tcPr>
            <w:tcW w:type="dxa" w:w="3331"/>
            <w:tcMar>
              <w:top w:w="80" w:type="dxa"/>
              <w:start w:w="90" w:type="dxa"/>
              <w:bottom w:w="80" w:type="dxa"/>
              <w:end w:w="90" w:type="dxa"/>
            </w:tcMar>
            <w:vAlign w:val="top"/>
          </w:tcPr>
          <w:p>
            <w:pPr>
              <w:spacing w:after="30"/>
            </w:pPr>
            <w:r>
              <w:rPr>
                <w:rFonts w:ascii="Aptos" w:hAnsi="Aptos"/>
                <w:color w:val="232D38"/>
                <w:sz w:val="14"/>
              </w:rPr>
              <w:t>PAR is accounting reference unless external terms expressly say otherwise.</w:t>
            </w:r>
          </w:p>
        </w:tc>
        <w:tc>
          <w:tcPr>
            <w:tcW w:type="dxa" w:w="3331"/>
            <w:tcMar>
              <w:top w:w="80" w:type="dxa"/>
              <w:start w:w="90" w:type="dxa"/>
              <w:bottom w:w="80" w:type="dxa"/>
              <w:end w:w="90" w:type="dxa"/>
            </w:tcMar>
            <w:vAlign w:val="top"/>
          </w:tcPr>
          <w:p>
            <w:pPr>
              <w:spacing w:after="30"/>
            </w:pPr>
            <w:r>
              <w:rPr>
                <w:rFonts w:ascii="Aptos" w:hAnsi="Aptos"/>
                <w:color w:val="232D38"/>
                <w:sz w:val="14"/>
              </w:rPr>
              <w:t>Remove legacy USD-peg/redemption ambiguity.</w:t>
            </w:r>
          </w:p>
        </w:tc>
      </w:tr>
      <w:tr>
        <w:trPr>
          <w:cantSplit/>
        </w:trPr>
        <w:tc>
          <w:tcPr>
            <w:tcW w:type="dxa" w:w="3331"/>
            <w:tcMar>
              <w:top w:w="80" w:type="dxa"/>
              <w:start w:w="90" w:type="dxa"/>
              <w:bottom w:w="80" w:type="dxa"/>
              <w:end w:w="90" w:type="dxa"/>
            </w:tcMar>
            <w:vAlign w:val="top"/>
            <w:shd w:fill="F7F9FB"/>
          </w:tcPr>
          <w:p>
            <w:pPr>
              <w:spacing w:after="30"/>
            </w:pPr>
            <w:r>
              <w:rPr>
                <w:rFonts w:ascii="Aptos" w:hAnsi="Aptos"/>
                <w:color w:val="232D38"/>
                <w:sz w:val="14"/>
              </w:rPr>
              <w:t>D-003</w:t>
            </w:r>
          </w:p>
        </w:tc>
        <w:tc>
          <w:tcPr>
            <w:tcW w:type="dxa" w:w="3331"/>
            <w:tcMar>
              <w:top w:w="80" w:type="dxa"/>
              <w:start w:w="90" w:type="dxa"/>
              <w:bottom w:w="80" w:type="dxa"/>
              <w:end w:w="90" w:type="dxa"/>
            </w:tcMar>
            <w:vAlign w:val="top"/>
            <w:shd w:fill="F7F9FB"/>
          </w:tcPr>
          <w:p>
            <w:pPr>
              <w:spacing w:after="30"/>
            </w:pPr>
            <w:r>
              <w:rPr>
                <w:rFonts w:ascii="Aptos" w:hAnsi="Aptos"/>
                <w:color w:val="232D38"/>
                <w:sz w:val="14"/>
              </w:rPr>
              <w:t>BM-15 Authorization; BM-16A Finality Verification; BM-16B Mint Execution.</w:t>
            </w:r>
          </w:p>
        </w:tc>
        <w:tc>
          <w:tcPr>
            <w:tcW w:type="dxa" w:w="3331"/>
            <w:tcMar>
              <w:top w:w="80" w:type="dxa"/>
              <w:start w:w="90" w:type="dxa"/>
              <w:bottom w:w="80" w:type="dxa"/>
              <w:end w:w="90" w:type="dxa"/>
            </w:tcMar>
            <w:vAlign w:val="top"/>
            <w:shd w:fill="F7F9FB"/>
          </w:tcPr>
          <w:p>
            <w:pPr>
              <w:spacing w:after="30"/>
            </w:pPr>
            <w:r>
              <w:rPr>
                <w:rFonts w:ascii="Aptos" w:hAnsi="Aptos"/>
                <w:color w:val="232D38"/>
                <w:sz w:val="14"/>
              </w:rPr>
              <w:t>Resolve identifier collision.</w:t>
            </w:r>
          </w:p>
        </w:tc>
      </w:tr>
      <w:tr>
        <w:trPr>
          <w:cantSplit/>
        </w:trPr>
        <w:tc>
          <w:tcPr>
            <w:tcW w:type="dxa" w:w="3331"/>
            <w:tcMar>
              <w:top w:w="80" w:type="dxa"/>
              <w:start w:w="90" w:type="dxa"/>
              <w:bottom w:w="80" w:type="dxa"/>
              <w:end w:w="90" w:type="dxa"/>
            </w:tcMar>
            <w:vAlign w:val="top"/>
          </w:tcPr>
          <w:p>
            <w:pPr>
              <w:spacing w:after="30"/>
            </w:pPr>
            <w:r>
              <w:rPr>
                <w:rFonts w:ascii="Aptos" w:hAnsi="Aptos"/>
                <w:color w:val="232D38"/>
                <w:sz w:val="14"/>
              </w:rPr>
              <w:t>D-004</w:t>
            </w:r>
          </w:p>
        </w:tc>
        <w:tc>
          <w:tcPr>
            <w:tcW w:type="dxa" w:w="3331"/>
            <w:tcMar>
              <w:top w:w="80" w:type="dxa"/>
              <w:start w:w="90" w:type="dxa"/>
              <w:bottom w:w="80" w:type="dxa"/>
              <w:end w:w="90" w:type="dxa"/>
            </w:tcMar>
            <w:vAlign w:val="top"/>
          </w:tcPr>
          <w:p>
            <w:pPr>
              <w:spacing w:after="30"/>
            </w:pPr>
            <w:r>
              <w:rPr>
                <w:rFonts w:ascii="Aptos" w:hAnsi="Aptos"/>
                <w:color w:val="232D38"/>
                <w:sz w:val="14"/>
              </w:rPr>
              <w:t>Direct-matched eligible backing and risk buffer are separate.</w:t>
            </w:r>
          </w:p>
        </w:tc>
        <w:tc>
          <w:tcPr>
            <w:tcW w:type="dxa" w:w="3331"/>
            <w:tcMar>
              <w:top w:w="80" w:type="dxa"/>
              <w:start w:w="90" w:type="dxa"/>
              <w:bottom w:w="80" w:type="dxa"/>
              <w:end w:w="90" w:type="dxa"/>
            </w:tcMar>
            <w:vAlign w:val="top"/>
          </w:tcPr>
          <w:p>
            <w:pPr>
              <w:spacing w:after="30"/>
            </w:pPr>
            <w:r>
              <w:rPr>
                <w:rFonts w:ascii="Aptos" w:hAnsi="Aptos"/>
                <w:color w:val="232D38"/>
                <w:sz w:val="14"/>
              </w:rPr>
              <w:t>130% is not a universal legal/capital rule.</w:t>
            </w:r>
          </w:p>
        </w:tc>
      </w:tr>
      <w:tr>
        <w:trPr>
          <w:cantSplit/>
        </w:trPr>
        <w:tc>
          <w:tcPr>
            <w:tcW w:type="dxa" w:w="3331"/>
            <w:tcMar>
              <w:top w:w="80" w:type="dxa"/>
              <w:start w:w="90" w:type="dxa"/>
              <w:bottom w:w="80" w:type="dxa"/>
              <w:end w:w="90" w:type="dxa"/>
            </w:tcMar>
            <w:vAlign w:val="top"/>
            <w:shd w:fill="F7F9FB"/>
          </w:tcPr>
          <w:p>
            <w:pPr>
              <w:spacing w:after="30"/>
            </w:pPr>
            <w:r>
              <w:rPr>
                <w:rFonts w:ascii="Aptos" w:hAnsi="Aptos"/>
                <w:color w:val="232D38"/>
                <w:sz w:val="14"/>
              </w:rPr>
              <w:t>D-005</w:t>
            </w:r>
          </w:p>
        </w:tc>
        <w:tc>
          <w:tcPr>
            <w:tcW w:type="dxa" w:w="3331"/>
            <w:tcMar>
              <w:top w:w="80" w:type="dxa"/>
              <w:start w:w="90" w:type="dxa"/>
              <w:bottom w:w="80" w:type="dxa"/>
              <w:end w:w="90" w:type="dxa"/>
            </w:tcMar>
            <w:vAlign w:val="top"/>
            <w:shd w:fill="F7F9FB"/>
          </w:tcPr>
          <w:p>
            <w:pPr>
              <w:spacing w:after="30"/>
            </w:pPr>
            <w:r>
              <w:rPr>
                <w:rFonts w:ascii="Aptos" w:hAnsi="Aptos"/>
                <w:color w:val="232D38"/>
                <w:sz w:val="14"/>
              </w:rPr>
              <w:t>No gold/digital backing in Pilot 1 by default.</w:t>
            </w:r>
          </w:p>
        </w:tc>
        <w:tc>
          <w:tcPr>
            <w:tcW w:type="dxa" w:w="3331"/>
            <w:tcMar>
              <w:top w:w="80" w:type="dxa"/>
              <w:start w:w="90" w:type="dxa"/>
              <w:bottom w:w="80" w:type="dxa"/>
              <w:end w:w="90" w:type="dxa"/>
            </w:tcMar>
            <w:vAlign w:val="top"/>
            <w:shd w:fill="F7F9FB"/>
          </w:tcPr>
          <w:p>
            <w:pPr>
              <w:spacing w:after="30"/>
            </w:pPr>
            <w:r>
              <w:rPr>
                <w:rFonts w:ascii="Aptos" w:hAnsi="Aptos"/>
                <w:color w:val="232D38"/>
                <w:sz w:val="14"/>
              </w:rPr>
              <w:t>Reduces legal/custody/valuation/liquidity variables.</w:t>
            </w:r>
          </w:p>
        </w:tc>
      </w:tr>
      <w:tr>
        <w:trPr>
          <w:cantSplit/>
        </w:trPr>
        <w:tc>
          <w:tcPr>
            <w:tcW w:type="dxa" w:w="3331"/>
            <w:tcMar>
              <w:top w:w="80" w:type="dxa"/>
              <w:start w:w="90" w:type="dxa"/>
              <w:bottom w:w="80" w:type="dxa"/>
              <w:end w:w="90" w:type="dxa"/>
            </w:tcMar>
            <w:vAlign w:val="top"/>
          </w:tcPr>
          <w:p>
            <w:pPr>
              <w:spacing w:after="30"/>
            </w:pPr>
            <w:r>
              <w:rPr>
                <w:rFonts w:ascii="Aptos" w:hAnsi="Aptos"/>
                <w:color w:val="232D38"/>
                <w:sz w:val="14"/>
              </w:rPr>
              <w:t>D-006</w:t>
            </w:r>
          </w:p>
        </w:tc>
        <w:tc>
          <w:tcPr>
            <w:tcW w:type="dxa" w:w="3331"/>
            <w:tcMar>
              <w:top w:w="80" w:type="dxa"/>
              <w:start w:w="90" w:type="dxa"/>
              <w:bottom w:w="80" w:type="dxa"/>
              <w:end w:w="90" w:type="dxa"/>
            </w:tcMar>
            <w:vAlign w:val="top"/>
          </w:tcPr>
          <w:p>
            <w:pPr>
              <w:spacing w:after="30"/>
            </w:pPr>
            <w:r>
              <w:rPr>
                <w:rFonts w:ascii="Aptos" w:hAnsi="Aptos"/>
                <w:color w:val="232D38"/>
                <w:sz w:val="14"/>
              </w:rPr>
              <w:t>Neon proposed as authoritative financial writer; Turso projection/read model.</w:t>
            </w:r>
          </w:p>
        </w:tc>
        <w:tc>
          <w:tcPr>
            <w:tcW w:type="dxa" w:w="3331"/>
            <w:tcMar>
              <w:top w:w="80" w:type="dxa"/>
              <w:start w:w="90" w:type="dxa"/>
              <w:bottom w:w="80" w:type="dxa"/>
              <w:end w:w="90" w:type="dxa"/>
            </w:tcMar>
            <w:vAlign w:val="top"/>
          </w:tcPr>
          <w:p>
            <w:pPr>
              <w:spacing w:after="30"/>
            </w:pPr>
            <w:r>
              <w:rPr>
                <w:rFonts w:ascii="Aptos" w:hAnsi="Aptos"/>
                <w:color w:val="232D38"/>
                <w:sz w:val="14"/>
              </w:rPr>
              <w:t>Avoid split-brain. Inspect actual runtime before migration.</w:t>
            </w:r>
          </w:p>
        </w:tc>
      </w:tr>
      <w:tr>
        <w:trPr>
          <w:cantSplit/>
        </w:trPr>
        <w:tc>
          <w:tcPr>
            <w:tcW w:type="dxa" w:w="3331"/>
            <w:tcMar>
              <w:top w:w="80" w:type="dxa"/>
              <w:start w:w="90" w:type="dxa"/>
              <w:bottom w:w="80" w:type="dxa"/>
              <w:end w:w="90" w:type="dxa"/>
            </w:tcMar>
            <w:vAlign w:val="top"/>
            <w:shd w:fill="F7F9FB"/>
          </w:tcPr>
          <w:p>
            <w:pPr>
              <w:spacing w:after="30"/>
            </w:pPr>
            <w:r>
              <w:rPr>
                <w:rFonts w:ascii="Aptos" w:hAnsi="Aptos"/>
                <w:color w:val="232D38"/>
                <w:sz w:val="14"/>
              </w:rPr>
              <w:t>D-007</w:t>
            </w:r>
          </w:p>
        </w:tc>
        <w:tc>
          <w:tcPr>
            <w:tcW w:type="dxa" w:w="3331"/>
            <w:tcMar>
              <w:top w:w="80" w:type="dxa"/>
              <w:start w:w="90" w:type="dxa"/>
              <w:bottom w:w="80" w:type="dxa"/>
              <w:end w:w="90" w:type="dxa"/>
            </w:tcMar>
            <w:vAlign w:val="top"/>
            <w:shd w:fill="F7F9FB"/>
          </w:tcPr>
          <w:p>
            <w:pPr>
              <w:spacing w:after="30"/>
            </w:pPr>
            <w:r>
              <w:rPr>
                <w:rFonts w:ascii="Aptos" w:hAnsi="Aptos"/>
                <w:color w:val="232D38"/>
                <w:sz w:val="14"/>
              </w:rPr>
              <w:t>At-least-once delivery with idempotent side effects; no end-to-end exactly-once claim.</w:t>
            </w:r>
          </w:p>
        </w:tc>
        <w:tc>
          <w:tcPr>
            <w:tcW w:type="dxa" w:w="3331"/>
            <w:tcMar>
              <w:top w:w="80" w:type="dxa"/>
              <w:start w:w="90" w:type="dxa"/>
              <w:bottom w:w="80" w:type="dxa"/>
              <w:end w:w="90" w:type="dxa"/>
            </w:tcMar>
            <w:vAlign w:val="top"/>
            <w:shd w:fill="F7F9FB"/>
          </w:tcPr>
          <w:p>
            <w:pPr>
              <w:spacing w:after="30"/>
            </w:pPr>
            <w:r>
              <w:rPr>
                <w:rFonts w:ascii="Aptos" w:hAnsi="Aptos"/>
                <w:color w:val="232D38"/>
                <w:sz w:val="14"/>
              </w:rPr>
              <w:t>Realistic distributed workflow model.</w:t>
            </w:r>
          </w:p>
        </w:tc>
      </w:tr>
      <w:tr>
        <w:trPr>
          <w:cantSplit/>
        </w:trPr>
        <w:tc>
          <w:tcPr>
            <w:tcW w:type="dxa" w:w="3331"/>
            <w:tcMar>
              <w:top w:w="80" w:type="dxa"/>
              <w:start w:w="90" w:type="dxa"/>
              <w:bottom w:w="80" w:type="dxa"/>
              <w:end w:w="90" w:type="dxa"/>
            </w:tcMar>
            <w:vAlign w:val="top"/>
          </w:tcPr>
          <w:p>
            <w:pPr>
              <w:spacing w:after="30"/>
            </w:pPr>
            <w:r>
              <w:rPr>
                <w:rFonts w:ascii="Aptos" w:hAnsi="Aptos"/>
                <w:color w:val="232D38"/>
                <w:sz w:val="14"/>
              </w:rPr>
              <w:t>D-008</w:t>
            </w:r>
          </w:p>
        </w:tc>
        <w:tc>
          <w:tcPr>
            <w:tcW w:type="dxa" w:w="3331"/>
            <w:tcMar>
              <w:top w:w="80" w:type="dxa"/>
              <w:start w:w="90" w:type="dxa"/>
              <w:bottom w:w="80" w:type="dxa"/>
              <w:end w:w="90" w:type="dxa"/>
            </w:tcMar>
            <w:vAlign w:val="top"/>
          </w:tcPr>
          <w:p>
            <w:pPr>
              <w:spacing w:after="30"/>
            </w:pPr>
            <w:r>
              <w:rPr>
                <w:rFonts w:ascii="Aptos" w:hAnsi="Aptos"/>
                <w:color w:val="232D38"/>
                <w:sz w:val="14"/>
              </w:rPr>
              <w:t>Atomicity claim limited to validated common finality domain/enforceable coordination.</w:t>
            </w:r>
          </w:p>
        </w:tc>
        <w:tc>
          <w:tcPr>
            <w:tcW w:type="dxa" w:w="3331"/>
            <w:tcMar>
              <w:top w:w="80" w:type="dxa"/>
              <w:start w:w="90" w:type="dxa"/>
              <w:bottom w:w="80" w:type="dxa"/>
              <w:end w:w="90" w:type="dxa"/>
            </w:tcMar>
            <w:vAlign w:val="top"/>
          </w:tcPr>
          <w:p>
            <w:pPr>
              <w:spacing w:after="30"/>
            </w:pPr>
            <w:r>
              <w:rPr>
                <w:rFonts w:ascii="Aptos" w:hAnsi="Aptos"/>
                <w:color w:val="232D38"/>
                <w:sz w:val="14"/>
              </w:rPr>
              <w:t>Separate orchestration from legal settlement.</w:t>
            </w:r>
          </w:p>
        </w:tc>
      </w:tr>
      <w:tr>
        <w:trPr>
          <w:cantSplit/>
        </w:trPr>
        <w:tc>
          <w:tcPr>
            <w:tcW w:type="dxa" w:w="3331"/>
            <w:tcMar>
              <w:top w:w="80" w:type="dxa"/>
              <w:start w:w="90" w:type="dxa"/>
              <w:bottom w:w="80" w:type="dxa"/>
              <w:end w:w="90" w:type="dxa"/>
            </w:tcMar>
            <w:vAlign w:val="top"/>
            <w:shd w:fill="F7F9FB"/>
          </w:tcPr>
          <w:p>
            <w:pPr>
              <w:spacing w:after="30"/>
            </w:pPr>
            <w:r>
              <w:rPr>
                <w:rFonts w:ascii="Aptos" w:hAnsi="Aptos"/>
                <w:color w:val="232D38"/>
                <w:sz w:val="14"/>
              </w:rPr>
              <w:t>D-009</w:t>
            </w:r>
          </w:p>
        </w:tc>
        <w:tc>
          <w:tcPr>
            <w:tcW w:type="dxa" w:w="3331"/>
            <w:tcMar>
              <w:top w:w="80" w:type="dxa"/>
              <w:start w:w="90" w:type="dxa"/>
              <w:bottom w:w="80" w:type="dxa"/>
              <w:end w:w="90" w:type="dxa"/>
            </w:tcMar>
            <w:vAlign w:val="top"/>
            <w:shd w:fill="F7F9FB"/>
          </w:tcPr>
          <w:p>
            <w:pPr>
              <w:spacing w:after="30"/>
            </w:pPr>
            <w:r>
              <w:rPr>
                <w:rFonts w:ascii="Aptos" w:hAnsi="Aptos"/>
                <w:color w:val="232D38"/>
                <w:sz w:val="14"/>
              </w:rPr>
              <w:t>One bank-facing counterparty is target; entity facts must be verified.</w:t>
            </w:r>
          </w:p>
        </w:tc>
        <w:tc>
          <w:tcPr>
            <w:tcW w:type="dxa" w:w="3331"/>
            <w:tcMar>
              <w:top w:w="80" w:type="dxa"/>
              <w:start w:w="90" w:type="dxa"/>
              <w:bottom w:w="80" w:type="dxa"/>
              <w:end w:w="90" w:type="dxa"/>
            </w:tcMar>
            <w:vAlign w:val="top"/>
            <w:shd w:fill="F7F9FB"/>
          </w:tcPr>
          <w:p>
            <w:pPr>
              <w:spacing w:after="30"/>
            </w:pPr>
            <w:r>
              <w:rPr>
                <w:rFonts w:ascii="Aptos" w:hAnsi="Aptos"/>
                <w:color w:val="232D38"/>
                <w:sz w:val="14"/>
              </w:rPr>
              <w:t>External simplicity without invented corporate reality.</w:t>
            </w:r>
          </w:p>
        </w:tc>
      </w:tr>
      <w:tr>
        <w:trPr>
          <w:cantSplit/>
        </w:trPr>
        <w:tc>
          <w:tcPr>
            <w:tcW w:type="dxa" w:w="3331"/>
            <w:tcMar>
              <w:top w:w="80" w:type="dxa"/>
              <w:start w:w="90" w:type="dxa"/>
              <w:bottom w:w="80" w:type="dxa"/>
              <w:end w:w="90" w:type="dxa"/>
            </w:tcMar>
            <w:vAlign w:val="top"/>
          </w:tcPr>
          <w:p>
            <w:pPr>
              <w:spacing w:after="30"/>
            </w:pPr>
            <w:r>
              <w:rPr>
                <w:rFonts w:ascii="Aptos" w:hAnsi="Aptos"/>
                <w:color w:val="232D38"/>
                <w:sz w:val="14"/>
              </w:rPr>
              <w:t>D-010</w:t>
            </w:r>
          </w:p>
        </w:tc>
        <w:tc>
          <w:tcPr>
            <w:tcW w:type="dxa" w:w="3331"/>
            <w:tcMar>
              <w:top w:w="80" w:type="dxa"/>
              <w:start w:w="90" w:type="dxa"/>
              <w:bottom w:w="80" w:type="dxa"/>
              <w:end w:w="90" w:type="dxa"/>
            </w:tcMar>
            <w:vAlign w:val="top"/>
          </w:tcPr>
          <w:p>
            <w:pPr>
              <w:spacing w:after="30"/>
            </w:pPr>
            <w:r>
              <w:rPr>
                <w:rFonts w:ascii="Aptos" w:hAnsi="Aptos"/>
                <w:color w:val="232D38"/>
                <w:sz w:val="14"/>
              </w:rPr>
              <w:t>G0–G11 is critical path; 20 legacy gates are detailed controls.</w:t>
            </w:r>
          </w:p>
        </w:tc>
        <w:tc>
          <w:tcPr>
            <w:tcW w:type="dxa" w:w="3331"/>
            <w:tcMar>
              <w:top w:w="80" w:type="dxa"/>
              <w:start w:w="90" w:type="dxa"/>
              <w:bottom w:w="80" w:type="dxa"/>
              <w:end w:w="90" w:type="dxa"/>
            </w:tcMar>
            <w:vAlign w:val="top"/>
          </w:tcPr>
          <w:p>
            <w:pPr>
              <w:spacing w:after="30"/>
            </w:pPr>
            <w:r>
              <w:rPr>
                <w:rFonts w:ascii="Aptos" w:hAnsi="Aptos"/>
                <w:color w:val="232D38"/>
                <w:sz w:val="14"/>
              </w:rPr>
              <w:t>Resolve competing counters.</w:t>
            </w:r>
          </w:p>
        </w:tc>
      </w:tr>
      <w:tr>
        <w:trPr>
          <w:cantSplit/>
        </w:trPr>
        <w:tc>
          <w:tcPr>
            <w:tcW w:type="dxa" w:w="3331"/>
            <w:tcMar>
              <w:top w:w="80" w:type="dxa"/>
              <w:start w:w="90" w:type="dxa"/>
              <w:bottom w:w="80" w:type="dxa"/>
              <w:end w:w="90" w:type="dxa"/>
            </w:tcMar>
            <w:vAlign w:val="top"/>
            <w:shd w:fill="F7F9FB"/>
          </w:tcPr>
          <w:p>
            <w:pPr>
              <w:spacing w:after="30"/>
            </w:pPr>
            <w:r>
              <w:rPr>
                <w:rFonts w:ascii="Aptos" w:hAnsi="Aptos"/>
                <w:color w:val="232D38"/>
                <w:sz w:val="14"/>
              </w:rPr>
              <w:t>D-011</w:t>
            </w:r>
          </w:p>
        </w:tc>
        <w:tc>
          <w:tcPr>
            <w:tcW w:type="dxa" w:w="3331"/>
            <w:tcMar>
              <w:top w:w="80" w:type="dxa"/>
              <w:start w:w="90" w:type="dxa"/>
              <w:bottom w:w="80" w:type="dxa"/>
              <w:end w:w="90" w:type="dxa"/>
            </w:tcMar>
            <w:vAlign w:val="top"/>
            <w:shd w:fill="F7F9FB"/>
          </w:tcPr>
          <w:p>
            <w:pPr>
              <w:spacing w:after="30"/>
            </w:pPr>
            <w:r>
              <w:rPr>
                <w:rFonts w:ascii="Aptos" w:hAnsi="Aptos"/>
                <w:color w:val="232D38"/>
                <w:sz w:val="14"/>
              </w:rPr>
              <w:t>CPI/ROI claims require measured/source-labelled inputs.</w:t>
            </w:r>
          </w:p>
        </w:tc>
        <w:tc>
          <w:tcPr>
            <w:tcW w:type="dxa" w:w="3331"/>
            <w:tcMar>
              <w:top w:w="80" w:type="dxa"/>
              <w:start w:w="90" w:type="dxa"/>
              <w:bottom w:w="80" w:type="dxa"/>
              <w:end w:w="90" w:type="dxa"/>
            </w:tcMar>
            <w:vAlign w:val="top"/>
            <w:shd w:fill="F7F9FB"/>
          </w:tcPr>
          <w:p>
            <w:pPr>
              <w:spacing w:after="30"/>
            </w:pPr>
            <w:r>
              <w:rPr>
                <w:rFonts w:ascii="Aptos" w:hAnsi="Aptos"/>
                <w:color w:val="232D38"/>
                <w:sz w:val="14"/>
              </w:rPr>
              <w:t>No fabricated benchmarks.</w:t>
            </w:r>
          </w:p>
        </w:tc>
      </w:tr>
      <w:tr>
        <w:trPr>
          <w:cantSplit/>
        </w:trPr>
        <w:tc>
          <w:tcPr>
            <w:tcW w:type="dxa" w:w="3331"/>
            <w:tcMar>
              <w:top w:w="80" w:type="dxa"/>
              <w:start w:w="90" w:type="dxa"/>
              <w:bottom w:w="80" w:type="dxa"/>
              <w:end w:w="90" w:type="dxa"/>
            </w:tcMar>
            <w:vAlign w:val="top"/>
          </w:tcPr>
          <w:p>
            <w:pPr>
              <w:spacing w:after="30"/>
            </w:pPr>
            <w:r>
              <w:rPr>
                <w:rFonts w:ascii="Aptos" w:hAnsi="Aptos"/>
                <w:color w:val="232D38"/>
                <w:sz w:val="14"/>
              </w:rPr>
              <w:t>D-012</w:t>
            </w:r>
          </w:p>
        </w:tc>
        <w:tc>
          <w:tcPr>
            <w:tcW w:type="dxa" w:w="3331"/>
            <w:tcMar>
              <w:top w:w="80" w:type="dxa"/>
              <w:start w:w="90" w:type="dxa"/>
              <w:bottom w:w="80" w:type="dxa"/>
              <w:end w:w="90" w:type="dxa"/>
            </w:tcMar>
            <w:vAlign w:val="top"/>
          </w:tcPr>
          <w:p>
            <w:pPr>
              <w:spacing w:after="30"/>
            </w:pPr>
            <w:r>
              <w:rPr>
                <w:rFonts w:ascii="Aptos" w:hAnsi="Aptos"/>
                <w:color w:val="232D38"/>
                <w:sz w:val="14"/>
              </w:rPr>
              <w:t>Production authorization false by default.</w:t>
            </w:r>
          </w:p>
        </w:tc>
        <w:tc>
          <w:tcPr>
            <w:tcW w:type="dxa" w:w="3331"/>
            <w:tcMar>
              <w:top w:w="80" w:type="dxa"/>
              <w:start w:w="90" w:type="dxa"/>
              <w:bottom w:w="80" w:type="dxa"/>
              <w:end w:w="90" w:type="dxa"/>
            </w:tcMar>
            <w:vAlign w:val="top"/>
          </w:tcPr>
          <w:p>
            <w:pPr>
              <w:spacing w:after="30"/>
            </w:pPr>
            <w:r>
              <w:rPr>
                <w:rFonts w:ascii="Aptos" w:hAnsi="Aptos"/>
                <w:color w:val="232D38"/>
                <w:sz w:val="14"/>
              </w:rPr>
              <w:t>Only explicit G11 decision authorizes scope.</w:t>
            </w:r>
          </w:p>
        </w:tc>
      </w:tr>
    </w:tbl>
    <w:p>
      <w:pPr>
        <w:spacing w:after="0"/>
      </w:pPr>
    </w:p>
    <w:p>
      <w:pPr>
        <w:pStyle w:val="Heading2"/>
      </w:pPr>
      <w:r>
        <w:t>11.4 Open P0 decisions and evidence register</w:t>
      </w:r>
    </w:p>
    <w:p>
      <w:r>
        <w:rPr>
          <w:i w:val="0"/>
        </w:rPr>
        <w:t>This register is the initial known-unknown set. The AI developer must import it into the living issue/evidence registry and update each row only when the required evidence is linked. Items can be added; they must not be deleted merely because they are inconvenient. “Assigned role” is a target role, not a claim that a person is appointed.</w:t>
      </w:r>
    </w:p>
    <w:tbl>
      <w:tblPr>
        <w:tblStyle w:val="TableGrid"/>
        <w:tblW w:type="auto" w:w="0"/>
        <w:jc w:val="center"/>
        <w:tblLook w:firstColumn="1" w:firstRow="1" w:lastColumn="0" w:lastRow="0" w:noHBand="0" w:noVBand="1" w:val="04A0"/>
      </w:tblPr>
      <w:tblGrid>
        <w:gridCol w:w="1999"/>
        <w:gridCol w:w="1999"/>
        <w:gridCol w:w="1999"/>
        <w:gridCol w:w="1999"/>
        <w:gridCol w:w="1999"/>
      </w:tblGrid>
      <w:tr>
        <w:trPr>
          <w:tblHeader w:val="true"/>
          <w:cantSplit/>
        </w:trPr>
        <w:tc>
          <w:tcPr>
            <w:tcW w:type="dxa" w:w="936"/>
            <w:shd w:fill="07111F"/>
            <w:tcMar>
              <w:top w:w="80" w:type="dxa"/>
              <w:start w:w="90" w:type="dxa"/>
              <w:bottom w:w="80" w:type="dxa"/>
              <w:end w:w="90" w:type="dxa"/>
            </w:tcMar>
            <w:vAlign w:val="center"/>
          </w:tcPr>
          <w:p>
            <w:r>
              <w:rPr>
                <w:rFonts w:ascii="Aptos" w:hAnsi="Aptos"/>
                <w:b/>
                <w:color w:val="FFFFFF"/>
                <w:sz w:val="12"/>
              </w:rPr>
              <w:t>ID</w:t>
            </w:r>
          </w:p>
        </w:tc>
        <w:tc>
          <w:tcPr>
            <w:tcW w:type="dxa" w:w="3168"/>
            <w:shd w:fill="07111F"/>
            <w:tcMar>
              <w:top w:w="80" w:type="dxa"/>
              <w:start w:w="90" w:type="dxa"/>
              <w:bottom w:w="80" w:type="dxa"/>
              <w:end w:w="90" w:type="dxa"/>
            </w:tcMar>
            <w:vAlign w:val="center"/>
          </w:tcPr>
          <w:p>
            <w:r>
              <w:rPr>
                <w:rFonts w:ascii="Aptos" w:hAnsi="Aptos"/>
                <w:b/>
                <w:color w:val="FFFFFF"/>
                <w:sz w:val="12"/>
              </w:rPr>
              <w:t>Open decision / question</w:t>
            </w:r>
          </w:p>
        </w:tc>
        <w:tc>
          <w:tcPr>
            <w:tcW w:type="dxa" w:w="1944"/>
            <w:shd w:fill="07111F"/>
            <w:tcMar>
              <w:top w:w="80" w:type="dxa"/>
              <w:start w:w="90" w:type="dxa"/>
              <w:bottom w:w="80" w:type="dxa"/>
              <w:end w:w="90" w:type="dxa"/>
            </w:tcMar>
            <w:vAlign w:val="center"/>
          </w:tcPr>
          <w:p>
            <w:r>
              <w:rPr>
                <w:rFonts w:ascii="Aptos" w:hAnsi="Aptos"/>
                <w:b/>
                <w:color w:val="FFFFFF"/>
                <w:sz w:val="12"/>
              </w:rPr>
              <w:t>Default until resolved</w:t>
            </w:r>
          </w:p>
        </w:tc>
        <w:tc>
          <w:tcPr>
            <w:tcW w:type="dxa" w:w="3024"/>
            <w:shd w:fill="07111F"/>
            <w:tcMar>
              <w:top w:w="80" w:type="dxa"/>
              <w:start w:w="90" w:type="dxa"/>
              <w:bottom w:w="80" w:type="dxa"/>
              <w:end w:w="90" w:type="dxa"/>
            </w:tcMar>
            <w:vAlign w:val="center"/>
          </w:tcPr>
          <w:p>
            <w:r>
              <w:rPr>
                <w:rFonts w:ascii="Aptos" w:hAnsi="Aptos"/>
                <w:b/>
                <w:color w:val="FFFFFF"/>
                <w:sz w:val="12"/>
              </w:rPr>
              <w:t>Required closure evidence</w:t>
            </w:r>
          </w:p>
        </w:tc>
        <w:tc>
          <w:tcPr>
            <w:tcW w:type="dxa" w:w="1440"/>
            <w:shd w:fill="07111F"/>
            <w:tcMar>
              <w:top w:w="80" w:type="dxa"/>
              <w:start w:w="90" w:type="dxa"/>
              <w:bottom w:w="80" w:type="dxa"/>
              <w:end w:w="90" w:type="dxa"/>
            </w:tcMar>
            <w:vAlign w:val="center"/>
          </w:tcPr>
          <w:p>
            <w:r>
              <w:rPr>
                <w:rFonts w:ascii="Aptos" w:hAnsi="Aptos"/>
                <w:b/>
                <w:color w:val="FFFFFF"/>
                <w:sz w:val="12"/>
              </w:rPr>
              <w:t>Responsible role</w:t>
            </w:r>
          </w:p>
        </w:tc>
      </w:tr>
      <w:tr>
        <w:trPr>
          <w:cantSplit/>
        </w:trPr>
        <w:tc>
          <w:tcPr>
            <w:tcW w:type="dxa" w:w="1999"/>
            <w:tcMar>
              <w:top w:w="80" w:type="dxa"/>
              <w:start w:w="90" w:type="dxa"/>
              <w:bottom w:w="80" w:type="dxa"/>
              <w:end w:w="90" w:type="dxa"/>
            </w:tcMar>
            <w:vAlign w:val="top"/>
            <w:shd w:fill="F7F9FB"/>
          </w:tcPr>
          <w:p>
            <w:pPr>
              <w:spacing w:after="30"/>
            </w:pPr>
            <w:r>
              <w:rPr>
                <w:rFonts w:ascii="Aptos" w:hAnsi="Aptos"/>
                <w:color w:val="232D38"/>
                <w:sz w:val="12"/>
              </w:rPr>
              <w:t>OD-001</w:t>
            </w:r>
          </w:p>
        </w:tc>
        <w:tc>
          <w:tcPr>
            <w:tcW w:type="dxa" w:w="1999"/>
            <w:tcMar>
              <w:top w:w="80" w:type="dxa"/>
              <w:start w:w="90" w:type="dxa"/>
              <w:bottom w:w="80" w:type="dxa"/>
              <w:end w:w="90" w:type="dxa"/>
            </w:tcMar>
            <w:vAlign w:val="top"/>
            <w:shd w:fill="F7F9FB"/>
          </w:tcPr>
          <w:p>
            <w:pPr>
              <w:spacing w:after="30"/>
            </w:pPr>
            <w:r>
              <w:rPr>
                <w:rFonts w:ascii="Aptos" w:hAnsi="Aptos"/>
                <w:color w:val="232D38"/>
                <w:sz w:val="12"/>
              </w:rPr>
              <w:t>Which repository, owner, branch, immutable commit and tag represent the current canonical code baseline?</w:t>
            </w:r>
          </w:p>
        </w:tc>
        <w:tc>
          <w:tcPr>
            <w:tcW w:type="dxa" w:w="1999"/>
            <w:tcMar>
              <w:top w:w="80" w:type="dxa"/>
              <w:start w:w="90" w:type="dxa"/>
              <w:bottom w:w="80" w:type="dxa"/>
              <w:end w:w="90" w:type="dxa"/>
            </w:tcMar>
            <w:vAlign w:val="top"/>
            <w:shd w:fill="F7F9FB"/>
          </w:tcPr>
          <w:p>
            <w:pPr>
              <w:spacing w:after="30"/>
            </w:pPr>
            <w:r>
              <w:rPr>
                <w:rFonts w:ascii="Aptos" w:hAnsi="Aptos"/>
                <w:color w:val="232D38"/>
                <w:sz w:val="12"/>
              </w:rPr>
              <w:t>BLOCKED for release; do not guess based on a stale checkpoint.</w:t>
            </w:r>
          </w:p>
        </w:tc>
        <w:tc>
          <w:tcPr>
            <w:tcW w:type="dxa" w:w="1999"/>
            <w:tcMar>
              <w:top w:w="80" w:type="dxa"/>
              <w:start w:w="90" w:type="dxa"/>
              <w:bottom w:w="80" w:type="dxa"/>
              <w:end w:w="90" w:type="dxa"/>
            </w:tcMar>
            <w:vAlign w:val="top"/>
            <w:shd w:fill="F7F9FB"/>
          </w:tcPr>
          <w:p>
            <w:pPr>
              <w:spacing w:after="30"/>
            </w:pPr>
            <w:r>
              <w:rPr>
                <w:rFonts w:ascii="Aptos" w:hAnsi="Aptos"/>
                <w:color w:val="232D38"/>
                <w:sz w:val="12"/>
              </w:rPr>
              <w:t>Provider/Git evidence, exact SHA, remote/branch, clean/dirty status, release manifest and owner approval.</w:t>
            </w:r>
          </w:p>
        </w:tc>
        <w:tc>
          <w:tcPr>
            <w:tcW w:type="dxa" w:w="1999"/>
            <w:tcMar>
              <w:top w:w="80" w:type="dxa"/>
              <w:start w:w="90" w:type="dxa"/>
              <w:bottom w:w="80" w:type="dxa"/>
              <w:end w:w="90" w:type="dxa"/>
            </w:tcMar>
            <w:vAlign w:val="top"/>
            <w:shd w:fill="F7F9FB"/>
          </w:tcPr>
          <w:p>
            <w:pPr>
              <w:spacing w:after="30"/>
            </w:pPr>
            <w:r>
              <w:rPr>
                <w:rFonts w:ascii="Aptos" w:hAnsi="Aptos"/>
                <w:color w:val="232D38"/>
                <w:sz w:val="12"/>
              </w:rPr>
              <w:t>Platform owner / release manager</w:t>
            </w:r>
          </w:p>
        </w:tc>
      </w:tr>
      <w:tr>
        <w:trPr>
          <w:cantSplit/>
        </w:trPr>
        <w:tc>
          <w:tcPr>
            <w:tcW w:type="dxa" w:w="1999"/>
            <w:tcMar>
              <w:top w:w="80" w:type="dxa"/>
              <w:start w:w="90" w:type="dxa"/>
              <w:bottom w:w="80" w:type="dxa"/>
              <w:end w:w="90" w:type="dxa"/>
            </w:tcMar>
            <w:vAlign w:val="top"/>
          </w:tcPr>
          <w:p>
            <w:pPr>
              <w:spacing w:after="30"/>
            </w:pPr>
            <w:r>
              <w:rPr>
                <w:rFonts w:ascii="Aptos" w:hAnsi="Aptos"/>
                <w:color w:val="232D38"/>
                <w:sz w:val="12"/>
              </w:rPr>
              <w:t>OD-002</w:t>
            </w:r>
          </w:p>
        </w:tc>
        <w:tc>
          <w:tcPr>
            <w:tcW w:type="dxa" w:w="1999"/>
            <w:tcMar>
              <w:top w:w="80" w:type="dxa"/>
              <w:start w:w="90" w:type="dxa"/>
              <w:bottom w:w="80" w:type="dxa"/>
              <w:end w:w="90" w:type="dxa"/>
            </w:tcMar>
            <w:vAlign w:val="top"/>
          </w:tcPr>
          <w:p>
            <w:pPr>
              <w:spacing w:after="30"/>
            </w:pPr>
            <w:r>
              <w:rPr>
                <w:rFonts w:ascii="Aptos" w:hAnsi="Aptos"/>
                <w:color w:val="232D38"/>
                <w:sz w:val="12"/>
              </w:rPr>
              <w:t>Has the owner formally adopted this blueprint’s exact version and hash?</w:t>
            </w:r>
          </w:p>
        </w:tc>
        <w:tc>
          <w:tcPr>
            <w:tcW w:type="dxa" w:w="1999"/>
            <w:tcMar>
              <w:top w:w="80" w:type="dxa"/>
              <w:start w:w="90" w:type="dxa"/>
              <w:bottom w:w="80" w:type="dxa"/>
              <w:end w:w="90" w:type="dxa"/>
            </w:tcMar>
            <w:vAlign w:val="top"/>
          </w:tcPr>
          <w:p>
            <w:pPr>
              <w:spacing w:after="30"/>
            </w:pPr>
            <w:r>
              <w:rPr>
                <w:rFonts w:ascii="Aptos" w:hAnsi="Aptos"/>
                <w:color w:val="232D38"/>
                <w:sz w:val="12"/>
              </w:rPr>
              <w:t>PROPOSED baseline, not yet active authority.</w:t>
            </w:r>
          </w:p>
        </w:tc>
        <w:tc>
          <w:tcPr>
            <w:tcW w:type="dxa" w:w="1999"/>
            <w:tcMar>
              <w:top w:w="80" w:type="dxa"/>
              <w:start w:w="90" w:type="dxa"/>
              <w:bottom w:w="80" w:type="dxa"/>
              <w:end w:w="90" w:type="dxa"/>
            </w:tcMar>
            <w:vAlign w:val="top"/>
          </w:tcPr>
          <w:p>
            <w:pPr>
              <w:spacing w:after="30"/>
            </w:pPr>
            <w:r>
              <w:rPr>
                <w:rFonts w:ascii="Aptos" w:hAnsi="Aptos"/>
                <w:color w:val="232D38"/>
                <w:sz w:val="12"/>
              </w:rPr>
              <w:t>Signed/recorded owner approval, blueprint hash in repo, release registry link.</w:t>
            </w:r>
          </w:p>
        </w:tc>
        <w:tc>
          <w:tcPr>
            <w:tcW w:type="dxa" w:w="1999"/>
            <w:tcMar>
              <w:top w:w="80" w:type="dxa"/>
              <w:start w:w="90" w:type="dxa"/>
              <w:bottom w:w="80" w:type="dxa"/>
              <w:end w:w="90" w:type="dxa"/>
            </w:tcMar>
            <w:vAlign w:val="top"/>
          </w:tcPr>
          <w:p>
            <w:pPr>
              <w:spacing w:after="30"/>
            </w:pPr>
            <w:r>
              <w:rPr>
                <w:rFonts w:ascii="Aptos" w:hAnsi="Aptos"/>
                <w:color w:val="232D38"/>
                <w:sz w:val="12"/>
              </w:rPr>
              <w:t>Owner / governance</w:t>
            </w:r>
          </w:p>
        </w:tc>
      </w:tr>
      <w:tr>
        <w:trPr>
          <w:cantSplit/>
        </w:trPr>
        <w:tc>
          <w:tcPr>
            <w:tcW w:type="dxa" w:w="1999"/>
            <w:tcMar>
              <w:top w:w="80" w:type="dxa"/>
              <w:start w:w="90" w:type="dxa"/>
              <w:bottom w:w="80" w:type="dxa"/>
              <w:end w:w="90" w:type="dxa"/>
            </w:tcMar>
            <w:vAlign w:val="top"/>
            <w:shd w:fill="F7F9FB"/>
          </w:tcPr>
          <w:p>
            <w:pPr>
              <w:spacing w:after="30"/>
            </w:pPr>
            <w:r>
              <w:rPr>
                <w:rFonts w:ascii="Aptos" w:hAnsi="Aptos"/>
                <w:color w:val="232D38"/>
                <w:sz w:val="12"/>
              </w:rPr>
              <w:t>OD-003</w:t>
            </w:r>
          </w:p>
        </w:tc>
        <w:tc>
          <w:tcPr>
            <w:tcW w:type="dxa" w:w="1999"/>
            <w:tcMar>
              <w:top w:w="80" w:type="dxa"/>
              <w:start w:w="90" w:type="dxa"/>
              <w:bottom w:w="80" w:type="dxa"/>
              <w:end w:w="90" w:type="dxa"/>
            </w:tcMar>
            <w:vAlign w:val="top"/>
            <w:shd w:fill="F7F9FB"/>
          </w:tcPr>
          <w:p>
            <w:pPr>
              <w:spacing w:after="30"/>
            </w:pPr>
            <w:r>
              <w:rPr>
                <w:rFonts w:ascii="Aptos" w:hAnsi="Aptos"/>
                <w:color w:val="232D38"/>
                <w:sz w:val="12"/>
              </w:rPr>
              <w:t>What do current executed entity instruments actually say about entities, control, contracting and MTQ roles?</w:t>
            </w:r>
          </w:p>
        </w:tc>
        <w:tc>
          <w:tcPr>
            <w:tcW w:type="dxa" w:w="1999"/>
            <w:tcMar>
              <w:top w:w="80" w:type="dxa"/>
              <w:start w:w="90" w:type="dxa"/>
              <w:bottom w:w="80" w:type="dxa"/>
              <w:end w:w="90" w:type="dxa"/>
            </w:tcMar>
            <w:vAlign w:val="top"/>
            <w:shd w:fill="F7F9FB"/>
          </w:tcPr>
          <w:p>
            <w:pPr>
              <w:spacing w:after="30"/>
            </w:pPr>
            <w:r>
              <w:rPr>
                <w:rFonts w:ascii="Aptos" w:hAnsi="Aptos"/>
                <w:color w:val="232D38"/>
                <w:sz w:val="12"/>
              </w:rPr>
              <w:t>PRIMARY_DOCUMENT_MISSING or PENDING_PRIMARY_DOCUMENT; do not infer.</w:t>
            </w:r>
          </w:p>
        </w:tc>
        <w:tc>
          <w:tcPr>
            <w:tcW w:type="dxa" w:w="1999"/>
            <w:tcMar>
              <w:top w:w="80" w:type="dxa"/>
              <w:start w:w="90" w:type="dxa"/>
              <w:bottom w:w="80" w:type="dxa"/>
              <w:end w:w="90" w:type="dxa"/>
            </w:tcMar>
            <w:vAlign w:val="top"/>
            <w:shd w:fill="F7F9FB"/>
          </w:tcPr>
          <w:p>
            <w:pPr>
              <w:spacing w:after="30"/>
            </w:pPr>
            <w:r>
              <w:rPr>
                <w:rFonts w:ascii="Aptos" w:hAnsi="Aptos"/>
                <w:color w:val="232D38"/>
                <w:sz w:val="12"/>
              </w:rPr>
              <w:t>Complete authenticated instruments, amendment chronology and qualified counsel reconciliation.</w:t>
            </w:r>
          </w:p>
        </w:tc>
        <w:tc>
          <w:tcPr>
            <w:tcW w:type="dxa" w:w="1999"/>
            <w:tcMar>
              <w:top w:w="80" w:type="dxa"/>
              <w:start w:w="90" w:type="dxa"/>
              <w:bottom w:w="80" w:type="dxa"/>
              <w:end w:w="90" w:type="dxa"/>
            </w:tcMar>
            <w:vAlign w:val="top"/>
            <w:shd w:fill="F7F9FB"/>
          </w:tcPr>
          <w:p>
            <w:pPr>
              <w:spacing w:after="30"/>
            </w:pPr>
            <w:r>
              <w:rPr>
                <w:rFonts w:ascii="Aptos" w:hAnsi="Aptos"/>
                <w:color w:val="232D38"/>
                <w:sz w:val="12"/>
              </w:rPr>
              <w:t>Corporate/legal owner</w:t>
            </w:r>
          </w:p>
        </w:tc>
      </w:tr>
      <w:tr>
        <w:trPr>
          <w:cantSplit/>
        </w:trPr>
        <w:tc>
          <w:tcPr>
            <w:tcW w:type="dxa" w:w="1999"/>
            <w:tcMar>
              <w:top w:w="80" w:type="dxa"/>
              <w:start w:w="90" w:type="dxa"/>
              <w:bottom w:w="80" w:type="dxa"/>
              <w:end w:w="90" w:type="dxa"/>
            </w:tcMar>
            <w:vAlign w:val="top"/>
          </w:tcPr>
          <w:p>
            <w:pPr>
              <w:spacing w:after="30"/>
            </w:pPr>
            <w:r>
              <w:rPr>
                <w:rFonts w:ascii="Aptos" w:hAnsi="Aptos"/>
                <w:color w:val="232D38"/>
                <w:sz w:val="12"/>
              </w:rPr>
              <w:t>OD-004</w:t>
            </w:r>
          </w:p>
        </w:tc>
        <w:tc>
          <w:tcPr>
            <w:tcW w:type="dxa" w:w="1999"/>
            <w:tcMar>
              <w:top w:w="80" w:type="dxa"/>
              <w:start w:w="90" w:type="dxa"/>
              <w:bottom w:w="80" w:type="dxa"/>
              <w:end w:w="90" w:type="dxa"/>
            </w:tcMar>
            <w:vAlign w:val="top"/>
          </w:tcPr>
          <w:p>
            <w:pPr>
              <w:spacing w:after="30"/>
            </w:pPr>
            <w:r>
              <w:rPr>
                <w:rFonts w:ascii="Aptos" w:hAnsi="Aptos"/>
                <w:color w:val="232D38"/>
                <w:sz w:val="12"/>
              </w:rPr>
              <w:t>What legal classification/permission applies to the exact Pilot A activity and each proposed corridor?</w:t>
            </w:r>
          </w:p>
        </w:tc>
        <w:tc>
          <w:tcPr>
            <w:tcW w:type="dxa" w:w="1999"/>
            <w:tcMar>
              <w:top w:w="80" w:type="dxa"/>
              <w:start w:w="90" w:type="dxa"/>
              <w:bottom w:w="80" w:type="dxa"/>
              <w:end w:w="90" w:type="dxa"/>
            </w:tcMar>
            <w:vAlign w:val="top"/>
          </w:tcPr>
          <w:p>
            <w:pPr>
              <w:spacing w:after="30"/>
            </w:pPr>
            <w:r>
              <w:rPr>
                <w:rFonts w:ascii="Aptos" w:hAnsi="Aptos"/>
                <w:color w:val="232D38"/>
                <w:sz w:val="12"/>
              </w:rPr>
              <w:t>JURISDICTION_PENDING; no legal permission inferred.</w:t>
            </w:r>
          </w:p>
        </w:tc>
        <w:tc>
          <w:tcPr>
            <w:tcW w:type="dxa" w:w="1999"/>
            <w:tcMar>
              <w:top w:w="80" w:type="dxa"/>
              <w:start w:w="90" w:type="dxa"/>
              <w:bottom w:w="80" w:type="dxa"/>
              <w:end w:w="90" w:type="dxa"/>
            </w:tcMar>
            <w:vAlign w:val="top"/>
          </w:tcPr>
          <w:p>
            <w:pPr>
              <w:spacing w:after="30"/>
            </w:pPr>
            <w:r>
              <w:rPr>
                <w:rFonts w:ascii="Aptos" w:hAnsi="Aptos"/>
                <w:color w:val="232D38"/>
                <w:sz w:val="12"/>
              </w:rPr>
              <w:t>Qualified counsel opinion scoped to entity/activity/asset/corridor/effective date; regulator evidence where required.</w:t>
            </w:r>
          </w:p>
        </w:tc>
        <w:tc>
          <w:tcPr>
            <w:tcW w:type="dxa" w:w="1999"/>
            <w:tcMar>
              <w:top w:w="80" w:type="dxa"/>
              <w:start w:w="90" w:type="dxa"/>
              <w:bottom w:w="80" w:type="dxa"/>
              <w:end w:w="90" w:type="dxa"/>
            </w:tcMar>
            <w:vAlign w:val="top"/>
          </w:tcPr>
          <w:p>
            <w:pPr>
              <w:spacing w:after="30"/>
            </w:pPr>
            <w:r>
              <w:rPr>
                <w:rFonts w:ascii="Aptos" w:hAnsi="Aptos"/>
                <w:color w:val="232D38"/>
                <w:sz w:val="12"/>
              </w:rPr>
              <w:t>Qualified counsel</w:t>
            </w:r>
          </w:p>
        </w:tc>
      </w:tr>
      <w:tr>
        <w:trPr>
          <w:cantSplit/>
        </w:trPr>
        <w:tc>
          <w:tcPr>
            <w:tcW w:type="dxa" w:w="1999"/>
            <w:tcMar>
              <w:top w:w="80" w:type="dxa"/>
              <w:start w:w="90" w:type="dxa"/>
              <w:bottom w:w="80" w:type="dxa"/>
              <w:end w:w="90" w:type="dxa"/>
            </w:tcMar>
            <w:vAlign w:val="top"/>
            <w:shd w:fill="F7F9FB"/>
          </w:tcPr>
          <w:p>
            <w:pPr>
              <w:spacing w:after="30"/>
            </w:pPr>
            <w:r>
              <w:rPr>
                <w:rFonts w:ascii="Aptos" w:hAnsi="Aptos"/>
                <w:color w:val="232D38"/>
                <w:sz w:val="12"/>
              </w:rPr>
              <w:t>OD-005</w:t>
            </w:r>
          </w:p>
        </w:tc>
        <w:tc>
          <w:tcPr>
            <w:tcW w:type="dxa" w:w="1999"/>
            <w:tcMar>
              <w:top w:w="80" w:type="dxa"/>
              <w:start w:w="90" w:type="dxa"/>
              <w:bottom w:w="80" w:type="dxa"/>
              <w:end w:w="90" w:type="dxa"/>
            </w:tcMar>
            <w:vAlign w:val="top"/>
            <w:shd w:fill="F7F9FB"/>
          </w:tcPr>
          <w:p>
            <w:pPr>
              <w:spacing w:after="30"/>
            </w:pPr>
            <w:r>
              <w:rPr>
                <w:rFonts w:ascii="Aptos" w:hAnsi="Aptos"/>
                <w:color w:val="232D38"/>
                <w:sz w:val="12"/>
              </w:rPr>
              <w:t>Which bank/design partner will validate a real buyer problem, and under what evaluation authority?</w:t>
            </w:r>
          </w:p>
        </w:tc>
        <w:tc>
          <w:tcPr>
            <w:tcW w:type="dxa" w:w="1999"/>
            <w:tcMar>
              <w:top w:w="80" w:type="dxa"/>
              <w:start w:w="90" w:type="dxa"/>
              <w:bottom w:w="80" w:type="dxa"/>
              <w:end w:w="90" w:type="dxa"/>
            </w:tcMar>
            <w:vAlign w:val="top"/>
            <w:shd w:fill="F7F9FB"/>
          </w:tcPr>
          <w:p>
            <w:pPr>
              <w:spacing w:after="30"/>
            </w:pPr>
            <w:r>
              <w:rPr>
                <w:rFonts w:ascii="Aptos" w:hAnsi="Aptos"/>
                <w:color w:val="232D38"/>
                <w:sz w:val="12"/>
              </w:rPr>
              <w:t>No bank partner/endorsement claim.</w:t>
            </w:r>
          </w:p>
        </w:tc>
        <w:tc>
          <w:tcPr>
            <w:tcW w:type="dxa" w:w="1999"/>
            <w:tcMar>
              <w:top w:w="80" w:type="dxa"/>
              <w:start w:w="90" w:type="dxa"/>
              <w:bottom w:w="80" w:type="dxa"/>
              <w:end w:w="90" w:type="dxa"/>
            </w:tcMar>
            <w:vAlign w:val="top"/>
            <w:shd w:fill="F7F9FB"/>
          </w:tcPr>
          <w:p>
            <w:pPr>
              <w:spacing w:after="30"/>
            </w:pPr>
            <w:r>
              <w:rPr>
                <w:rFonts w:ascii="Aptos" w:hAnsi="Aptos"/>
                <w:color w:val="232D38"/>
                <w:sz w:val="12"/>
              </w:rPr>
              <w:t>Verified sponsor and institution authority, discovery record, agreed evaluation scope; executed contract before data/value access.</w:t>
            </w:r>
          </w:p>
        </w:tc>
        <w:tc>
          <w:tcPr>
            <w:tcW w:type="dxa" w:w="1999"/>
            <w:tcMar>
              <w:top w:w="80" w:type="dxa"/>
              <w:start w:w="90" w:type="dxa"/>
              <w:bottom w:w="80" w:type="dxa"/>
              <w:end w:w="90" w:type="dxa"/>
            </w:tcMar>
            <w:vAlign w:val="top"/>
            <w:shd w:fill="F7F9FB"/>
          </w:tcPr>
          <w:p>
            <w:pPr>
              <w:spacing w:after="30"/>
            </w:pPr>
            <w:r>
              <w:rPr>
                <w:rFonts w:ascii="Aptos" w:hAnsi="Aptos"/>
                <w:color w:val="232D38"/>
                <w:sz w:val="12"/>
              </w:rPr>
              <w:t>Institutional/commercial lead</w:t>
            </w:r>
          </w:p>
        </w:tc>
      </w:tr>
      <w:tr>
        <w:trPr>
          <w:cantSplit/>
        </w:trPr>
        <w:tc>
          <w:tcPr>
            <w:tcW w:type="dxa" w:w="1999"/>
            <w:tcMar>
              <w:top w:w="80" w:type="dxa"/>
              <w:start w:w="90" w:type="dxa"/>
              <w:bottom w:w="80" w:type="dxa"/>
              <w:end w:w="90" w:type="dxa"/>
            </w:tcMar>
            <w:vAlign w:val="top"/>
          </w:tcPr>
          <w:p>
            <w:pPr>
              <w:spacing w:after="30"/>
            </w:pPr>
            <w:r>
              <w:rPr>
                <w:rFonts w:ascii="Aptos" w:hAnsi="Aptos"/>
                <w:color w:val="232D38"/>
                <w:sz w:val="12"/>
              </w:rPr>
              <w:t>OD-006</w:t>
            </w:r>
          </w:p>
        </w:tc>
        <w:tc>
          <w:tcPr>
            <w:tcW w:type="dxa" w:w="1999"/>
            <w:tcMar>
              <w:top w:w="80" w:type="dxa"/>
              <w:start w:w="90" w:type="dxa"/>
              <w:bottom w:w="80" w:type="dxa"/>
              <w:end w:w="90" w:type="dxa"/>
            </w:tcMar>
            <w:vAlign w:val="top"/>
          </w:tcPr>
          <w:p>
            <w:pPr>
              <w:spacing w:after="30"/>
            </w:pPr>
            <w:r>
              <w:rPr>
                <w:rFonts w:ascii="Aptos" w:hAnsi="Aptos"/>
                <w:color w:val="232D38"/>
                <w:sz w:val="12"/>
              </w:rPr>
              <w:t>Which corridor has enough pain, feasible route, legal viability and measurable value?</w:t>
            </w:r>
          </w:p>
        </w:tc>
        <w:tc>
          <w:tcPr>
            <w:tcW w:type="dxa" w:w="1999"/>
            <w:tcMar>
              <w:top w:w="80" w:type="dxa"/>
              <w:start w:w="90" w:type="dxa"/>
              <w:bottom w:w="80" w:type="dxa"/>
              <w:end w:w="90" w:type="dxa"/>
            </w:tcMar>
            <w:vAlign w:val="top"/>
          </w:tcPr>
          <w:p>
            <w:pPr>
              <w:spacing w:after="30"/>
            </w:pPr>
            <w:r>
              <w:rPr>
                <w:rFonts w:ascii="Aptos" w:hAnsi="Aptos"/>
                <w:color w:val="232D38"/>
                <w:sz w:val="12"/>
              </w:rPr>
              <w:t>No corridor declared “best.”</w:t>
            </w:r>
          </w:p>
        </w:tc>
        <w:tc>
          <w:tcPr>
            <w:tcW w:type="dxa" w:w="1999"/>
            <w:tcMar>
              <w:top w:w="80" w:type="dxa"/>
              <w:start w:w="90" w:type="dxa"/>
              <w:bottom w:w="80" w:type="dxa"/>
              <w:end w:w="90" w:type="dxa"/>
            </w:tcMar>
            <w:vAlign w:val="top"/>
          </w:tcPr>
          <w:p>
            <w:pPr>
              <w:spacing w:after="30"/>
            </w:pPr>
            <w:r>
              <w:rPr>
                <w:rFonts w:ascii="Aptos" w:hAnsi="Aptos"/>
                <w:color w:val="232D38"/>
                <w:sz w:val="12"/>
              </w:rPr>
              <w:t>Comparable corridor scorecard with sourced/MEASURED/ASSUMED/UNKNOWN values, owner review and legal triage.</w:t>
            </w:r>
          </w:p>
        </w:tc>
        <w:tc>
          <w:tcPr>
            <w:tcW w:type="dxa" w:w="1999"/>
            <w:tcMar>
              <w:top w:w="80" w:type="dxa"/>
              <w:start w:w="90" w:type="dxa"/>
              <w:bottom w:w="80" w:type="dxa"/>
              <w:end w:w="90" w:type="dxa"/>
            </w:tcMar>
            <w:vAlign w:val="top"/>
          </w:tcPr>
          <w:p>
            <w:pPr>
              <w:spacing w:after="30"/>
            </w:pPr>
            <w:r>
              <w:rPr>
                <w:rFonts w:ascii="Aptos" w:hAnsi="Aptos"/>
                <w:color w:val="232D38"/>
                <w:sz w:val="12"/>
              </w:rPr>
              <w:t>Product/treasury lead</w:t>
            </w:r>
          </w:p>
        </w:tc>
      </w:tr>
      <w:tr>
        <w:trPr>
          <w:cantSplit/>
        </w:trPr>
        <w:tc>
          <w:tcPr>
            <w:tcW w:type="dxa" w:w="1999"/>
            <w:tcMar>
              <w:top w:w="80" w:type="dxa"/>
              <w:start w:w="90" w:type="dxa"/>
              <w:bottom w:w="80" w:type="dxa"/>
              <w:end w:w="90" w:type="dxa"/>
            </w:tcMar>
            <w:vAlign w:val="top"/>
            <w:shd w:fill="F7F9FB"/>
          </w:tcPr>
          <w:p>
            <w:pPr>
              <w:spacing w:after="30"/>
            </w:pPr>
            <w:r>
              <w:rPr>
                <w:rFonts w:ascii="Aptos" w:hAnsi="Aptos"/>
                <w:color w:val="232D38"/>
                <w:sz w:val="12"/>
              </w:rPr>
              <w:t>OD-007</w:t>
            </w:r>
          </w:p>
        </w:tc>
        <w:tc>
          <w:tcPr>
            <w:tcW w:type="dxa" w:w="1999"/>
            <w:tcMar>
              <w:top w:w="80" w:type="dxa"/>
              <w:start w:w="90" w:type="dxa"/>
              <w:bottom w:w="80" w:type="dxa"/>
              <w:end w:w="90" w:type="dxa"/>
            </w:tcMar>
            <w:vAlign w:val="top"/>
            <w:shd w:fill="F7F9FB"/>
          </w:tcPr>
          <w:p>
            <w:pPr>
              <w:spacing w:after="30"/>
            </w:pPr>
            <w:r>
              <w:rPr>
                <w:rFonts w:ascii="Aptos" w:hAnsi="Aptos"/>
                <w:color w:val="232D38"/>
                <w:sz w:val="12"/>
              </w:rPr>
              <w:t>Is Neon already the authoritative financial writer and Turso only a projection in actual code?</w:t>
            </w:r>
          </w:p>
        </w:tc>
        <w:tc>
          <w:tcPr>
            <w:tcW w:type="dxa" w:w="1999"/>
            <w:tcMar>
              <w:top w:w="80" w:type="dxa"/>
              <w:start w:w="90" w:type="dxa"/>
              <w:bottom w:w="80" w:type="dxa"/>
              <w:end w:w="90" w:type="dxa"/>
            </w:tcMar>
            <w:vAlign w:val="top"/>
            <w:shd w:fill="F7F9FB"/>
          </w:tcPr>
          <w:p>
            <w:pPr>
              <w:spacing w:after="30"/>
            </w:pPr>
            <w:r>
              <w:rPr>
                <w:rFonts w:ascii="Aptos" w:hAnsi="Aptos"/>
                <w:color w:val="232D38"/>
                <w:sz w:val="12"/>
              </w:rPr>
              <w:t>Target architecture; actual state UNKNOWN until traced.</w:t>
            </w:r>
          </w:p>
        </w:tc>
        <w:tc>
          <w:tcPr>
            <w:tcW w:type="dxa" w:w="1999"/>
            <w:tcMar>
              <w:top w:w="80" w:type="dxa"/>
              <w:start w:w="90" w:type="dxa"/>
              <w:bottom w:w="80" w:type="dxa"/>
              <w:end w:w="90" w:type="dxa"/>
            </w:tcMar>
            <w:vAlign w:val="top"/>
            <w:shd w:fill="F7F9FB"/>
          </w:tcPr>
          <w:p>
            <w:pPr>
              <w:spacing w:after="30"/>
            </w:pPr>
            <w:r>
              <w:rPr>
                <w:rFonts w:ascii="Aptos" w:hAnsi="Aptos"/>
                <w:color w:val="232D38"/>
                <w:sz w:val="12"/>
              </w:rPr>
              <w:t>Runtime code/schema/config trace, migration review, transaction/outbox tests, dataflow diagram and reconcile evidence.</w:t>
            </w:r>
          </w:p>
        </w:tc>
        <w:tc>
          <w:tcPr>
            <w:tcW w:type="dxa" w:w="1999"/>
            <w:tcMar>
              <w:top w:w="80" w:type="dxa"/>
              <w:start w:w="90" w:type="dxa"/>
              <w:bottom w:w="80" w:type="dxa"/>
              <w:end w:w="90" w:type="dxa"/>
            </w:tcMar>
            <w:vAlign w:val="top"/>
            <w:shd w:fill="F7F9FB"/>
          </w:tcPr>
          <w:p>
            <w:pPr>
              <w:spacing w:after="30"/>
            </w:pPr>
            <w:r>
              <w:rPr>
                <w:rFonts w:ascii="Aptos" w:hAnsi="Aptos"/>
                <w:color w:val="232D38"/>
                <w:sz w:val="12"/>
              </w:rPr>
              <w:t>Technical lead</w:t>
            </w:r>
          </w:p>
        </w:tc>
      </w:tr>
      <w:tr>
        <w:trPr>
          <w:cantSplit/>
        </w:trPr>
        <w:tc>
          <w:tcPr>
            <w:tcW w:type="dxa" w:w="1999"/>
            <w:tcMar>
              <w:top w:w="80" w:type="dxa"/>
              <w:start w:w="90" w:type="dxa"/>
              <w:bottom w:w="80" w:type="dxa"/>
              <w:end w:w="90" w:type="dxa"/>
            </w:tcMar>
            <w:vAlign w:val="top"/>
          </w:tcPr>
          <w:p>
            <w:pPr>
              <w:spacing w:after="30"/>
            </w:pPr>
            <w:r>
              <w:rPr>
                <w:rFonts w:ascii="Aptos" w:hAnsi="Aptos"/>
                <w:color w:val="232D38"/>
                <w:sz w:val="12"/>
              </w:rPr>
              <w:t>OD-008</w:t>
            </w:r>
          </w:p>
        </w:tc>
        <w:tc>
          <w:tcPr>
            <w:tcW w:type="dxa" w:w="1999"/>
            <w:tcMar>
              <w:top w:w="80" w:type="dxa"/>
              <w:start w:w="90" w:type="dxa"/>
              <w:bottom w:w="80" w:type="dxa"/>
              <w:end w:w="90" w:type="dxa"/>
            </w:tcMar>
            <w:vAlign w:val="top"/>
          </w:tcPr>
          <w:p>
            <w:pPr>
              <w:spacing w:after="30"/>
            </w:pPr>
            <w:r>
              <w:rPr>
                <w:rFonts w:ascii="Aptos" w:hAnsi="Aptos"/>
                <w:color w:val="232D38"/>
                <w:sz w:val="12"/>
              </w:rPr>
              <w:t>Do GitHub, Vercel, Inngest, Neon and Turso currently work together end-to-end?</w:t>
            </w:r>
          </w:p>
        </w:tc>
        <w:tc>
          <w:tcPr>
            <w:tcW w:type="dxa" w:w="1999"/>
            <w:tcMar>
              <w:top w:w="80" w:type="dxa"/>
              <w:start w:w="90" w:type="dxa"/>
              <w:bottom w:w="80" w:type="dxa"/>
              <w:end w:w="90" w:type="dxa"/>
            </w:tcMar>
            <w:vAlign w:val="top"/>
          </w:tcPr>
          <w:p>
            <w:pPr>
              <w:spacing w:after="30"/>
            </w:pPr>
            <w:r>
              <w:rPr>
                <w:rFonts w:ascii="Aptos" w:hAnsi="Aptos"/>
                <w:color w:val="232D38"/>
                <w:sz w:val="12"/>
              </w:rPr>
              <w:t>Provider harmony UNKNOWN until live probes/e2e.</w:t>
            </w:r>
          </w:p>
        </w:tc>
        <w:tc>
          <w:tcPr>
            <w:tcW w:type="dxa" w:w="1999"/>
            <w:tcMar>
              <w:top w:w="80" w:type="dxa"/>
              <w:start w:w="90" w:type="dxa"/>
              <w:bottom w:w="80" w:type="dxa"/>
              <w:end w:w="90" w:type="dxa"/>
            </w:tcMar>
            <w:vAlign w:val="top"/>
          </w:tcPr>
          <w:p>
            <w:pPr>
              <w:spacing w:after="30"/>
            </w:pPr>
            <w:r>
              <w:rPr>
                <w:rFonts w:ascii="Aptos" w:hAnsi="Aptos"/>
                <w:color w:val="232D38"/>
                <w:sz w:val="12"/>
              </w:rPr>
              <w:t>Native provider status, deployed SHA, secret presence without printing values, approved representative transaction, async callback, projection/reconciliation and recovery test.</w:t>
            </w:r>
          </w:p>
        </w:tc>
        <w:tc>
          <w:tcPr>
            <w:tcW w:type="dxa" w:w="1999"/>
            <w:tcMar>
              <w:top w:w="80" w:type="dxa"/>
              <w:start w:w="90" w:type="dxa"/>
              <w:bottom w:w="80" w:type="dxa"/>
              <w:end w:w="90" w:type="dxa"/>
            </w:tcMar>
            <w:vAlign w:val="top"/>
          </w:tcPr>
          <w:p>
            <w:pPr>
              <w:spacing w:after="30"/>
            </w:pPr>
            <w:r>
              <w:rPr>
                <w:rFonts w:ascii="Aptos" w:hAnsi="Aptos"/>
                <w:color w:val="232D38"/>
                <w:sz w:val="12"/>
              </w:rPr>
              <w:t>Platform operations</w:t>
            </w:r>
          </w:p>
        </w:tc>
      </w:tr>
      <w:tr>
        <w:trPr>
          <w:cantSplit/>
        </w:trPr>
        <w:tc>
          <w:tcPr>
            <w:tcW w:type="dxa" w:w="1999"/>
            <w:tcMar>
              <w:top w:w="80" w:type="dxa"/>
              <w:start w:w="90" w:type="dxa"/>
              <w:bottom w:w="80" w:type="dxa"/>
              <w:end w:w="90" w:type="dxa"/>
            </w:tcMar>
            <w:vAlign w:val="top"/>
            <w:shd w:fill="F7F9FB"/>
          </w:tcPr>
          <w:p>
            <w:pPr>
              <w:spacing w:after="30"/>
            </w:pPr>
            <w:r>
              <w:rPr>
                <w:rFonts w:ascii="Aptos" w:hAnsi="Aptos"/>
                <w:color w:val="232D38"/>
                <w:sz w:val="12"/>
              </w:rPr>
              <w:t>OD-009</w:t>
            </w:r>
          </w:p>
        </w:tc>
        <w:tc>
          <w:tcPr>
            <w:tcW w:type="dxa" w:w="1999"/>
            <w:tcMar>
              <w:top w:w="80" w:type="dxa"/>
              <w:start w:w="90" w:type="dxa"/>
              <w:bottom w:w="80" w:type="dxa"/>
              <w:end w:w="90" w:type="dxa"/>
            </w:tcMar>
            <w:vAlign w:val="top"/>
            <w:shd w:fill="F7F9FB"/>
          </w:tcPr>
          <w:p>
            <w:pPr>
              <w:spacing w:after="30"/>
            </w:pPr>
            <w:r>
              <w:rPr>
                <w:rFonts w:ascii="Aptos" w:hAnsi="Aptos"/>
                <w:color w:val="232D38"/>
                <w:sz w:val="12"/>
              </w:rPr>
              <w:t>Have all exposed secrets been revoked/rotated and removed from logs/artifacts where feasible?</w:t>
            </w:r>
          </w:p>
        </w:tc>
        <w:tc>
          <w:tcPr>
            <w:tcW w:type="dxa" w:w="1999"/>
            <w:tcMar>
              <w:top w:w="80" w:type="dxa"/>
              <w:start w:w="90" w:type="dxa"/>
              <w:bottom w:w="80" w:type="dxa"/>
              <w:end w:w="90" w:type="dxa"/>
            </w:tcMar>
            <w:vAlign w:val="top"/>
            <w:shd w:fill="F7F9FB"/>
          </w:tcPr>
          <w:p>
            <w:pPr>
              <w:spacing w:after="30"/>
            </w:pPr>
            <w:r>
              <w:rPr>
                <w:rFonts w:ascii="Aptos" w:hAnsi="Aptos"/>
                <w:color w:val="232D38"/>
                <w:sz w:val="12"/>
              </w:rPr>
              <w:t>SECRET_STATUS=BLOCKED until safe confirmation.</w:t>
            </w:r>
          </w:p>
        </w:tc>
        <w:tc>
          <w:tcPr>
            <w:tcW w:type="dxa" w:w="1999"/>
            <w:tcMar>
              <w:top w:w="80" w:type="dxa"/>
              <w:start w:w="90" w:type="dxa"/>
              <w:bottom w:w="80" w:type="dxa"/>
              <w:end w:w="90" w:type="dxa"/>
            </w:tcMar>
            <w:vAlign w:val="top"/>
            <w:shd w:fill="F7F9FB"/>
          </w:tcPr>
          <w:p>
            <w:pPr>
              <w:spacing w:after="30"/>
            </w:pPr>
            <w:r>
              <w:rPr>
                <w:rFonts w:ascii="Aptos" w:hAnsi="Aptos"/>
                <w:color w:val="232D38"/>
                <w:sz w:val="12"/>
              </w:rPr>
              <w:t>Provider-native rotation/revocation records, sanitized scan output and updated secret inventory; never store secret values in dossier.</w:t>
            </w:r>
          </w:p>
        </w:tc>
        <w:tc>
          <w:tcPr>
            <w:tcW w:type="dxa" w:w="1999"/>
            <w:tcMar>
              <w:top w:w="80" w:type="dxa"/>
              <w:start w:w="90" w:type="dxa"/>
              <w:bottom w:w="80" w:type="dxa"/>
              <w:end w:w="90" w:type="dxa"/>
            </w:tcMar>
            <w:vAlign w:val="top"/>
            <w:shd w:fill="F7F9FB"/>
          </w:tcPr>
          <w:p>
            <w:pPr>
              <w:spacing w:after="30"/>
            </w:pPr>
            <w:r>
              <w:rPr>
                <w:rFonts w:ascii="Aptos" w:hAnsi="Aptos"/>
                <w:color w:val="232D38"/>
                <w:sz w:val="12"/>
              </w:rPr>
              <w:t>Security owner</w:t>
            </w:r>
          </w:p>
        </w:tc>
      </w:tr>
      <w:tr>
        <w:trPr>
          <w:cantSplit/>
        </w:trPr>
        <w:tc>
          <w:tcPr>
            <w:tcW w:type="dxa" w:w="1999"/>
            <w:tcMar>
              <w:top w:w="80" w:type="dxa"/>
              <w:start w:w="90" w:type="dxa"/>
              <w:bottom w:w="80" w:type="dxa"/>
              <w:end w:w="90" w:type="dxa"/>
            </w:tcMar>
            <w:vAlign w:val="top"/>
          </w:tcPr>
          <w:p>
            <w:pPr>
              <w:spacing w:after="30"/>
            </w:pPr>
            <w:r>
              <w:rPr>
                <w:rFonts w:ascii="Aptos" w:hAnsi="Aptos"/>
                <w:color w:val="232D38"/>
                <w:sz w:val="12"/>
              </w:rPr>
              <w:t>OD-010</w:t>
            </w:r>
          </w:p>
        </w:tc>
        <w:tc>
          <w:tcPr>
            <w:tcW w:type="dxa" w:w="1999"/>
            <w:tcMar>
              <w:top w:w="80" w:type="dxa"/>
              <w:start w:w="90" w:type="dxa"/>
              <w:bottom w:w="80" w:type="dxa"/>
              <w:end w:w="90" w:type="dxa"/>
            </w:tcMar>
            <w:vAlign w:val="top"/>
          </w:tcPr>
          <w:p>
            <w:pPr>
              <w:spacing w:after="30"/>
            </w:pPr>
            <w:r>
              <w:rPr>
                <w:rFonts w:ascii="Aptos" w:hAnsi="Aptos"/>
                <w:color w:val="232D38"/>
                <w:sz w:val="12"/>
              </w:rPr>
              <w:t>Are Prompt 62–69 original folders recoverable anywhere beyond the last-known recovery output?</w:t>
            </w:r>
          </w:p>
        </w:tc>
        <w:tc>
          <w:tcPr>
            <w:tcW w:type="dxa" w:w="1999"/>
            <w:tcMar>
              <w:top w:w="80" w:type="dxa"/>
              <w:start w:w="90" w:type="dxa"/>
              <w:bottom w:w="80" w:type="dxa"/>
              <w:end w:w="90" w:type="dxa"/>
            </w:tcMar>
            <w:vAlign w:val="top"/>
          </w:tcPr>
          <w:p>
            <w:pPr>
              <w:spacing w:after="30"/>
            </w:pPr>
            <w:r>
              <w:rPr>
                <w:rFonts w:ascii="Aptos" w:hAnsi="Aptos"/>
                <w:color w:val="232D38"/>
                <w:sz w:val="12"/>
              </w:rPr>
              <w:t>MISSING/RECONSTRUCTED label; never relabel reconstructed prompts as original.</w:t>
            </w:r>
          </w:p>
        </w:tc>
        <w:tc>
          <w:tcPr>
            <w:tcW w:type="dxa" w:w="1999"/>
            <w:tcMar>
              <w:top w:w="80" w:type="dxa"/>
              <w:start w:w="90" w:type="dxa"/>
              <w:bottom w:w="80" w:type="dxa"/>
              <w:end w:w="90" w:type="dxa"/>
            </w:tcMar>
            <w:vAlign w:val="top"/>
          </w:tcPr>
          <w:p>
            <w:pPr>
              <w:spacing w:after="30"/>
            </w:pPr>
            <w:r>
              <w:rPr>
                <w:rFonts w:ascii="Aptos" w:hAnsi="Aptos"/>
                <w:color w:val="232D38"/>
                <w:sz w:val="12"/>
              </w:rPr>
              <w:t>Search inventory across Git refs/objects, platform archive, branches/tags/reflogs/stashes/backups and artifact hashes.</w:t>
            </w:r>
          </w:p>
        </w:tc>
        <w:tc>
          <w:tcPr>
            <w:tcW w:type="dxa" w:w="1999"/>
            <w:tcMar>
              <w:top w:w="80" w:type="dxa"/>
              <w:start w:w="90" w:type="dxa"/>
              <w:bottom w:w="80" w:type="dxa"/>
              <w:end w:w="90" w:type="dxa"/>
            </w:tcMar>
            <w:vAlign w:val="top"/>
          </w:tcPr>
          <w:p>
            <w:pPr>
              <w:spacing w:after="30"/>
            </w:pPr>
            <w:r>
              <w:rPr>
                <w:rFonts w:ascii="Aptos" w:hAnsi="Aptos"/>
                <w:color w:val="232D38"/>
                <w:sz w:val="12"/>
              </w:rPr>
              <w:t>Recovery owner</w:t>
            </w:r>
          </w:p>
        </w:tc>
      </w:tr>
      <w:tr>
        <w:trPr>
          <w:cantSplit/>
        </w:trPr>
        <w:tc>
          <w:tcPr>
            <w:tcW w:type="dxa" w:w="1999"/>
            <w:tcMar>
              <w:top w:w="80" w:type="dxa"/>
              <w:start w:w="90" w:type="dxa"/>
              <w:bottom w:w="80" w:type="dxa"/>
              <w:end w:w="90" w:type="dxa"/>
            </w:tcMar>
            <w:vAlign w:val="top"/>
            <w:shd w:fill="F7F9FB"/>
          </w:tcPr>
          <w:p>
            <w:pPr>
              <w:spacing w:after="30"/>
            </w:pPr>
            <w:r>
              <w:rPr>
                <w:rFonts w:ascii="Aptos" w:hAnsi="Aptos"/>
                <w:color w:val="232D38"/>
                <w:sz w:val="12"/>
              </w:rPr>
              <w:t>OD-011</w:t>
            </w:r>
          </w:p>
        </w:tc>
        <w:tc>
          <w:tcPr>
            <w:tcW w:type="dxa" w:w="1999"/>
            <w:tcMar>
              <w:top w:w="80" w:type="dxa"/>
              <w:start w:w="90" w:type="dxa"/>
              <w:bottom w:w="80" w:type="dxa"/>
              <w:end w:w="90" w:type="dxa"/>
            </w:tcMar>
            <w:vAlign w:val="top"/>
            <w:shd w:fill="F7F9FB"/>
          </w:tcPr>
          <w:p>
            <w:pPr>
              <w:spacing w:after="30"/>
            </w:pPr>
            <w:r>
              <w:rPr>
                <w:rFonts w:ascii="Aptos" w:hAnsi="Aptos"/>
                <w:color w:val="232D38"/>
                <w:sz w:val="12"/>
              </w:rPr>
              <w:t>What tolerance, cutoff and exception rules apply to each reconciliation class?</w:t>
            </w:r>
          </w:p>
        </w:tc>
        <w:tc>
          <w:tcPr>
            <w:tcW w:type="dxa" w:w="1999"/>
            <w:tcMar>
              <w:top w:w="80" w:type="dxa"/>
              <w:start w:w="90" w:type="dxa"/>
              <w:bottom w:w="80" w:type="dxa"/>
              <w:end w:w="90" w:type="dxa"/>
            </w:tcMar>
            <w:vAlign w:val="top"/>
            <w:shd w:fill="F7F9FB"/>
          </w:tcPr>
          <w:p>
            <w:pPr>
              <w:spacing w:after="30"/>
            </w:pPr>
            <w:r>
              <w:rPr>
                <w:rFonts w:ascii="Aptos" w:hAnsi="Aptos"/>
                <w:color w:val="232D38"/>
                <w:sz w:val="12"/>
              </w:rPr>
              <w:t>Unexplained mismatch blocks affected closure.</w:t>
            </w:r>
          </w:p>
        </w:tc>
        <w:tc>
          <w:tcPr>
            <w:tcW w:type="dxa" w:w="1999"/>
            <w:tcMar>
              <w:top w:w="80" w:type="dxa"/>
              <w:start w:w="90" w:type="dxa"/>
              <w:bottom w:w="80" w:type="dxa"/>
              <w:end w:w="90" w:type="dxa"/>
            </w:tcMar>
            <w:vAlign w:val="top"/>
            <w:shd w:fill="F7F9FB"/>
          </w:tcPr>
          <w:p>
            <w:pPr>
              <w:spacing w:after="30"/>
            </w:pPr>
            <w:r>
              <w:rPr>
                <w:rFonts w:ascii="Aptos" w:hAnsi="Aptos"/>
                <w:color w:val="232D38"/>
                <w:sz w:val="12"/>
              </w:rPr>
              <w:t>Finance/operations/risk-approved versioned class rules and adversarial tests.</w:t>
            </w:r>
          </w:p>
        </w:tc>
        <w:tc>
          <w:tcPr>
            <w:tcW w:type="dxa" w:w="1999"/>
            <w:tcMar>
              <w:top w:w="80" w:type="dxa"/>
              <w:start w:w="90" w:type="dxa"/>
              <w:bottom w:w="80" w:type="dxa"/>
              <w:end w:w="90" w:type="dxa"/>
            </w:tcMar>
            <w:vAlign w:val="top"/>
            <w:shd w:fill="F7F9FB"/>
          </w:tcPr>
          <w:p>
            <w:pPr>
              <w:spacing w:after="30"/>
            </w:pPr>
            <w:r>
              <w:rPr>
                <w:rFonts w:ascii="Aptos" w:hAnsi="Aptos"/>
                <w:color w:val="232D38"/>
                <w:sz w:val="12"/>
              </w:rPr>
              <w:t>Treasury/finance + risk</w:t>
            </w:r>
          </w:p>
        </w:tc>
      </w:tr>
      <w:tr>
        <w:trPr>
          <w:cantSplit/>
        </w:trPr>
        <w:tc>
          <w:tcPr>
            <w:tcW w:type="dxa" w:w="1999"/>
            <w:tcMar>
              <w:top w:w="80" w:type="dxa"/>
              <w:start w:w="90" w:type="dxa"/>
              <w:bottom w:w="80" w:type="dxa"/>
              <w:end w:w="90" w:type="dxa"/>
            </w:tcMar>
            <w:vAlign w:val="top"/>
          </w:tcPr>
          <w:p>
            <w:pPr>
              <w:spacing w:after="30"/>
            </w:pPr>
            <w:r>
              <w:rPr>
                <w:rFonts w:ascii="Aptos" w:hAnsi="Aptos"/>
                <w:color w:val="232D38"/>
                <w:sz w:val="12"/>
              </w:rPr>
              <w:t>OD-012</w:t>
            </w:r>
          </w:p>
        </w:tc>
        <w:tc>
          <w:tcPr>
            <w:tcW w:type="dxa" w:w="1999"/>
            <w:tcMar>
              <w:top w:w="80" w:type="dxa"/>
              <w:start w:w="90" w:type="dxa"/>
              <w:bottom w:w="80" w:type="dxa"/>
              <w:end w:w="90" w:type="dxa"/>
            </w:tcMar>
            <w:vAlign w:val="top"/>
          </w:tcPr>
          <w:p>
            <w:pPr>
              <w:spacing w:after="30"/>
            </w:pPr>
            <w:r>
              <w:rPr>
                <w:rFonts w:ascii="Aptos" w:hAnsi="Aptos"/>
                <w:color w:val="232D38"/>
                <w:sz w:val="12"/>
              </w:rPr>
              <w:t>What insurance/risk-transfer cover is obtainable for the exact activity?</w:t>
            </w:r>
          </w:p>
        </w:tc>
        <w:tc>
          <w:tcPr>
            <w:tcW w:type="dxa" w:w="1999"/>
            <w:tcMar>
              <w:top w:w="80" w:type="dxa"/>
              <w:start w:w="90" w:type="dxa"/>
              <w:bottom w:w="80" w:type="dxa"/>
              <w:end w:w="90" w:type="dxa"/>
            </w:tcMar>
            <w:vAlign w:val="top"/>
          </w:tcPr>
          <w:p>
            <w:pPr>
              <w:spacing w:after="30"/>
            </w:pPr>
            <w:r>
              <w:rPr>
                <w:rFonts w:ascii="Aptos" w:hAnsi="Aptos"/>
                <w:color w:val="232D38"/>
                <w:sz w:val="12"/>
              </w:rPr>
              <w:t>No “insured” claim.</w:t>
            </w:r>
          </w:p>
        </w:tc>
        <w:tc>
          <w:tcPr>
            <w:tcW w:type="dxa" w:w="1999"/>
            <w:tcMar>
              <w:top w:w="80" w:type="dxa"/>
              <w:start w:w="90" w:type="dxa"/>
              <w:bottom w:w="80" w:type="dxa"/>
              <w:end w:w="90" w:type="dxa"/>
            </w:tcMar>
            <w:vAlign w:val="top"/>
          </w:tcPr>
          <w:p>
            <w:pPr>
              <w:spacing w:after="30"/>
            </w:pPr>
            <w:r>
              <w:rPr>
                <w:rFonts w:ascii="Aptos" w:hAnsi="Aptos"/>
                <w:color w:val="232D38"/>
                <w:sz w:val="12"/>
              </w:rPr>
              <w:t>Broker quotes/terms, reviewed exclusions and effective policy/binder for named entity/scope if purchased.</w:t>
            </w:r>
          </w:p>
        </w:tc>
        <w:tc>
          <w:tcPr>
            <w:tcW w:type="dxa" w:w="1999"/>
            <w:tcMar>
              <w:top w:w="80" w:type="dxa"/>
              <w:start w:w="90" w:type="dxa"/>
              <w:bottom w:w="80" w:type="dxa"/>
              <w:end w:w="90" w:type="dxa"/>
            </w:tcMar>
            <w:vAlign w:val="top"/>
          </w:tcPr>
          <w:p>
            <w:pPr>
              <w:spacing w:after="30"/>
            </w:pPr>
            <w:r>
              <w:rPr>
                <w:rFonts w:ascii="Aptos" w:hAnsi="Aptos"/>
                <w:color w:val="232D38"/>
                <w:sz w:val="12"/>
              </w:rPr>
              <w:t>Risk/legal owner</w:t>
            </w:r>
          </w:p>
        </w:tc>
      </w:tr>
      <w:tr>
        <w:trPr>
          <w:cantSplit/>
        </w:trPr>
        <w:tc>
          <w:tcPr>
            <w:tcW w:type="dxa" w:w="1999"/>
            <w:tcMar>
              <w:top w:w="80" w:type="dxa"/>
              <w:start w:w="90" w:type="dxa"/>
              <w:bottom w:w="80" w:type="dxa"/>
              <w:end w:w="90" w:type="dxa"/>
            </w:tcMar>
            <w:vAlign w:val="top"/>
            <w:shd w:fill="F7F9FB"/>
          </w:tcPr>
          <w:p>
            <w:pPr>
              <w:spacing w:after="30"/>
            </w:pPr>
            <w:r>
              <w:rPr>
                <w:rFonts w:ascii="Aptos" w:hAnsi="Aptos"/>
                <w:color w:val="232D38"/>
                <w:sz w:val="12"/>
              </w:rPr>
              <w:t>OD-013</w:t>
            </w:r>
          </w:p>
        </w:tc>
        <w:tc>
          <w:tcPr>
            <w:tcW w:type="dxa" w:w="1999"/>
            <w:tcMar>
              <w:top w:w="80" w:type="dxa"/>
              <w:start w:w="90" w:type="dxa"/>
              <w:bottom w:w="80" w:type="dxa"/>
              <w:end w:w="90" w:type="dxa"/>
            </w:tcMar>
            <w:vAlign w:val="top"/>
            <w:shd w:fill="F7F9FB"/>
          </w:tcPr>
          <w:p>
            <w:pPr>
              <w:spacing w:after="30"/>
            </w:pPr>
            <w:r>
              <w:rPr>
                <w:rFonts w:ascii="Aptos" w:hAnsi="Aptos"/>
                <w:color w:val="232D38"/>
                <w:sz w:val="12"/>
              </w:rPr>
              <w:t>What pricing and ROI survive actual customer baseline and integration TCO?</w:t>
            </w:r>
          </w:p>
        </w:tc>
        <w:tc>
          <w:tcPr>
            <w:tcW w:type="dxa" w:w="1999"/>
            <w:tcMar>
              <w:top w:w="80" w:type="dxa"/>
              <w:start w:w="90" w:type="dxa"/>
              <w:bottom w:w="80" w:type="dxa"/>
              <w:end w:w="90" w:type="dxa"/>
            </w:tcMar>
            <w:vAlign w:val="top"/>
            <w:shd w:fill="F7F9FB"/>
          </w:tcPr>
          <w:p>
            <w:pPr>
              <w:spacing w:after="30"/>
            </w:pPr>
            <w:r>
              <w:rPr>
                <w:rFonts w:ascii="Aptos" w:hAnsi="Aptos"/>
                <w:color w:val="232D38"/>
                <w:sz w:val="12"/>
              </w:rPr>
              <w:t>Pricing/ROI are hypotheses only.</w:t>
            </w:r>
          </w:p>
        </w:tc>
        <w:tc>
          <w:tcPr>
            <w:tcW w:type="dxa" w:w="1999"/>
            <w:tcMar>
              <w:top w:w="80" w:type="dxa"/>
              <w:start w:w="90" w:type="dxa"/>
              <w:bottom w:w="80" w:type="dxa"/>
              <w:end w:w="90" w:type="dxa"/>
            </w:tcMar>
            <w:vAlign w:val="top"/>
            <w:shd w:fill="F7F9FB"/>
          </w:tcPr>
          <w:p>
            <w:pPr>
              <w:spacing w:after="30"/>
            </w:pPr>
            <w:r>
              <w:rPr>
                <w:rFonts w:ascii="Aptos" w:hAnsi="Aptos"/>
                <w:color w:val="232D38"/>
                <w:sz w:val="12"/>
              </w:rPr>
              <w:t>Customer-approved baseline, data/method, sensitivity, total cost and qualified buyer feedback.</w:t>
            </w:r>
          </w:p>
        </w:tc>
        <w:tc>
          <w:tcPr>
            <w:tcW w:type="dxa" w:w="1999"/>
            <w:tcMar>
              <w:top w:w="80" w:type="dxa"/>
              <w:start w:w="90" w:type="dxa"/>
              <w:bottom w:w="80" w:type="dxa"/>
              <w:end w:w="90" w:type="dxa"/>
            </w:tcMar>
            <w:vAlign w:val="top"/>
            <w:shd w:fill="F7F9FB"/>
          </w:tcPr>
          <w:p>
            <w:pPr>
              <w:spacing w:after="30"/>
            </w:pPr>
            <w:r>
              <w:rPr>
                <w:rFonts w:ascii="Aptos" w:hAnsi="Aptos"/>
                <w:color w:val="232D38"/>
                <w:sz w:val="12"/>
              </w:rPr>
              <w:t>Commercial/finance owner</w:t>
            </w:r>
          </w:p>
        </w:tc>
      </w:tr>
      <w:tr>
        <w:trPr>
          <w:cantSplit/>
        </w:trPr>
        <w:tc>
          <w:tcPr>
            <w:tcW w:type="dxa" w:w="1999"/>
            <w:tcMar>
              <w:top w:w="80" w:type="dxa"/>
              <w:start w:w="90" w:type="dxa"/>
              <w:bottom w:w="80" w:type="dxa"/>
              <w:end w:w="90" w:type="dxa"/>
            </w:tcMar>
            <w:vAlign w:val="top"/>
          </w:tcPr>
          <w:p>
            <w:pPr>
              <w:spacing w:after="30"/>
            </w:pPr>
            <w:r>
              <w:rPr>
                <w:rFonts w:ascii="Aptos" w:hAnsi="Aptos"/>
                <w:color w:val="232D38"/>
                <w:sz w:val="12"/>
              </w:rPr>
              <w:t>OD-014</w:t>
            </w:r>
          </w:p>
        </w:tc>
        <w:tc>
          <w:tcPr>
            <w:tcW w:type="dxa" w:w="1999"/>
            <w:tcMar>
              <w:top w:w="80" w:type="dxa"/>
              <w:start w:w="90" w:type="dxa"/>
              <w:bottom w:w="80" w:type="dxa"/>
              <w:end w:w="90" w:type="dxa"/>
            </w:tcMar>
            <w:vAlign w:val="top"/>
          </w:tcPr>
          <w:p>
            <w:pPr>
              <w:spacing w:after="30"/>
            </w:pPr>
            <w:r>
              <w:rPr>
                <w:rFonts w:ascii="Aptos" w:hAnsi="Aptos"/>
                <w:color w:val="232D38"/>
                <w:sz w:val="12"/>
              </w:rPr>
              <w:t>What independent assurance scope is essential before a controlled pilot/production review?</w:t>
            </w:r>
          </w:p>
        </w:tc>
        <w:tc>
          <w:tcPr>
            <w:tcW w:type="dxa" w:w="1999"/>
            <w:tcMar>
              <w:top w:w="80" w:type="dxa"/>
              <w:start w:w="90" w:type="dxa"/>
              <w:bottom w:w="80" w:type="dxa"/>
              <w:end w:w="90" w:type="dxa"/>
            </w:tcMar>
            <w:vAlign w:val="top"/>
          </w:tcPr>
          <w:p>
            <w:pPr>
              <w:spacing w:after="30"/>
            </w:pPr>
            <w:r>
              <w:rPr>
                <w:rFonts w:ascii="Aptos" w:hAnsi="Aptos"/>
                <w:color w:val="232D38"/>
                <w:sz w:val="12"/>
              </w:rPr>
              <w:t>No independent assurance claim.</w:t>
            </w:r>
          </w:p>
        </w:tc>
        <w:tc>
          <w:tcPr>
            <w:tcW w:type="dxa" w:w="1999"/>
            <w:tcMar>
              <w:top w:w="80" w:type="dxa"/>
              <w:start w:w="90" w:type="dxa"/>
              <w:bottom w:w="80" w:type="dxa"/>
              <w:end w:w="90" w:type="dxa"/>
            </w:tcMar>
            <w:vAlign w:val="top"/>
          </w:tcPr>
          <w:p>
            <w:pPr>
              <w:spacing w:after="30"/>
            </w:pPr>
            <w:r>
              <w:rPr>
                <w:rFonts w:ascii="Aptos" w:hAnsi="Aptos"/>
                <w:color w:val="232D38"/>
                <w:sz w:val="12"/>
              </w:rPr>
              <w:t>Independent assessor scope, independence checks, report, remediation evidence and retest.</w:t>
            </w:r>
          </w:p>
        </w:tc>
        <w:tc>
          <w:tcPr>
            <w:tcW w:type="dxa" w:w="1999"/>
            <w:tcMar>
              <w:top w:w="80" w:type="dxa"/>
              <w:start w:w="90" w:type="dxa"/>
              <w:bottom w:w="80" w:type="dxa"/>
              <w:end w:w="90" w:type="dxa"/>
            </w:tcMar>
            <w:vAlign w:val="top"/>
          </w:tcPr>
          <w:p>
            <w:pPr>
              <w:spacing w:after="30"/>
            </w:pPr>
            <w:r>
              <w:rPr>
                <w:rFonts w:ascii="Aptos" w:hAnsi="Aptos"/>
                <w:color w:val="232D38"/>
                <w:sz w:val="12"/>
              </w:rPr>
              <w:t>Risk/security + independent assessor</w:t>
            </w:r>
          </w:p>
        </w:tc>
      </w:tr>
      <w:tr>
        <w:trPr>
          <w:cantSplit/>
        </w:trPr>
        <w:tc>
          <w:tcPr>
            <w:tcW w:type="dxa" w:w="1999"/>
            <w:tcMar>
              <w:top w:w="80" w:type="dxa"/>
              <w:start w:w="90" w:type="dxa"/>
              <w:bottom w:w="80" w:type="dxa"/>
              <w:end w:w="90" w:type="dxa"/>
            </w:tcMar>
            <w:vAlign w:val="top"/>
            <w:shd w:fill="F7F9FB"/>
          </w:tcPr>
          <w:p>
            <w:pPr>
              <w:spacing w:after="30"/>
            </w:pPr>
            <w:r>
              <w:rPr>
                <w:rFonts w:ascii="Aptos" w:hAnsi="Aptos"/>
                <w:color w:val="232D38"/>
                <w:sz w:val="12"/>
              </w:rPr>
              <w:t>OD-015</w:t>
            </w:r>
          </w:p>
        </w:tc>
        <w:tc>
          <w:tcPr>
            <w:tcW w:type="dxa" w:w="1999"/>
            <w:tcMar>
              <w:top w:w="80" w:type="dxa"/>
              <w:start w:w="90" w:type="dxa"/>
              <w:bottom w:w="80" w:type="dxa"/>
              <w:end w:w="90" w:type="dxa"/>
            </w:tcMar>
            <w:vAlign w:val="top"/>
            <w:shd w:fill="F7F9FB"/>
          </w:tcPr>
          <w:p>
            <w:pPr>
              <w:spacing w:after="30"/>
            </w:pPr>
            <w:r>
              <w:rPr>
                <w:rFonts w:ascii="Aptos" w:hAnsi="Aptos"/>
                <w:color w:val="232D38"/>
                <w:sz w:val="12"/>
              </w:rPr>
              <w:t>What are approved model, provider spend and operational budget ceilings?</w:t>
            </w:r>
          </w:p>
        </w:tc>
        <w:tc>
          <w:tcPr>
            <w:tcW w:type="dxa" w:w="1999"/>
            <w:tcMar>
              <w:top w:w="80" w:type="dxa"/>
              <w:start w:w="90" w:type="dxa"/>
              <w:bottom w:w="80" w:type="dxa"/>
              <w:end w:w="90" w:type="dxa"/>
            </w:tcMar>
            <w:vAlign w:val="top"/>
            <w:shd w:fill="F7F9FB"/>
          </w:tcPr>
          <w:p>
            <w:pPr>
              <w:spacing w:after="30"/>
            </w:pPr>
            <w:r>
              <w:rPr>
                <w:rFonts w:ascii="Aptos" w:hAnsi="Aptos"/>
                <w:color w:val="232D38"/>
                <w:sz w:val="12"/>
              </w:rPr>
              <w:t>No paid tier/billing change without explicit approval.</w:t>
            </w:r>
          </w:p>
        </w:tc>
        <w:tc>
          <w:tcPr>
            <w:tcW w:type="dxa" w:w="1999"/>
            <w:tcMar>
              <w:top w:w="80" w:type="dxa"/>
              <w:start w:w="90" w:type="dxa"/>
              <w:bottom w:w="80" w:type="dxa"/>
              <w:end w:w="90" w:type="dxa"/>
            </w:tcMar>
            <w:vAlign w:val="top"/>
            <w:shd w:fill="F7F9FB"/>
          </w:tcPr>
          <w:p>
            <w:pPr>
              <w:spacing w:after="30"/>
            </w:pPr>
            <w:r>
              <w:rPr>
                <w:rFonts w:ascii="Aptos" w:hAnsi="Aptos"/>
                <w:color w:val="232D38"/>
                <w:sz w:val="12"/>
              </w:rPr>
              <w:t>Owner-approved budget/cost guardrails, provider plan facts, alerts, cancellation path and review date.</w:t>
            </w:r>
          </w:p>
        </w:tc>
        <w:tc>
          <w:tcPr>
            <w:tcW w:type="dxa" w:w="1999"/>
            <w:tcMar>
              <w:top w:w="80" w:type="dxa"/>
              <w:start w:w="90" w:type="dxa"/>
              <w:bottom w:w="80" w:type="dxa"/>
              <w:end w:w="90" w:type="dxa"/>
            </w:tcMar>
            <w:vAlign w:val="top"/>
            <w:shd w:fill="F7F9FB"/>
          </w:tcPr>
          <w:p>
            <w:pPr>
              <w:spacing w:after="30"/>
            </w:pPr>
            <w:r>
              <w:rPr>
                <w:rFonts w:ascii="Aptos" w:hAnsi="Aptos"/>
                <w:color w:val="232D38"/>
                <w:sz w:val="12"/>
              </w:rPr>
              <w:t>Owner / finance / platform ops</w:t>
            </w:r>
          </w:p>
        </w:tc>
      </w:tr>
    </w:tbl>
    <w:p>
      <w:pPr>
        <w:spacing w:after="0"/>
      </w:pPr>
    </w:p>
    <w:p>
      <w:pPr>
        <w:pStyle w:val="Heading1"/>
      </w:pPr>
      <w:r>
        <w:t>APPENDIX A — Crosswalk to Prompts 1–77</w:t>
      </w:r>
    </w:p>
    <w:p>
      <w:r>
        <w:rPr>
          <w:i w:val="0"/>
        </w:rPr>
        <w:t>The crosswalk preserves the retained sequence; it maps workstreams into this blueprint and records recovery confidence. It does not claim that original wording for all 77 prompts was recovered verbatim.</w:t>
      </w:r>
    </w:p>
    <w:tbl>
      <w:tblPr>
        <w:tblStyle w:val="TableGrid"/>
        <w:tblW w:type="auto" w:w="0"/>
        <w:jc w:val="center"/>
        <w:tblLook w:firstColumn="1" w:firstRow="1" w:lastColumn="0" w:lastRow="0" w:noHBand="0" w:noVBand="1" w:val="04A0"/>
      </w:tblPr>
      <w:tblGrid>
        <w:gridCol w:w="2498"/>
        <w:gridCol w:w="2498"/>
        <w:gridCol w:w="2498"/>
        <w:gridCol w:w="2498"/>
      </w:tblGrid>
      <w:tr>
        <w:trPr>
          <w:tblHeader w:val="true"/>
          <w:cantSplit/>
        </w:trPr>
        <w:tc>
          <w:tcPr>
            <w:tcW w:type="dxa" w:w="1008"/>
            <w:shd w:fill="07111F"/>
            <w:tcMar>
              <w:top w:w="80" w:type="dxa"/>
              <w:start w:w="90" w:type="dxa"/>
              <w:bottom w:w="80" w:type="dxa"/>
              <w:end w:w="90" w:type="dxa"/>
            </w:tcMar>
            <w:vAlign w:val="center"/>
          </w:tcPr>
          <w:p>
            <w:r>
              <w:rPr>
                <w:rFonts w:ascii="Aptos" w:hAnsi="Aptos"/>
                <w:b/>
                <w:color w:val="FFFFFF"/>
                <w:sz w:val="13"/>
              </w:rPr>
              <w:t>Prompt(s)</w:t>
            </w:r>
          </w:p>
        </w:tc>
        <w:tc>
          <w:tcPr>
            <w:tcW w:type="dxa" w:w="3816"/>
            <w:shd w:fill="07111F"/>
            <w:tcMar>
              <w:top w:w="80" w:type="dxa"/>
              <w:start w:w="90" w:type="dxa"/>
              <w:bottom w:w="80" w:type="dxa"/>
              <w:end w:w="90" w:type="dxa"/>
            </w:tcMar>
            <w:vAlign w:val="center"/>
          </w:tcPr>
          <w:p>
            <w:r>
              <w:rPr>
                <w:rFonts w:ascii="Aptos" w:hAnsi="Aptos"/>
                <w:b/>
                <w:color w:val="FFFFFF"/>
                <w:sz w:val="13"/>
              </w:rPr>
              <w:t>Retained theme/title</w:t>
            </w:r>
          </w:p>
        </w:tc>
        <w:tc>
          <w:tcPr>
            <w:tcW w:type="dxa" w:w="2232"/>
            <w:shd w:fill="07111F"/>
            <w:tcMar>
              <w:top w:w="80" w:type="dxa"/>
              <w:start w:w="90" w:type="dxa"/>
              <w:bottom w:w="80" w:type="dxa"/>
              <w:end w:w="90" w:type="dxa"/>
            </w:tcMar>
            <w:vAlign w:val="center"/>
          </w:tcPr>
          <w:p>
            <w:r>
              <w:rPr>
                <w:rFonts w:ascii="Aptos" w:hAnsi="Aptos"/>
                <w:b/>
                <w:color w:val="FFFFFF"/>
                <w:sz w:val="13"/>
              </w:rPr>
              <w:t>Blueprint area</w:t>
            </w:r>
          </w:p>
        </w:tc>
        <w:tc>
          <w:tcPr>
            <w:tcW w:type="dxa" w:w="3456"/>
            <w:shd w:fill="07111F"/>
            <w:tcMar>
              <w:top w:w="80" w:type="dxa"/>
              <w:start w:w="90" w:type="dxa"/>
              <w:bottom w:w="80" w:type="dxa"/>
              <w:end w:w="90" w:type="dxa"/>
            </w:tcMar>
            <w:vAlign w:val="center"/>
          </w:tcPr>
          <w:p>
            <w:r>
              <w:rPr>
                <w:rFonts w:ascii="Aptos" w:hAnsi="Aptos"/>
                <w:b/>
                <w:color w:val="FFFFFF"/>
                <w:sz w:val="13"/>
              </w:rPr>
              <w:t>Recovery note</w:t>
            </w:r>
          </w:p>
        </w:tc>
      </w:tr>
      <w:tr>
        <w:trPr>
          <w:cantSplit/>
        </w:trPr>
        <w:tc>
          <w:tcPr>
            <w:tcW w:type="dxa" w:w="2498"/>
            <w:tcMar>
              <w:top w:w="80" w:type="dxa"/>
              <w:start w:w="90" w:type="dxa"/>
              <w:bottom w:w="80" w:type="dxa"/>
              <w:end w:w="90" w:type="dxa"/>
            </w:tcMar>
            <w:vAlign w:val="top"/>
            <w:shd w:fill="F7F9FB"/>
          </w:tcPr>
          <w:p>
            <w:pPr>
              <w:spacing w:after="30"/>
            </w:pPr>
            <w:r>
              <w:rPr>
                <w:rFonts w:ascii="Aptos" w:hAnsi="Aptos"/>
                <w:color w:val="232D38"/>
                <w:sz w:val="13"/>
              </w:rPr>
              <w:t>1–3</w:t>
            </w:r>
          </w:p>
        </w:tc>
        <w:tc>
          <w:tcPr>
            <w:tcW w:type="dxa" w:w="2498"/>
            <w:tcMar>
              <w:top w:w="80" w:type="dxa"/>
              <w:start w:w="90" w:type="dxa"/>
              <w:bottom w:w="80" w:type="dxa"/>
              <w:end w:w="90" w:type="dxa"/>
            </w:tcMar>
            <w:vAlign w:val="top"/>
            <w:shd w:fill="F7F9FB"/>
          </w:tcPr>
          <w:p>
            <w:pPr>
              <w:spacing w:after="30"/>
            </w:pPr>
            <w:r>
              <w:rPr>
                <w:rFonts w:ascii="Aptos" w:hAnsi="Aptos"/>
                <w:color w:val="232D38"/>
                <w:sz w:val="13"/>
              </w:rPr>
              <w:t>Controlled remediation; authority model; BM-15/BM-16 identity</w:t>
            </w:r>
          </w:p>
        </w:tc>
        <w:tc>
          <w:tcPr>
            <w:tcW w:type="dxa" w:w="2498"/>
            <w:tcMar>
              <w:top w:w="80" w:type="dxa"/>
              <w:start w:w="90" w:type="dxa"/>
              <w:bottom w:w="80" w:type="dxa"/>
              <w:end w:w="90" w:type="dxa"/>
            </w:tcMar>
            <w:vAlign w:val="top"/>
            <w:shd w:fill="F7F9FB"/>
          </w:tcPr>
          <w:p>
            <w:pPr>
              <w:spacing w:after="30"/>
            </w:pPr>
            <w:r>
              <w:rPr>
                <w:rFonts w:ascii="Aptos" w:hAnsi="Aptos"/>
                <w:color w:val="232D38"/>
                <w:sz w:val="13"/>
              </w:rPr>
              <w:t>Parts I, X, XI</w:t>
            </w:r>
          </w:p>
        </w:tc>
        <w:tc>
          <w:tcPr>
            <w:tcW w:type="dxa" w:w="2498"/>
            <w:tcMar>
              <w:top w:w="80" w:type="dxa"/>
              <w:start w:w="90" w:type="dxa"/>
              <w:bottom w:w="80" w:type="dxa"/>
              <w:end w:w="90" w:type="dxa"/>
            </w:tcMar>
            <w:vAlign w:val="top"/>
            <w:shd w:fill="F7F9FB"/>
          </w:tcPr>
          <w:p>
            <w:pPr>
              <w:spacing w:after="30"/>
            </w:pPr>
            <w:r>
              <w:rPr>
                <w:rFonts w:ascii="Aptos" w:hAnsi="Aptos"/>
                <w:color w:val="232D38"/>
                <w:sz w:val="13"/>
              </w:rPr>
              <w:t>Exact historical wording incomplete.</w:t>
            </w:r>
          </w:p>
        </w:tc>
      </w:tr>
      <w:tr>
        <w:trPr>
          <w:cantSplit/>
        </w:trPr>
        <w:tc>
          <w:tcPr>
            <w:tcW w:type="dxa" w:w="2498"/>
            <w:tcMar>
              <w:top w:w="80" w:type="dxa"/>
              <w:start w:w="90" w:type="dxa"/>
              <w:bottom w:w="80" w:type="dxa"/>
              <w:end w:w="90" w:type="dxa"/>
            </w:tcMar>
            <w:vAlign w:val="top"/>
          </w:tcPr>
          <w:p>
            <w:pPr>
              <w:spacing w:after="30"/>
            </w:pPr>
            <w:r>
              <w:rPr>
                <w:rFonts w:ascii="Aptos" w:hAnsi="Aptos"/>
                <w:color w:val="232D38"/>
                <w:sz w:val="13"/>
              </w:rPr>
              <w:t>4–8</w:t>
            </w:r>
          </w:p>
        </w:tc>
        <w:tc>
          <w:tcPr>
            <w:tcW w:type="dxa" w:w="2498"/>
            <w:tcMar>
              <w:top w:w="80" w:type="dxa"/>
              <w:start w:w="90" w:type="dxa"/>
              <w:bottom w:w="80" w:type="dxa"/>
              <w:end w:w="90" w:type="dxa"/>
            </w:tcMar>
            <w:vAlign w:val="top"/>
          </w:tcPr>
          <w:p>
            <w:pPr>
              <w:spacing w:after="30"/>
            </w:pPr>
            <w:r>
              <w:rPr>
                <w:rFonts w:ascii="Aptos" w:hAnsi="Aptos"/>
                <w:color w:val="232D38"/>
                <w:sz w:val="13"/>
              </w:rPr>
              <w:t>Control-plane decoupling; MTQ definition; backing/risk buffer; liquidity vs resilience; Pilot 1 asset restriction</w:t>
            </w:r>
          </w:p>
        </w:tc>
        <w:tc>
          <w:tcPr>
            <w:tcW w:type="dxa" w:w="2498"/>
            <w:tcMar>
              <w:top w:w="80" w:type="dxa"/>
              <w:start w:w="90" w:type="dxa"/>
              <w:bottom w:w="80" w:type="dxa"/>
              <w:end w:w="90" w:type="dxa"/>
            </w:tcMar>
            <w:vAlign w:val="top"/>
          </w:tcPr>
          <w:p>
            <w:pPr>
              <w:spacing w:after="30"/>
            </w:pPr>
            <w:r>
              <w:rPr>
                <w:rFonts w:ascii="Aptos" w:hAnsi="Aptos"/>
                <w:color w:val="232D38"/>
                <w:sz w:val="13"/>
              </w:rPr>
              <w:t>Parts 0, III, IV</w:t>
            </w:r>
          </w:p>
        </w:tc>
        <w:tc>
          <w:tcPr>
            <w:tcW w:type="dxa" w:w="2498"/>
            <w:tcMar>
              <w:top w:w="80" w:type="dxa"/>
              <w:start w:w="90" w:type="dxa"/>
              <w:bottom w:w="80" w:type="dxa"/>
              <w:end w:w="90" w:type="dxa"/>
            </w:tcMar>
            <w:vAlign w:val="top"/>
          </w:tcPr>
          <w:p>
            <w:pPr>
              <w:spacing w:after="30"/>
            </w:pPr>
            <w:r>
              <w:rPr>
                <w:rFonts w:ascii="Aptos" w:hAnsi="Aptos"/>
                <w:color w:val="232D38"/>
                <w:sz w:val="13"/>
              </w:rPr>
              <w:t>Core reconciled decisions retained.</w:t>
            </w:r>
          </w:p>
        </w:tc>
      </w:tr>
      <w:tr>
        <w:trPr>
          <w:cantSplit/>
        </w:trPr>
        <w:tc>
          <w:tcPr>
            <w:tcW w:type="dxa" w:w="2498"/>
            <w:tcMar>
              <w:top w:w="80" w:type="dxa"/>
              <w:start w:w="90" w:type="dxa"/>
              <w:bottom w:w="80" w:type="dxa"/>
              <w:end w:w="90" w:type="dxa"/>
            </w:tcMar>
            <w:vAlign w:val="top"/>
            <w:shd w:fill="F7F9FB"/>
          </w:tcPr>
          <w:p>
            <w:pPr>
              <w:spacing w:after="30"/>
            </w:pPr>
            <w:r>
              <w:rPr>
                <w:rFonts w:ascii="Aptos" w:hAnsi="Aptos"/>
                <w:color w:val="232D38"/>
                <w:sz w:val="13"/>
              </w:rPr>
              <w:t>9–14</w:t>
            </w:r>
          </w:p>
        </w:tc>
        <w:tc>
          <w:tcPr>
            <w:tcW w:type="dxa" w:w="2498"/>
            <w:tcMar>
              <w:top w:w="80" w:type="dxa"/>
              <w:start w:w="90" w:type="dxa"/>
              <w:bottom w:w="80" w:type="dxa"/>
              <w:end w:w="90" w:type="dxa"/>
            </w:tcMar>
            <w:vAlign w:val="top"/>
            <w:shd w:fill="F7F9FB"/>
          </w:tcPr>
          <w:p>
            <w:pPr>
              <w:spacing w:after="30"/>
            </w:pPr>
            <w:r>
              <w:rPr>
                <w:rFonts w:ascii="Aptos" w:hAnsi="Aptos"/>
                <w:color w:val="232D38"/>
                <w:sz w:val="13"/>
              </w:rPr>
              <w:t>Contracting model; trust domains; finality; evidence; obligation registry; reconciliation</w:t>
            </w:r>
          </w:p>
        </w:tc>
        <w:tc>
          <w:tcPr>
            <w:tcW w:type="dxa" w:w="2498"/>
            <w:tcMar>
              <w:top w:w="80" w:type="dxa"/>
              <w:start w:w="90" w:type="dxa"/>
              <w:bottom w:w="80" w:type="dxa"/>
              <w:end w:w="90" w:type="dxa"/>
            </w:tcMar>
            <w:vAlign w:val="top"/>
            <w:shd w:fill="F7F9FB"/>
          </w:tcPr>
          <w:p>
            <w:pPr>
              <w:spacing w:after="30"/>
            </w:pPr>
            <w:r>
              <w:rPr>
                <w:rFonts w:ascii="Aptos" w:hAnsi="Aptos"/>
                <w:color w:val="232D38"/>
                <w:sz w:val="13"/>
              </w:rPr>
              <w:t>Parts II, IV, V, IX</w:t>
            </w:r>
          </w:p>
        </w:tc>
        <w:tc>
          <w:tcPr>
            <w:tcW w:type="dxa" w:w="2498"/>
            <w:tcMar>
              <w:top w:w="80" w:type="dxa"/>
              <w:start w:w="90" w:type="dxa"/>
              <w:bottom w:w="80" w:type="dxa"/>
              <w:end w:w="90" w:type="dxa"/>
            </w:tcMar>
            <w:vAlign w:val="top"/>
            <w:shd w:fill="F7F9FB"/>
          </w:tcPr>
          <w:p>
            <w:pPr>
              <w:spacing w:after="30"/>
            </w:pPr>
            <w:r>
              <w:rPr>
                <w:rFonts w:ascii="Aptos" w:hAnsi="Aptos"/>
                <w:color w:val="232D38"/>
                <w:sz w:val="13"/>
              </w:rPr>
              <w:t>Core scope retained.</w:t>
            </w:r>
          </w:p>
        </w:tc>
      </w:tr>
      <w:tr>
        <w:trPr>
          <w:cantSplit/>
        </w:trPr>
        <w:tc>
          <w:tcPr>
            <w:tcW w:type="dxa" w:w="2498"/>
            <w:tcMar>
              <w:top w:w="80" w:type="dxa"/>
              <w:start w:w="90" w:type="dxa"/>
              <w:bottom w:w="80" w:type="dxa"/>
              <w:end w:w="90" w:type="dxa"/>
            </w:tcMar>
            <w:vAlign w:val="top"/>
          </w:tcPr>
          <w:p>
            <w:pPr>
              <w:spacing w:after="30"/>
            </w:pPr>
            <w:r>
              <w:rPr>
                <w:rFonts w:ascii="Aptos" w:hAnsi="Aptos"/>
                <w:color w:val="232D38"/>
                <w:sz w:val="13"/>
              </w:rPr>
              <w:t>15–18</w:t>
            </w:r>
          </w:p>
        </w:tc>
        <w:tc>
          <w:tcPr>
            <w:tcW w:type="dxa" w:w="2498"/>
            <w:tcMar>
              <w:top w:w="80" w:type="dxa"/>
              <w:start w:w="90" w:type="dxa"/>
              <w:bottom w:w="80" w:type="dxa"/>
              <w:end w:w="90" w:type="dxa"/>
            </w:tcMar>
            <w:vAlign w:val="top"/>
          </w:tcPr>
          <w:p>
            <w:pPr>
              <w:spacing w:after="30"/>
            </w:pPr>
            <w:r>
              <w:rPr>
                <w:rFonts w:ascii="Aptos" w:hAnsi="Aptos"/>
                <w:color w:val="232D38"/>
                <w:sz w:val="13"/>
              </w:rPr>
              <w:t>CPI; Pilot A/B; bank ROI; evidence gates</w:t>
            </w:r>
          </w:p>
        </w:tc>
        <w:tc>
          <w:tcPr>
            <w:tcW w:type="dxa" w:w="2498"/>
            <w:tcMar>
              <w:top w:w="80" w:type="dxa"/>
              <w:start w:w="90" w:type="dxa"/>
              <w:bottom w:w="80" w:type="dxa"/>
              <w:end w:w="90" w:type="dxa"/>
            </w:tcMar>
            <w:vAlign w:val="top"/>
          </w:tcPr>
          <w:p>
            <w:pPr>
              <w:spacing w:after="30"/>
            </w:pPr>
            <w:r>
              <w:rPr>
                <w:rFonts w:ascii="Aptos" w:hAnsi="Aptos"/>
                <w:color w:val="232D38"/>
                <w:sz w:val="13"/>
              </w:rPr>
              <w:t>Parts VIII, IX, XI</w:t>
            </w:r>
          </w:p>
        </w:tc>
        <w:tc>
          <w:tcPr>
            <w:tcW w:type="dxa" w:w="2498"/>
            <w:tcMar>
              <w:top w:w="80" w:type="dxa"/>
              <w:start w:w="90" w:type="dxa"/>
              <w:bottom w:w="80" w:type="dxa"/>
              <w:end w:w="90" w:type="dxa"/>
            </w:tcMar>
            <w:vAlign w:val="top"/>
          </w:tcPr>
          <w:p>
            <w:pPr>
              <w:spacing w:after="30"/>
            </w:pPr>
            <w:r>
              <w:rPr>
                <w:rFonts w:ascii="Aptos" w:hAnsi="Aptos"/>
                <w:color w:val="232D38"/>
                <w:sz w:val="13"/>
              </w:rPr>
              <w:t>Core scope retained.</w:t>
            </w:r>
          </w:p>
        </w:tc>
      </w:tr>
      <w:tr>
        <w:trPr>
          <w:cantSplit/>
        </w:trPr>
        <w:tc>
          <w:tcPr>
            <w:tcW w:type="dxa" w:w="2498"/>
            <w:tcMar>
              <w:top w:w="80" w:type="dxa"/>
              <w:start w:w="90" w:type="dxa"/>
              <w:bottom w:w="80" w:type="dxa"/>
              <w:end w:w="90" w:type="dxa"/>
            </w:tcMar>
            <w:vAlign w:val="top"/>
            <w:shd w:fill="F7F9FB"/>
          </w:tcPr>
          <w:p>
            <w:pPr>
              <w:spacing w:after="30"/>
            </w:pPr>
            <w:r>
              <w:rPr>
                <w:rFonts w:ascii="Aptos" w:hAnsi="Aptos"/>
                <w:color w:val="232D38"/>
                <w:sz w:val="13"/>
              </w:rPr>
              <w:t>19–24</w:t>
            </w:r>
          </w:p>
        </w:tc>
        <w:tc>
          <w:tcPr>
            <w:tcW w:type="dxa" w:w="2498"/>
            <w:tcMar>
              <w:top w:w="80" w:type="dxa"/>
              <w:start w:w="90" w:type="dxa"/>
              <w:bottom w:w="80" w:type="dxa"/>
              <w:end w:w="90" w:type="dxa"/>
            </w:tcMar>
            <w:vAlign w:val="top"/>
            <w:shd w:fill="F7F9FB"/>
          </w:tcPr>
          <w:p>
            <w:pPr>
              <w:spacing w:after="30"/>
            </w:pPr>
            <w:r>
              <w:rPr>
                <w:rFonts w:ascii="Aptos" w:hAnsi="Aptos"/>
                <w:color w:val="232D38"/>
                <w:sz w:val="13"/>
              </w:rPr>
              <w:t>Institutional docs; regulatory replay; continuity; contradiction scan; adversarial tests; change control</w:t>
            </w:r>
          </w:p>
        </w:tc>
        <w:tc>
          <w:tcPr>
            <w:tcW w:type="dxa" w:w="2498"/>
            <w:tcMar>
              <w:top w:w="80" w:type="dxa"/>
              <w:start w:w="90" w:type="dxa"/>
              <w:bottom w:w="80" w:type="dxa"/>
              <w:end w:w="90" w:type="dxa"/>
            </w:tcMar>
            <w:vAlign w:val="top"/>
            <w:shd w:fill="F7F9FB"/>
          </w:tcPr>
          <w:p>
            <w:pPr>
              <w:spacing w:after="30"/>
            </w:pPr>
            <w:r>
              <w:rPr>
                <w:rFonts w:ascii="Aptos" w:hAnsi="Aptos"/>
                <w:color w:val="232D38"/>
                <w:sz w:val="13"/>
              </w:rPr>
              <w:t>Parts V–VII, X</w:t>
            </w:r>
          </w:p>
        </w:tc>
        <w:tc>
          <w:tcPr>
            <w:tcW w:type="dxa" w:w="2498"/>
            <w:tcMar>
              <w:top w:w="80" w:type="dxa"/>
              <w:start w:w="90" w:type="dxa"/>
              <w:bottom w:w="80" w:type="dxa"/>
              <w:end w:w="90" w:type="dxa"/>
            </w:tcMar>
            <w:vAlign w:val="top"/>
            <w:shd w:fill="F7F9FB"/>
          </w:tcPr>
          <w:p>
            <w:pPr>
              <w:spacing w:after="30"/>
            </w:pPr>
            <w:r>
              <w:rPr>
                <w:rFonts w:ascii="Aptos" w:hAnsi="Aptos"/>
                <w:color w:val="232D38"/>
                <w:sz w:val="13"/>
              </w:rPr>
              <w:t>Core scope retained.</w:t>
            </w:r>
          </w:p>
        </w:tc>
      </w:tr>
      <w:tr>
        <w:trPr>
          <w:cantSplit/>
        </w:trPr>
        <w:tc>
          <w:tcPr>
            <w:tcW w:type="dxa" w:w="2498"/>
            <w:tcMar>
              <w:top w:w="80" w:type="dxa"/>
              <w:start w:w="90" w:type="dxa"/>
              <w:bottom w:w="80" w:type="dxa"/>
              <w:end w:w="90" w:type="dxa"/>
            </w:tcMar>
            <w:vAlign w:val="top"/>
          </w:tcPr>
          <w:p>
            <w:pPr>
              <w:spacing w:after="30"/>
            </w:pPr>
            <w:r>
              <w:rPr>
                <w:rFonts w:ascii="Aptos" w:hAnsi="Aptos"/>
                <w:color w:val="232D38"/>
                <w:sz w:val="13"/>
              </w:rPr>
              <w:t>25–33</w:t>
            </w:r>
          </w:p>
        </w:tc>
        <w:tc>
          <w:tcPr>
            <w:tcW w:type="dxa" w:w="2498"/>
            <w:tcMar>
              <w:top w:w="80" w:type="dxa"/>
              <w:start w:w="90" w:type="dxa"/>
              <w:bottom w:w="80" w:type="dxa"/>
              <w:end w:w="90" w:type="dxa"/>
            </w:tcMar>
            <w:vAlign w:val="top"/>
          </w:tcPr>
          <w:p>
            <w:pPr>
              <w:spacing w:after="30"/>
            </w:pPr>
            <w:r>
              <w:rPr>
                <w:rFonts w:ascii="Aptos" w:hAnsi="Aptos"/>
                <w:color w:val="232D38"/>
                <w:sz w:val="13"/>
              </w:rPr>
              <w:t>Accounting; backing; default/resolution; bank agreement/SLA; external identity; risk; insurance; data/evidence; disputes</w:t>
            </w:r>
          </w:p>
        </w:tc>
        <w:tc>
          <w:tcPr>
            <w:tcW w:type="dxa" w:w="2498"/>
            <w:tcMar>
              <w:top w:w="80" w:type="dxa"/>
              <w:start w:w="90" w:type="dxa"/>
              <w:bottom w:w="80" w:type="dxa"/>
              <w:end w:w="90" w:type="dxa"/>
            </w:tcMar>
            <w:vAlign w:val="top"/>
          </w:tcPr>
          <w:p>
            <w:pPr>
              <w:spacing w:after="30"/>
            </w:pPr>
            <w:r>
              <w:rPr>
                <w:rFonts w:ascii="Aptos" w:hAnsi="Aptos"/>
                <w:color w:val="232D38"/>
                <w:sz w:val="13"/>
              </w:rPr>
              <w:t>Parts II, III, VII–IX</w:t>
            </w:r>
          </w:p>
        </w:tc>
        <w:tc>
          <w:tcPr>
            <w:tcW w:type="dxa" w:w="2498"/>
            <w:tcMar>
              <w:top w:w="80" w:type="dxa"/>
              <w:start w:w="90" w:type="dxa"/>
              <w:bottom w:w="80" w:type="dxa"/>
              <w:end w:w="90" w:type="dxa"/>
            </w:tcMar>
            <w:vAlign w:val="top"/>
          </w:tcPr>
          <w:p>
            <w:pPr>
              <w:spacing w:after="30"/>
            </w:pPr>
            <w:r>
              <w:rPr>
                <w:rFonts w:ascii="Aptos" w:hAnsi="Aptos"/>
                <w:color w:val="232D38"/>
                <w:sz w:val="13"/>
              </w:rPr>
              <w:t>Themes retained.</w:t>
            </w:r>
          </w:p>
        </w:tc>
      </w:tr>
      <w:tr>
        <w:trPr>
          <w:cantSplit/>
        </w:trPr>
        <w:tc>
          <w:tcPr>
            <w:tcW w:type="dxa" w:w="2498"/>
            <w:tcMar>
              <w:top w:w="80" w:type="dxa"/>
              <w:start w:w="90" w:type="dxa"/>
              <w:bottom w:w="80" w:type="dxa"/>
              <w:end w:w="90" w:type="dxa"/>
            </w:tcMar>
            <w:vAlign w:val="top"/>
            <w:shd w:fill="F7F9FB"/>
          </w:tcPr>
          <w:p>
            <w:pPr>
              <w:spacing w:after="30"/>
            </w:pPr>
            <w:r>
              <w:rPr>
                <w:rFonts w:ascii="Aptos" w:hAnsi="Aptos"/>
                <w:color w:val="232D38"/>
                <w:sz w:val="13"/>
              </w:rPr>
              <w:t>34–47</w:t>
            </w:r>
          </w:p>
        </w:tc>
        <w:tc>
          <w:tcPr>
            <w:tcW w:type="dxa" w:w="2498"/>
            <w:tcMar>
              <w:top w:w="80" w:type="dxa"/>
              <w:start w:w="90" w:type="dxa"/>
              <w:bottom w:w="80" w:type="dxa"/>
              <w:end w:w="90" w:type="dxa"/>
            </w:tcMar>
            <w:vAlign w:val="top"/>
            <w:shd w:fill="F7F9FB"/>
          </w:tcPr>
          <w:p>
            <w:pPr>
              <w:spacing w:after="30"/>
            </w:pPr>
            <w:r>
              <w:rPr>
                <w:rFonts w:ascii="Aptos" w:hAnsi="Aptos"/>
                <w:color w:val="232D38"/>
                <w:sz w:val="13"/>
              </w:rPr>
              <w:t>Competition; pricing; GTM; team/funding; academy; final sweep; Sharia; jurisdiction/CNY-CNH; evidence semantics; redemption; incentives; market evidence; moat; packaging</w:t>
            </w:r>
          </w:p>
        </w:tc>
        <w:tc>
          <w:tcPr>
            <w:tcW w:type="dxa" w:w="2498"/>
            <w:tcMar>
              <w:top w:w="80" w:type="dxa"/>
              <w:start w:w="90" w:type="dxa"/>
              <w:bottom w:w="80" w:type="dxa"/>
              <w:end w:w="90" w:type="dxa"/>
            </w:tcMar>
            <w:vAlign w:val="top"/>
            <w:shd w:fill="F7F9FB"/>
          </w:tcPr>
          <w:p>
            <w:pPr>
              <w:spacing w:after="30"/>
            </w:pPr>
            <w:r>
              <w:rPr>
                <w:rFonts w:ascii="Aptos" w:hAnsi="Aptos"/>
                <w:color w:val="232D38"/>
                <w:sz w:val="13"/>
              </w:rPr>
              <w:t>Parts V, VIII, IX</w:t>
            </w:r>
          </w:p>
        </w:tc>
        <w:tc>
          <w:tcPr>
            <w:tcW w:type="dxa" w:w="2498"/>
            <w:tcMar>
              <w:top w:w="80" w:type="dxa"/>
              <w:start w:w="90" w:type="dxa"/>
              <w:bottom w:w="80" w:type="dxa"/>
              <w:end w:w="90" w:type="dxa"/>
            </w:tcMar>
            <w:vAlign w:val="top"/>
            <w:shd w:fill="F7F9FB"/>
          </w:tcPr>
          <w:p>
            <w:pPr>
              <w:spacing w:after="30"/>
            </w:pPr>
            <w:r>
              <w:rPr>
                <w:rFonts w:ascii="Aptos" w:hAnsi="Aptos"/>
                <w:color w:val="232D38"/>
                <w:sz w:val="13"/>
              </w:rPr>
              <w:t>Market claims remain hypotheses.</w:t>
            </w:r>
          </w:p>
        </w:tc>
      </w:tr>
      <w:tr>
        <w:trPr>
          <w:cantSplit/>
        </w:trPr>
        <w:tc>
          <w:tcPr>
            <w:tcW w:type="dxa" w:w="2498"/>
            <w:tcMar>
              <w:top w:w="80" w:type="dxa"/>
              <w:start w:w="90" w:type="dxa"/>
              <w:bottom w:w="80" w:type="dxa"/>
              <w:end w:w="90" w:type="dxa"/>
            </w:tcMar>
            <w:vAlign w:val="top"/>
          </w:tcPr>
          <w:p>
            <w:pPr>
              <w:spacing w:after="30"/>
            </w:pPr>
            <w:r>
              <w:rPr>
                <w:rFonts w:ascii="Aptos" w:hAnsi="Aptos"/>
                <w:color w:val="232D38"/>
                <w:sz w:val="13"/>
              </w:rPr>
              <w:t>48–51</w:t>
            </w:r>
          </w:p>
        </w:tc>
        <w:tc>
          <w:tcPr>
            <w:tcW w:type="dxa" w:w="2498"/>
            <w:tcMar>
              <w:top w:w="80" w:type="dxa"/>
              <w:start w:w="90" w:type="dxa"/>
              <w:bottom w:w="80" w:type="dxa"/>
              <w:end w:w="90" w:type="dxa"/>
            </w:tcMar>
            <w:vAlign w:val="top"/>
          </w:tcPr>
          <w:p>
            <w:pPr>
              <w:spacing w:after="30"/>
            </w:pPr>
            <w:r>
              <w:rPr>
                <w:rFonts w:ascii="Aptos" w:hAnsi="Aptos"/>
                <w:color w:val="232D38"/>
                <w:sz w:val="13"/>
              </w:rPr>
              <w:t>Closure audit; baseline release; institutional control tower; authority/trust truth</w:t>
            </w:r>
          </w:p>
        </w:tc>
        <w:tc>
          <w:tcPr>
            <w:tcW w:type="dxa" w:w="2498"/>
            <w:tcMar>
              <w:top w:w="80" w:type="dxa"/>
              <w:start w:w="90" w:type="dxa"/>
              <w:bottom w:w="80" w:type="dxa"/>
              <w:end w:w="90" w:type="dxa"/>
            </w:tcMar>
            <w:vAlign w:val="top"/>
          </w:tcPr>
          <w:p>
            <w:pPr>
              <w:spacing w:after="30"/>
            </w:pPr>
            <w:r>
              <w:rPr>
                <w:rFonts w:ascii="Aptos" w:hAnsi="Aptos"/>
                <w:color w:val="232D38"/>
                <w:sz w:val="13"/>
              </w:rPr>
              <w:t>Parts I, V, X, XI</w:t>
            </w:r>
          </w:p>
        </w:tc>
        <w:tc>
          <w:tcPr>
            <w:tcW w:type="dxa" w:w="2498"/>
            <w:tcMar>
              <w:top w:w="80" w:type="dxa"/>
              <w:start w:w="90" w:type="dxa"/>
              <w:bottom w:w="80" w:type="dxa"/>
              <w:end w:w="90" w:type="dxa"/>
            </w:tcMar>
            <w:vAlign w:val="top"/>
          </w:tcPr>
          <w:p>
            <w:pPr>
              <w:spacing w:after="30"/>
            </w:pPr>
            <w:r>
              <w:rPr>
                <w:rFonts w:ascii="Aptos" w:hAnsi="Aptos"/>
                <w:color w:val="232D38"/>
                <w:sz w:val="13"/>
              </w:rPr>
              <w:t>Core scope retained.</w:t>
            </w:r>
          </w:p>
        </w:tc>
      </w:tr>
      <w:tr>
        <w:trPr>
          <w:cantSplit/>
        </w:trPr>
        <w:tc>
          <w:tcPr>
            <w:tcW w:type="dxa" w:w="2498"/>
            <w:tcMar>
              <w:top w:w="80" w:type="dxa"/>
              <w:start w:w="90" w:type="dxa"/>
              <w:bottom w:w="80" w:type="dxa"/>
              <w:end w:w="90" w:type="dxa"/>
            </w:tcMar>
            <w:vAlign w:val="top"/>
            <w:shd w:fill="F7F9FB"/>
          </w:tcPr>
          <w:p>
            <w:pPr>
              <w:spacing w:after="30"/>
            </w:pPr>
            <w:r>
              <w:rPr>
                <w:rFonts w:ascii="Aptos" w:hAnsi="Aptos"/>
                <w:color w:val="232D38"/>
                <w:sz w:val="13"/>
              </w:rPr>
              <w:t>52–58</w:t>
            </w:r>
          </w:p>
        </w:tc>
        <w:tc>
          <w:tcPr>
            <w:tcW w:type="dxa" w:w="2498"/>
            <w:tcMar>
              <w:top w:w="80" w:type="dxa"/>
              <w:start w:w="90" w:type="dxa"/>
              <w:bottom w:w="80" w:type="dxa"/>
              <w:end w:w="90" w:type="dxa"/>
            </w:tcMar>
            <w:vAlign w:val="top"/>
            <w:shd w:fill="F7F9FB"/>
          </w:tcPr>
          <w:p>
            <w:pPr>
              <w:spacing w:after="30"/>
            </w:pPr>
            <w:r>
              <w:rPr>
                <w:rFonts w:ascii="Aptos" w:hAnsi="Aptos"/>
                <w:color w:val="232D38"/>
                <w:sz w:val="13"/>
              </w:rPr>
              <w:t>Pilot A; Pilot B gates; value proof; CPI productization; bank pack; provider stack; critical path</w:t>
            </w:r>
          </w:p>
        </w:tc>
        <w:tc>
          <w:tcPr>
            <w:tcW w:type="dxa" w:w="2498"/>
            <w:tcMar>
              <w:top w:w="80" w:type="dxa"/>
              <w:start w:w="90" w:type="dxa"/>
              <w:bottom w:w="80" w:type="dxa"/>
              <w:end w:w="90" w:type="dxa"/>
            </w:tcMar>
            <w:vAlign w:val="top"/>
            <w:shd w:fill="F7F9FB"/>
          </w:tcPr>
          <w:p>
            <w:pPr>
              <w:spacing w:after="30"/>
            </w:pPr>
            <w:r>
              <w:rPr>
                <w:rFonts w:ascii="Aptos" w:hAnsi="Aptos"/>
                <w:color w:val="232D38"/>
                <w:sz w:val="13"/>
              </w:rPr>
              <w:t>Parts IV, VI, VIII, IX, XI</w:t>
            </w:r>
          </w:p>
        </w:tc>
        <w:tc>
          <w:tcPr>
            <w:tcW w:type="dxa" w:w="2498"/>
            <w:tcMar>
              <w:top w:w="80" w:type="dxa"/>
              <w:start w:w="90" w:type="dxa"/>
              <w:bottom w:w="80" w:type="dxa"/>
              <w:end w:w="90" w:type="dxa"/>
            </w:tcMar>
            <w:vAlign w:val="top"/>
            <w:shd w:fill="F7F9FB"/>
          </w:tcPr>
          <w:p>
            <w:pPr>
              <w:spacing w:after="30"/>
            </w:pPr>
            <w:r>
              <w:rPr>
                <w:rFonts w:ascii="Aptos" w:hAnsi="Aptos"/>
                <w:color w:val="232D38"/>
                <w:sz w:val="13"/>
              </w:rPr>
              <w:t>Core scope retained.</w:t>
            </w:r>
          </w:p>
        </w:tc>
      </w:tr>
      <w:tr>
        <w:trPr>
          <w:cantSplit/>
        </w:trPr>
        <w:tc>
          <w:tcPr>
            <w:tcW w:type="dxa" w:w="2498"/>
            <w:tcMar>
              <w:top w:w="80" w:type="dxa"/>
              <w:start w:w="90" w:type="dxa"/>
              <w:bottom w:w="80" w:type="dxa"/>
              <w:end w:w="90" w:type="dxa"/>
            </w:tcMar>
            <w:vAlign w:val="top"/>
          </w:tcPr>
          <w:p>
            <w:pPr>
              <w:spacing w:after="30"/>
            </w:pPr>
            <w:r>
              <w:rPr>
                <w:rFonts w:ascii="Aptos" w:hAnsi="Aptos"/>
                <w:color w:val="232D38"/>
                <w:sz w:val="13"/>
              </w:rPr>
              <w:t>59–61</w:t>
            </w:r>
          </w:p>
        </w:tc>
        <w:tc>
          <w:tcPr>
            <w:tcW w:type="dxa" w:w="2498"/>
            <w:tcMar>
              <w:top w:w="80" w:type="dxa"/>
              <w:start w:w="90" w:type="dxa"/>
              <w:bottom w:w="80" w:type="dxa"/>
              <w:end w:w="90" w:type="dxa"/>
            </w:tcMar>
            <w:vAlign w:val="top"/>
          </w:tcPr>
          <w:p>
            <w:pPr>
              <w:spacing w:after="30"/>
            </w:pPr>
            <w:r>
              <w:rPr>
                <w:rFonts w:ascii="Aptos" w:hAnsi="Aptos"/>
                <w:color w:val="232D38"/>
                <w:sz w:val="13"/>
              </w:rPr>
              <w:t>Evidence dossier; demo environment; bank evaluation pack</w:t>
            </w:r>
          </w:p>
        </w:tc>
        <w:tc>
          <w:tcPr>
            <w:tcW w:type="dxa" w:w="2498"/>
            <w:tcMar>
              <w:top w:w="80" w:type="dxa"/>
              <w:start w:w="90" w:type="dxa"/>
              <w:bottom w:w="80" w:type="dxa"/>
              <w:end w:w="90" w:type="dxa"/>
            </w:tcMar>
            <w:vAlign w:val="top"/>
          </w:tcPr>
          <w:p>
            <w:pPr>
              <w:spacing w:after="30"/>
            </w:pPr>
            <w:r>
              <w:rPr>
                <w:rFonts w:ascii="Aptos" w:hAnsi="Aptos"/>
                <w:color w:val="232D38"/>
                <w:sz w:val="13"/>
              </w:rPr>
              <w:t>Parts V, VIII, X, XI</w:t>
            </w:r>
          </w:p>
        </w:tc>
        <w:tc>
          <w:tcPr>
            <w:tcW w:type="dxa" w:w="2498"/>
            <w:tcMar>
              <w:top w:w="80" w:type="dxa"/>
              <w:start w:w="90" w:type="dxa"/>
              <w:bottom w:w="80" w:type="dxa"/>
              <w:end w:w="90" w:type="dxa"/>
            </w:tcMar>
            <w:vAlign w:val="top"/>
          </w:tcPr>
          <w:p>
            <w:pPr>
              <w:spacing w:after="30"/>
            </w:pPr>
            <w:r>
              <w:rPr>
                <w:rFonts w:ascii="Aptos" w:hAnsi="Aptos"/>
                <w:color w:val="232D38"/>
                <w:sz w:val="13"/>
              </w:rPr>
              <w:t>Core scope retained.</w:t>
            </w:r>
          </w:p>
        </w:tc>
      </w:tr>
      <w:tr>
        <w:trPr>
          <w:cantSplit/>
        </w:trPr>
        <w:tc>
          <w:tcPr>
            <w:tcW w:type="dxa" w:w="2498"/>
            <w:tcMar>
              <w:top w:w="80" w:type="dxa"/>
              <w:start w:w="90" w:type="dxa"/>
              <w:bottom w:w="80" w:type="dxa"/>
              <w:end w:w="90" w:type="dxa"/>
            </w:tcMar>
            <w:vAlign w:val="top"/>
            <w:shd w:fill="F7F9FB"/>
          </w:tcPr>
          <w:p>
            <w:pPr>
              <w:spacing w:after="30"/>
            </w:pPr>
            <w:r>
              <w:rPr>
                <w:rFonts w:ascii="Aptos" w:hAnsi="Aptos"/>
                <w:color w:val="232D38"/>
                <w:sz w:val="13"/>
              </w:rPr>
              <w:t>62–65</w:t>
            </w:r>
          </w:p>
        </w:tc>
        <w:tc>
          <w:tcPr>
            <w:tcW w:type="dxa" w:w="2498"/>
            <w:tcMar>
              <w:top w:w="80" w:type="dxa"/>
              <w:start w:w="90" w:type="dxa"/>
              <w:bottom w:w="80" w:type="dxa"/>
              <w:end w:w="90" w:type="dxa"/>
            </w:tcMar>
            <w:vAlign w:val="top"/>
            <w:shd w:fill="F7F9FB"/>
          </w:tcPr>
          <w:p>
            <w:pPr>
              <w:spacing w:after="30"/>
            </w:pPr>
            <w:r>
              <w:rPr>
                <w:rFonts w:ascii="Aptos" w:hAnsi="Aptos"/>
                <w:color w:val="232D38"/>
                <w:sz w:val="13"/>
              </w:rPr>
              <w:t>G0; G1; corridor decision; bank pipeline</w:t>
            </w:r>
          </w:p>
        </w:tc>
        <w:tc>
          <w:tcPr>
            <w:tcW w:type="dxa" w:w="2498"/>
            <w:tcMar>
              <w:top w:w="80" w:type="dxa"/>
              <w:start w:w="90" w:type="dxa"/>
              <w:bottom w:w="80" w:type="dxa"/>
              <w:end w:w="90" w:type="dxa"/>
            </w:tcMar>
            <w:vAlign w:val="top"/>
            <w:shd w:fill="F7F9FB"/>
          </w:tcPr>
          <w:p>
            <w:pPr>
              <w:spacing w:after="30"/>
            </w:pPr>
            <w:r>
              <w:rPr>
                <w:rFonts w:ascii="Aptos" w:hAnsi="Aptos"/>
                <w:color w:val="232D38"/>
                <w:sz w:val="13"/>
              </w:rPr>
              <w:t>Parts II, VIII, IX, XI</w:t>
            </w:r>
          </w:p>
        </w:tc>
        <w:tc>
          <w:tcPr>
            <w:tcW w:type="dxa" w:w="2498"/>
            <w:tcMar>
              <w:top w:w="80" w:type="dxa"/>
              <w:start w:w="90" w:type="dxa"/>
              <w:bottom w:w="80" w:type="dxa"/>
              <w:end w:w="90" w:type="dxa"/>
            </w:tcMar>
            <w:vAlign w:val="top"/>
            <w:shd w:fill="F7F9FB"/>
          </w:tcPr>
          <w:p>
            <w:pPr>
              <w:spacing w:after="30"/>
            </w:pPr>
            <w:r>
              <w:rPr>
                <w:rFonts w:ascii="Aptos" w:hAnsi="Aptos"/>
                <w:color w:val="232D38"/>
                <w:sz w:val="13"/>
              </w:rPr>
              <w:t>Exact originals not verified.</w:t>
            </w:r>
          </w:p>
        </w:tc>
      </w:tr>
      <w:tr>
        <w:trPr>
          <w:cantSplit/>
        </w:trPr>
        <w:tc>
          <w:tcPr>
            <w:tcW w:type="dxa" w:w="2498"/>
            <w:tcMar>
              <w:top w:w="80" w:type="dxa"/>
              <w:start w:w="90" w:type="dxa"/>
              <w:bottom w:w="80" w:type="dxa"/>
              <w:end w:w="90" w:type="dxa"/>
            </w:tcMar>
            <w:vAlign w:val="top"/>
          </w:tcPr>
          <w:p>
            <w:pPr>
              <w:spacing w:after="30"/>
            </w:pPr>
            <w:r>
              <w:rPr>
                <w:rFonts w:ascii="Aptos" w:hAnsi="Aptos"/>
                <w:color w:val="232D38"/>
                <w:sz w:val="13"/>
              </w:rPr>
              <w:t>66–72</w:t>
            </w:r>
          </w:p>
        </w:tc>
        <w:tc>
          <w:tcPr>
            <w:tcW w:type="dxa" w:w="2498"/>
            <w:tcMar>
              <w:top w:w="80" w:type="dxa"/>
              <w:start w:w="90" w:type="dxa"/>
              <w:bottom w:w="80" w:type="dxa"/>
              <w:end w:w="90" w:type="dxa"/>
            </w:tcMar>
            <w:vAlign w:val="top"/>
          </w:tcPr>
          <w:p>
            <w:pPr>
              <w:spacing w:after="30"/>
            </w:pPr>
            <w:r>
              <w:rPr>
                <w:rFonts w:ascii="Aptos" w:hAnsi="Aptos"/>
                <w:color w:val="232D38"/>
                <w:sz w:val="13"/>
              </w:rPr>
              <w:t>Counsel briefing; bank package; technical workshop; pilot term sheet; assurance; Pilot A; outcome measurement</w:t>
            </w:r>
          </w:p>
        </w:tc>
        <w:tc>
          <w:tcPr>
            <w:tcW w:type="dxa" w:w="2498"/>
            <w:tcMar>
              <w:top w:w="80" w:type="dxa"/>
              <w:start w:w="90" w:type="dxa"/>
              <w:bottom w:w="80" w:type="dxa"/>
              <w:end w:w="90" w:type="dxa"/>
            </w:tcMar>
            <w:vAlign w:val="top"/>
          </w:tcPr>
          <w:p>
            <w:pPr>
              <w:spacing w:after="30"/>
            </w:pPr>
            <w:r>
              <w:rPr>
                <w:rFonts w:ascii="Aptos" w:hAnsi="Aptos"/>
                <w:color w:val="232D38"/>
                <w:sz w:val="13"/>
              </w:rPr>
              <w:t>Parts VIII–XI</w:t>
            </w:r>
          </w:p>
        </w:tc>
        <w:tc>
          <w:tcPr>
            <w:tcW w:type="dxa" w:w="2498"/>
            <w:tcMar>
              <w:top w:w="80" w:type="dxa"/>
              <w:start w:w="90" w:type="dxa"/>
              <w:bottom w:w="80" w:type="dxa"/>
              <w:end w:w="90" w:type="dxa"/>
            </w:tcMar>
            <w:vAlign w:val="top"/>
          </w:tcPr>
          <w:p>
            <w:pPr>
              <w:spacing w:after="30"/>
            </w:pPr>
            <w:r>
              <w:rPr>
                <w:rFonts w:ascii="Aptos" w:hAnsi="Aptos"/>
                <w:color w:val="232D38"/>
                <w:sz w:val="13"/>
              </w:rPr>
              <w:t>Reconstructed from sequence hints.</w:t>
            </w:r>
          </w:p>
        </w:tc>
      </w:tr>
      <w:tr>
        <w:trPr>
          <w:cantSplit/>
        </w:trPr>
        <w:tc>
          <w:tcPr>
            <w:tcW w:type="dxa" w:w="2498"/>
            <w:tcMar>
              <w:top w:w="80" w:type="dxa"/>
              <w:start w:w="90" w:type="dxa"/>
              <w:bottom w:w="80" w:type="dxa"/>
              <w:end w:w="90" w:type="dxa"/>
            </w:tcMar>
            <w:vAlign w:val="top"/>
            <w:shd w:fill="F7F9FB"/>
          </w:tcPr>
          <w:p>
            <w:pPr>
              <w:spacing w:after="30"/>
            </w:pPr>
            <w:r>
              <w:rPr>
                <w:rFonts w:ascii="Aptos" w:hAnsi="Aptos"/>
                <w:color w:val="232D38"/>
                <w:sz w:val="13"/>
              </w:rPr>
              <w:t>73–75</w:t>
            </w:r>
          </w:p>
        </w:tc>
        <w:tc>
          <w:tcPr>
            <w:tcW w:type="dxa" w:w="2498"/>
            <w:tcMar>
              <w:top w:w="80" w:type="dxa"/>
              <w:start w:w="90" w:type="dxa"/>
              <w:bottom w:w="80" w:type="dxa"/>
              <w:end w:w="90" w:type="dxa"/>
            </w:tcMar>
            <w:vAlign w:val="top"/>
            <w:shd w:fill="F7F9FB"/>
          </w:tcPr>
          <w:p>
            <w:pPr>
              <w:spacing w:after="30"/>
            </w:pPr>
            <w:r>
              <w:rPr>
                <w:rFonts w:ascii="Aptos" w:hAnsi="Aptos"/>
                <w:color w:val="232D38"/>
                <w:sz w:val="13"/>
              </w:rPr>
              <w:t>G0 reconciliation; provider/secret readiness; pre-forensic checkpoint</w:t>
            </w:r>
          </w:p>
        </w:tc>
        <w:tc>
          <w:tcPr>
            <w:tcW w:type="dxa" w:w="2498"/>
            <w:tcMar>
              <w:top w:w="80" w:type="dxa"/>
              <w:start w:w="90" w:type="dxa"/>
              <w:bottom w:w="80" w:type="dxa"/>
              <w:end w:w="90" w:type="dxa"/>
            </w:tcMar>
            <w:vAlign w:val="top"/>
            <w:shd w:fill="F7F9FB"/>
          </w:tcPr>
          <w:p>
            <w:pPr>
              <w:spacing w:after="30"/>
            </w:pPr>
            <w:r>
              <w:rPr>
                <w:rFonts w:ascii="Aptos" w:hAnsi="Aptos"/>
                <w:color w:val="232D38"/>
                <w:sz w:val="13"/>
              </w:rPr>
              <w:t>Parts I, VI, VII, IX, XI</w:t>
            </w:r>
          </w:p>
        </w:tc>
        <w:tc>
          <w:tcPr>
            <w:tcW w:type="dxa" w:w="2498"/>
            <w:tcMar>
              <w:top w:w="80" w:type="dxa"/>
              <w:start w:w="90" w:type="dxa"/>
              <w:bottom w:w="80" w:type="dxa"/>
              <w:end w:w="90" w:type="dxa"/>
            </w:tcMar>
            <w:vAlign w:val="top"/>
            <w:shd w:fill="F7F9FB"/>
          </w:tcPr>
          <w:p>
            <w:pPr>
              <w:spacing w:after="30"/>
            </w:pPr>
            <w:r>
              <w:rPr>
                <w:rFonts w:ascii="Aptos" w:hAnsi="Aptos"/>
                <w:color w:val="232D38"/>
                <w:sz w:val="13"/>
              </w:rPr>
              <w:t>Reconstructed from sequence hints.</w:t>
            </w:r>
          </w:p>
        </w:tc>
      </w:tr>
      <w:tr>
        <w:trPr>
          <w:cantSplit/>
        </w:trPr>
        <w:tc>
          <w:tcPr>
            <w:tcW w:type="dxa" w:w="2498"/>
            <w:tcMar>
              <w:top w:w="80" w:type="dxa"/>
              <w:start w:w="90" w:type="dxa"/>
              <w:bottom w:w="80" w:type="dxa"/>
              <w:end w:w="90" w:type="dxa"/>
            </w:tcMar>
            <w:vAlign w:val="top"/>
          </w:tcPr>
          <w:p>
            <w:pPr>
              <w:spacing w:after="30"/>
            </w:pPr>
            <w:r>
              <w:rPr>
                <w:rFonts w:ascii="Aptos" w:hAnsi="Aptos"/>
                <w:color w:val="232D38"/>
                <w:sz w:val="13"/>
              </w:rPr>
              <w:t>76</w:t>
            </w:r>
          </w:p>
        </w:tc>
        <w:tc>
          <w:tcPr>
            <w:tcW w:type="dxa" w:w="2498"/>
            <w:tcMar>
              <w:top w:w="80" w:type="dxa"/>
              <w:start w:w="90" w:type="dxa"/>
              <w:bottom w:w="80" w:type="dxa"/>
              <w:end w:w="90" w:type="dxa"/>
            </w:tcMar>
            <w:vAlign w:val="top"/>
          </w:tcPr>
          <w:p>
            <w:pPr>
              <w:spacing w:after="30"/>
            </w:pPr>
            <w:r>
              <w:rPr>
                <w:rFonts w:ascii="Aptos" w:hAnsi="Aptos"/>
                <w:color w:val="232D38"/>
                <w:sz w:val="13"/>
              </w:rPr>
              <w:t>Forensic recovery/integration certification</w:t>
            </w:r>
          </w:p>
        </w:tc>
        <w:tc>
          <w:tcPr>
            <w:tcW w:type="dxa" w:w="2498"/>
            <w:tcMar>
              <w:top w:w="80" w:type="dxa"/>
              <w:start w:w="90" w:type="dxa"/>
              <w:bottom w:w="80" w:type="dxa"/>
              <w:end w:w="90" w:type="dxa"/>
            </w:tcMar>
            <w:vAlign w:val="top"/>
          </w:tcPr>
          <w:p>
            <w:pPr>
              <w:spacing w:after="30"/>
            </w:pPr>
            <w:r>
              <w:rPr>
                <w:rFonts w:ascii="Aptos" w:hAnsi="Aptos"/>
                <w:color w:val="232D38"/>
                <w:sz w:val="13"/>
              </w:rPr>
              <w:t>Parts VI, X, Appendix C</w:t>
            </w:r>
          </w:p>
        </w:tc>
        <w:tc>
          <w:tcPr>
            <w:tcW w:type="dxa" w:w="2498"/>
            <w:tcMar>
              <w:top w:w="80" w:type="dxa"/>
              <w:start w:w="90" w:type="dxa"/>
              <w:bottom w:w="80" w:type="dxa"/>
              <w:end w:w="90" w:type="dxa"/>
            </w:tcMar>
            <w:vAlign w:val="top"/>
          </w:tcPr>
          <w:p>
            <w:pPr>
              <w:spacing w:after="30"/>
            </w:pPr>
            <w:r>
              <w:rPr>
                <w:rFonts w:ascii="Aptos" w:hAnsi="Aptos"/>
                <w:color w:val="232D38"/>
                <w:sz w:val="13"/>
              </w:rPr>
              <w:t>Prompt body not verbatim; reported outcome retained.</w:t>
            </w:r>
          </w:p>
        </w:tc>
      </w:tr>
      <w:tr>
        <w:trPr>
          <w:cantSplit/>
        </w:trPr>
        <w:tc>
          <w:tcPr>
            <w:tcW w:type="dxa" w:w="2498"/>
            <w:tcMar>
              <w:top w:w="80" w:type="dxa"/>
              <w:start w:w="90" w:type="dxa"/>
              <w:bottom w:w="80" w:type="dxa"/>
              <w:end w:w="90" w:type="dxa"/>
            </w:tcMar>
            <w:vAlign w:val="top"/>
            <w:shd w:fill="F7F9FB"/>
          </w:tcPr>
          <w:p>
            <w:pPr>
              <w:spacing w:after="30"/>
            </w:pPr>
            <w:r>
              <w:rPr>
                <w:rFonts w:ascii="Aptos" w:hAnsi="Aptos"/>
                <w:color w:val="232D38"/>
                <w:sz w:val="13"/>
              </w:rPr>
              <w:t>77</w:t>
            </w:r>
          </w:p>
        </w:tc>
        <w:tc>
          <w:tcPr>
            <w:tcW w:type="dxa" w:w="2498"/>
            <w:tcMar>
              <w:top w:w="80" w:type="dxa"/>
              <w:start w:w="90" w:type="dxa"/>
              <w:bottom w:w="80" w:type="dxa"/>
              <w:end w:w="90" w:type="dxa"/>
            </w:tcMar>
            <w:vAlign w:val="top"/>
            <w:shd w:fill="F7F9FB"/>
          </w:tcPr>
          <w:p>
            <w:pPr>
              <w:spacing w:after="30"/>
            </w:pPr>
            <w:r>
              <w:rPr>
                <w:rFonts w:ascii="Aptos" w:hAnsi="Aptos"/>
                <w:color w:val="232D38"/>
                <w:sz w:val="13"/>
              </w:rPr>
              <w:t>Credential quarantine, prompt recovery, provider restoration</w:t>
            </w:r>
          </w:p>
        </w:tc>
        <w:tc>
          <w:tcPr>
            <w:tcW w:type="dxa" w:w="2498"/>
            <w:tcMar>
              <w:top w:w="80" w:type="dxa"/>
              <w:start w:w="90" w:type="dxa"/>
              <w:bottom w:w="80" w:type="dxa"/>
              <w:end w:w="90" w:type="dxa"/>
            </w:tcMar>
            <w:vAlign w:val="top"/>
            <w:shd w:fill="F7F9FB"/>
          </w:tcPr>
          <w:p>
            <w:pPr>
              <w:spacing w:after="30"/>
            </w:pPr>
            <w:r>
              <w:rPr>
                <w:rFonts w:ascii="Aptos" w:hAnsi="Aptos"/>
                <w:color w:val="232D38"/>
                <w:sz w:val="13"/>
              </w:rPr>
              <w:t>Parts VI, VII, X, Appendix C</w:t>
            </w:r>
          </w:p>
        </w:tc>
        <w:tc>
          <w:tcPr>
            <w:tcW w:type="dxa" w:w="2498"/>
            <w:tcMar>
              <w:top w:w="80" w:type="dxa"/>
              <w:start w:w="90" w:type="dxa"/>
              <w:bottom w:w="80" w:type="dxa"/>
              <w:end w:w="90" w:type="dxa"/>
            </w:tcMar>
            <w:vAlign w:val="top"/>
            <w:shd w:fill="F7F9FB"/>
          </w:tcPr>
          <w:p>
            <w:pPr>
              <w:spacing w:after="30"/>
            </w:pPr>
            <w:r>
              <w:rPr>
                <w:rFonts w:ascii="Aptos" w:hAnsi="Aptos"/>
                <w:color w:val="232D38"/>
                <w:sz w:val="13"/>
              </w:rPr>
              <w:t>Prompt body not verbatim; scope retained.</w:t>
            </w:r>
          </w:p>
        </w:tc>
      </w:tr>
    </w:tbl>
    <w:p>
      <w:pPr>
        <w:spacing w:after="0"/>
      </w:pPr>
    </w:p>
    <w:p>
      <w:pPr>
        <w:pStyle w:val="Heading1"/>
      </w:pPr>
      <w:r>
        <w:t>APPENDIX B — Required Data Contracts and Core Fields</w:t>
      </w:r>
    </w:p>
    <w:p>
      <w:pPr>
        <w:pStyle w:val="Heading2"/>
      </w:pPr>
      <w:r>
        <w:t>B.1 Instruction record</w:t>
      </w:r>
    </w:p>
    <w:tbl>
      <w:tblPr>
        <w:tblStyle w:val="TableGrid"/>
        <w:tblW w:type="auto" w:w="0"/>
        <w:jc w:val="center"/>
        <w:tblLook w:firstColumn="1" w:firstRow="1" w:lastColumn="0" w:lastRow="0" w:noHBand="0" w:noVBand="1" w:val="04A0"/>
      </w:tblPr>
      <w:tblGrid>
        <w:gridCol w:w="4997"/>
        <w:gridCol w:w="4997"/>
      </w:tblGrid>
      <w:tr>
        <w:trPr>
          <w:tblHeader w:val="true"/>
          <w:cantSplit/>
        </w:trPr>
        <w:tc>
          <w:tcPr>
            <w:tcW w:type="dxa" w:w="1944"/>
            <w:shd w:fill="07111F"/>
            <w:tcMar>
              <w:top w:w="80" w:type="dxa"/>
              <w:start w:w="90" w:type="dxa"/>
              <w:bottom w:w="80" w:type="dxa"/>
              <w:end w:w="90" w:type="dxa"/>
            </w:tcMar>
            <w:vAlign w:val="center"/>
          </w:tcPr>
          <w:p>
            <w:r>
              <w:rPr>
                <w:rFonts w:ascii="Aptos" w:hAnsi="Aptos"/>
                <w:b/>
                <w:color w:val="FFFFFF"/>
                <w:sz w:val="14"/>
              </w:rPr>
              <w:t>Field group</w:t>
            </w:r>
          </w:p>
        </w:tc>
        <w:tc>
          <w:tcPr>
            <w:tcW w:type="dxa" w:w="7992"/>
            <w:shd w:fill="07111F"/>
            <w:tcMar>
              <w:top w:w="80" w:type="dxa"/>
              <w:start w:w="90" w:type="dxa"/>
              <w:bottom w:w="80" w:type="dxa"/>
              <w:end w:w="90" w:type="dxa"/>
            </w:tcMar>
            <w:vAlign w:val="center"/>
          </w:tcPr>
          <w:p>
            <w:r>
              <w:rPr>
                <w:rFonts w:ascii="Aptos" w:hAnsi="Aptos"/>
                <w:b/>
                <w:color w:val="FFFFFF"/>
                <w:sz w:val="14"/>
              </w:rPr>
              <w:t>Minimum requirements</w:t>
            </w:r>
          </w:p>
        </w:tc>
      </w:tr>
      <w:tr>
        <w:trPr>
          <w:cantSplit/>
        </w:trPr>
        <w:tc>
          <w:tcPr>
            <w:tcW w:type="dxa" w:w="4997"/>
            <w:tcMar>
              <w:top w:w="80" w:type="dxa"/>
              <w:start w:w="90" w:type="dxa"/>
              <w:bottom w:w="80" w:type="dxa"/>
              <w:end w:w="90" w:type="dxa"/>
            </w:tcMar>
            <w:vAlign w:val="top"/>
            <w:shd w:fill="F7F9FB"/>
          </w:tcPr>
          <w:p>
            <w:pPr>
              <w:spacing w:after="30"/>
            </w:pPr>
            <w:r>
              <w:rPr>
                <w:rFonts w:ascii="Aptos" w:hAnsi="Aptos"/>
                <w:color w:val="232D38"/>
                <w:sz w:val="14"/>
              </w:rPr>
              <w:t>Identity</w:t>
            </w:r>
          </w:p>
        </w:tc>
        <w:tc>
          <w:tcPr>
            <w:tcW w:type="dxa" w:w="4997"/>
            <w:tcMar>
              <w:top w:w="80" w:type="dxa"/>
              <w:start w:w="90" w:type="dxa"/>
              <w:bottom w:w="80" w:type="dxa"/>
              <w:end w:w="90" w:type="dxa"/>
            </w:tcMar>
            <w:vAlign w:val="top"/>
            <w:shd w:fill="F7F9FB"/>
          </w:tcPr>
          <w:p>
            <w:pPr>
              <w:spacing w:after="30"/>
            </w:pPr>
            <w:r>
              <w:rPr>
                <w:rFonts w:ascii="Aptos" w:hAnsi="Aptos"/>
                <w:color w:val="232D38"/>
                <w:sz w:val="14"/>
              </w:rPr>
              <w:t>instructionId, schemaVersion, institutionId, tenantId, sourceSystem, externalInstructionRef, idempotencyKey, requestHash, correlationId, causationId.</w:t>
            </w:r>
          </w:p>
        </w:tc>
      </w:tr>
      <w:tr>
        <w:trPr>
          <w:cantSplit/>
        </w:trPr>
        <w:tc>
          <w:tcPr>
            <w:tcW w:type="dxa" w:w="4997"/>
            <w:tcMar>
              <w:top w:w="80" w:type="dxa"/>
              <w:start w:w="90" w:type="dxa"/>
              <w:bottom w:w="80" w:type="dxa"/>
              <w:end w:w="90" w:type="dxa"/>
            </w:tcMar>
            <w:vAlign w:val="top"/>
          </w:tcPr>
          <w:p>
            <w:pPr>
              <w:spacing w:after="30"/>
            </w:pPr>
            <w:r>
              <w:rPr>
                <w:rFonts w:ascii="Aptos" w:hAnsi="Aptos"/>
                <w:color w:val="232D38"/>
                <w:sz w:val="14"/>
              </w:rPr>
              <w:t>Financial intent</w:t>
            </w:r>
          </w:p>
        </w:tc>
        <w:tc>
          <w:tcPr>
            <w:tcW w:type="dxa" w:w="4997"/>
            <w:tcMar>
              <w:top w:w="80" w:type="dxa"/>
              <w:start w:w="90" w:type="dxa"/>
              <w:bottom w:w="80" w:type="dxa"/>
              <w:end w:w="90" w:type="dxa"/>
            </w:tcMar>
            <w:vAlign w:val="top"/>
          </w:tcPr>
          <w:p>
            <w:pPr>
              <w:spacing w:after="30"/>
            </w:pPr>
            <w:r>
              <w:rPr>
                <w:rFonts w:ascii="Aptos" w:hAnsi="Aptos"/>
                <w:color w:val="232D38"/>
                <w:sz w:val="14"/>
              </w:rPr>
              <w:t>assetId/currency, amount in integer minor units or approved fixed precision, debtor/obligor, beneficiary/creditor, purpose, requestedExecutionAt, dueAt, fees if applicable.</w:t>
            </w:r>
          </w:p>
        </w:tc>
      </w:tr>
      <w:tr>
        <w:trPr>
          <w:cantSplit/>
        </w:trPr>
        <w:tc>
          <w:tcPr>
            <w:tcW w:type="dxa" w:w="4997"/>
            <w:tcMar>
              <w:top w:w="80" w:type="dxa"/>
              <w:start w:w="90" w:type="dxa"/>
              <w:bottom w:w="80" w:type="dxa"/>
              <w:end w:w="90" w:type="dxa"/>
            </w:tcMar>
            <w:vAlign w:val="top"/>
            <w:shd w:fill="F7F9FB"/>
          </w:tcPr>
          <w:p>
            <w:pPr>
              <w:spacing w:after="30"/>
            </w:pPr>
            <w:r>
              <w:rPr>
                <w:rFonts w:ascii="Aptos" w:hAnsi="Aptos"/>
                <w:color w:val="232D38"/>
                <w:sz w:val="14"/>
              </w:rPr>
              <w:t>Legal/scope</w:t>
            </w:r>
          </w:p>
        </w:tc>
        <w:tc>
          <w:tcPr>
            <w:tcW w:type="dxa" w:w="4997"/>
            <w:tcMar>
              <w:top w:w="80" w:type="dxa"/>
              <w:start w:w="90" w:type="dxa"/>
              <w:bottom w:w="80" w:type="dxa"/>
              <w:end w:w="90" w:type="dxa"/>
            </w:tcMar>
            <w:vAlign w:val="top"/>
            <w:shd w:fill="F7F9FB"/>
          </w:tcPr>
          <w:p>
            <w:pPr>
              <w:spacing w:after="30"/>
            </w:pPr>
            <w:r>
              <w:rPr>
                <w:rFonts w:ascii="Aptos" w:hAnsi="Aptos"/>
                <w:color w:val="232D38"/>
                <w:sz w:val="14"/>
              </w:rPr>
              <w:t>applicableLawId, settlementDomainId, jurisdiction set, corridorId, contractRef, authorizationScope and data classification.</w:t>
            </w:r>
          </w:p>
        </w:tc>
      </w:tr>
      <w:tr>
        <w:trPr>
          <w:cantSplit/>
        </w:trPr>
        <w:tc>
          <w:tcPr>
            <w:tcW w:type="dxa" w:w="4997"/>
            <w:tcMar>
              <w:top w:w="80" w:type="dxa"/>
              <w:start w:w="90" w:type="dxa"/>
              <w:bottom w:w="80" w:type="dxa"/>
              <w:end w:w="90" w:type="dxa"/>
            </w:tcMar>
            <w:vAlign w:val="top"/>
          </w:tcPr>
          <w:p>
            <w:pPr>
              <w:spacing w:after="30"/>
            </w:pPr>
            <w:r>
              <w:rPr>
                <w:rFonts w:ascii="Aptos" w:hAnsi="Aptos"/>
                <w:color w:val="232D38"/>
                <w:sz w:val="14"/>
              </w:rPr>
              <w:t>Processing</w:t>
            </w:r>
          </w:p>
        </w:tc>
        <w:tc>
          <w:tcPr>
            <w:tcW w:type="dxa" w:w="4997"/>
            <w:tcMar>
              <w:top w:w="80" w:type="dxa"/>
              <w:start w:w="90" w:type="dxa"/>
              <w:bottom w:w="80" w:type="dxa"/>
              <w:end w:w="90" w:type="dxa"/>
            </w:tcMar>
            <w:vAlign w:val="top"/>
          </w:tcPr>
          <w:p>
            <w:pPr>
              <w:spacing w:after="30"/>
            </w:pPr>
            <w:r>
              <w:rPr>
                <w:rFonts w:ascii="Aptos" w:hAnsi="Aptos"/>
                <w:color w:val="232D38"/>
                <w:sz w:val="14"/>
              </w:rPr>
              <w:t>currentState, stateVersion, policyVersion/hash, routeCandidates, selectedRouteId, reasonCodes, createdAt/updatedAt, expiry/cancellation rules.</w:t>
            </w:r>
          </w:p>
        </w:tc>
      </w:tr>
      <w:tr>
        <w:trPr>
          <w:cantSplit/>
        </w:trPr>
        <w:tc>
          <w:tcPr>
            <w:tcW w:type="dxa" w:w="4997"/>
            <w:tcMar>
              <w:top w:w="80" w:type="dxa"/>
              <w:start w:w="90" w:type="dxa"/>
              <w:bottom w:w="80" w:type="dxa"/>
              <w:end w:w="90" w:type="dxa"/>
            </w:tcMar>
            <w:vAlign w:val="top"/>
            <w:shd w:fill="F7F9FB"/>
          </w:tcPr>
          <w:p>
            <w:pPr>
              <w:spacing w:after="30"/>
            </w:pPr>
            <w:r>
              <w:rPr>
                <w:rFonts w:ascii="Aptos" w:hAnsi="Aptos"/>
                <w:color w:val="232D38"/>
                <w:sz w:val="14"/>
              </w:rPr>
              <w:t>Evidence</w:t>
            </w:r>
          </w:p>
        </w:tc>
        <w:tc>
          <w:tcPr>
            <w:tcW w:type="dxa" w:w="4997"/>
            <w:tcMar>
              <w:top w:w="80" w:type="dxa"/>
              <w:start w:w="90" w:type="dxa"/>
              <w:bottom w:w="80" w:type="dxa"/>
              <w:end w:w="90" w:type="dxa"/>
            </w:tcMar>
            <w:vAlign w:val="top"/>
            <w:shd w:fill="F7F9FB"/>
          </w:tcPr>
          <w:p>
            <w:pPr>
              <w:spacing w:after="30"/>
            </w:pPr>
            <w:r>
              <w:rPr>
                <w:rFonts w:ascii="Aptos" w:hAnsi="Aptos"/>
                <w:color w:val="232D38"/>
                <w:sz w:val="14"/>
              </w:rPr>
              <w:t>required/receivedEvidenceRefs, external rail refs, finality proof refs, reconciliation status and exception links.</w:t>
            </w:r>
          </w:p>
        </w:tc>
      </w:tr>
    </w:tbl>
    <w:p>
      <w:pPr>
        <w:spacing w:after="0"/>
      </w:pPr>
    </w:p>
    <w:p>
      <w:pPr>
        <w:pStyle w:val="Heading2"/>
      </w:pPr>
      <w:r>
        <w:t>B.2 Policy registry record</w:t>
      </w:r>
    </w:p>
    <w:tbl>
      <w:tblPr>
        <w:tblStyle w:val="TableGrid"/>
        <w:tblW w:type="auto" w:w="0"/>
        <w:jc w:val="center"/>
        <w:tblLook w:firstColumn="1" w:firstRow="1" w:lastColumn="0" w:lastRow="0" w:noHBand="0" w:noVBand="1" w:val="04A0"/>
      </w:tblPr>
      <w:tblGrid>
        <w:gridCol w:w="4997"/>
        <w:gridCol w:w="4997"/>
      </w:tblGrid>
      <w:tr>
        <w:trPr>
          <w:tblHeader w:val="true"/>
          <w:cantSplit/>
        </w:trPr>
        <w:tc>
          <w:tcPr>
            <w:tcW w:type="dxa" w:w="2592"/>
            <w:shd w:fill="07111F"/>
            <w:tcMar>
              <w:top w:w="80" w:type="dxa"/>
              <w:start w:w="90" w:type="dxa"/>
              <w:bottom w:w="80" w:type="dxa"/>
              <w:end w:w="90" w:type="dxa"/>
            </w:tcMar>
            <w:vAlign w:val="center"/>
          </w:tcPr>
          <w:p>
            <w:r>
              <w:rPr>
                <w:rFonts w:ascii="Aptos" w:hAnsi="Aptos"/>
                <w:b/>
                <w:color w:val="FFFFFF"/>
                <w:sz w:val="14"/>
              </w:rPr>
              <w:t>Field</w:t>
            </w:r>
          </w:p>
        </w:tc>
        <w:tc>
          <w:tcPr>
            <w:tcW w:type="dxa" w:w="7344"/>
            <w:shd w:fill="07111F"/>
            <w:tcMar>
              <w:top w:w="80" w:type="dxa"/>
              <w:start w:w="90" w:type="dxa"/>
              <w:bottom w:w="80" w:type="dxa"/>
              <w:end w:w="90" w:type="dxa"/>
            </w:tcMar>
            <w:vAlign w:val="center"/>
          </w:tcPr>
          <w:p>
            <w:r>
              <w:rPr>
                <w:rFonts w:ascii="Aptos" w:hAnsi="Aptos"/>
                <w:b/>
                <w:color w:val="FFFFFF"/>
                <w:sz w:val="14"/>
              </w:rPr>
              <w:t>Requirement</w:t>
            </w:r>
          </w:p>
        </w:tc>
      </w:tr>
      <w:tr>
        <w:trPr>
          <w:cantSplit/>
        </w:trPr>
        <w:tc>
          <w:tcPr>
            <w:tcW w:type="dxa" w:w="4997"/>
            <w:tcMar>
              <w:top w:w="80" w:type="dxa"/>
              <w:start w:w="90" w:type="dxa"/>
              <w:bottom w:w="80" w:type="dxa"/>
              <w:end w:w="90" w:type="dxa"/>
            </w:tcMar>
            <w:vAlign w:val="top"/>
            <w:shd w:fill="F7F9FB"/>
          </w:tcPr>
          <w:p>
            <w:pPr>
              <w:spacing w:after="30"/>
            </w:pPr>
            <w:r>
              <w:rPr>
                <w:rFonts w:ascii="Aptos" w:hAnsi="Aptos"/>
                <w:color w:val="232D38"/>
                <w:sz w:val="14"/>
              </w:rPr>
              <w:t>policyId/version/contentHash</w:t>
            </w:r>
          </w:p>
        </w:tc>
        <w:tc>
          <w:tcPr>
            <w:tcW w:type="dxa" w:w="4997"/>
            <w:tcMar>
              <w:top w:w="80" w:type="dxa"/>
              <w:start w:w="90" w:type="dxa"/>
              <w:bottom w:w="80" w:type="dxa"/>
              <w:end w:w="90" w:type="dxa"/>
            </w:tcMar>
            <w:vAlign w:val="top"/>
            <w:shd w:fill="F7F9FB"/>
          </w:tcPr>
          <w:p>
            <w:pPr>
              <w:spacing w:after="30"/>
            </w:pPr>
            <w:r>
              <w:rPr>
                <w:rFonts w:ascii="Aptos" w:hAnsi="Aptos"/>
                <w:color w:val="232D38"/>
                <w:sz w:val="14"/>
              </w:rPr>
              <w:t>Unique immutable version.</w:t>
            </w:r>
          </w:p>
        </w:tc>
      </w:tr>
      <w:tr>
        <w:trPr>
          <w:cantSplit/>
        </w:trPr>
        <w:tc>
          <w:tcPr>
            <w:tcW w:type="dxa" w:w="4997"/>
            <w:tcMar>
              <w:top w:w="80" w:type="dxa"/>
              <w:start w:w="90" w:type="dxa"/>
              <w:bottom w:w="80" w:type="dxa"/>
              <w:end w:w="90" w:type="dxa"/>
            </w:tcMar>
            <w:vAlign w:val="top"/>
          </w:tcPr>
          <w:p>
            <w:pPr>
              <w:spacing w:after="30"/>
            </w:pPr>
            <w:r>
              <w:rPr>
                <w:rFonts w:ascii="Aptos" w:hAnsi="Aptos"/>
                <w:color w:val="232D38"/>
                <w:sz w:val="14"/>
              </w:rPr>
              <w:t>effectiveFrom/expiresAt</w:t>
            </w:r>
          </w:p>
        </w:tc>
        <w:tc>
          <w:tcPr>
            <w:tcW w:type="dxa" w:w="4997"/>
            <w:tcMar>
              <w:top w:w="80" w:type="dxa"/>
              <w:start w:w="90" w:type="dxa"/>
              <w:bottom w:w="80" w:type="dxa"/>
              <w:end w:w="90" w:type="dxa"/>
            </w:tcMar>
            <w:vAlign w:val="top"/>
          </w:tcPr>
          <w:p>
            <w:pPr>
              <w:spacing w:after="30"/>
            </w:pPr>
            <w:r>
              <w:rPr>
                <w:rFonts w:ascii="Aptos" w:hAnsi="Aptos"/>
                <w:color w:val="232D38"/>
                <w:sz w:val="14"/>
              </w:rPr>
              <w:t>Applicability; no stale open-ended approval where expiry is needed.</w:t>
            </w:r>
          </w:p>
        </w:tc>
      </w:tr>
      <w:tr>
        <w:trPr>
          <w:cantSplit/>
        </w:trPr>
        <w:tc>
          <w:tcPr>
            <w:tcW w:type="dxa" w:w="4997"/>
            <w:tcMar>
              <w:top w:w="80" w:type="dxa"/>
              <w:start w:w="90" w:type="dxa"/>
              <w:bottom w:w="80" w:type="dxa"/>
              <w:end w:w="90" w:type="dxa"/>
            </w:tcMar>
            <w:vAlign w:val="top"/>
            <w:shd w:fill="F7F9FB"/>
          </w:tcPr>
          <w:p>
            <w:pPr>
              <w:spacing w:after="30"/>
            </w:pPr>
            <w:r>
              <w:rPr>
                <w:rFonts w:ascii="Aptos" w:hAnsi="Aptos"/>
                <w:color w:val="232D38"/>
                <w:sz w:val="14"/>
              </w:rPr>
              <w:t>scope</w:t>
            </w:r>
          </w:p>
        </w:tc>
        <w:tc>
          <w:tcPr>
            <w:tcW w:type="dxa" w:w="4997"/>
            <w:tcMar>
              <w:top w:w="80" w:type="dxa"/>
              <w:start w:w="90" w:type="dxa"/>
              <w:bottom w:w="80" w:type="dxa"/>
              <w:end w:w="90" w:type="dxa"/>
            </w:tcMar>
            <w:vAlign w:val="top"/>
            <w:shd w:fill="F7F9FB"/>
          </w:tcPr>
          <w:p>
            <w:pPr>
              <w:spacing w:after="30"/>
            </w:pPr>
            <w:r>
              <w:rPr>
                <w:rFonts w:ascii="Aptos" w:hAnsi="Aptos"/>
                <w:color w:val="232D38"/>
                <w:sz w:val="14"/>
              </w:rPr>
              <w:t>Institution, jurisdiction, corridor, asset, action type, amount/velocity and environment.</w:t>
            </w:r>
          </w:p>
        </w:tc>
      </w:tr>
      <w:tr>
        <w:trPr>
          <w:cantSplit/>
        </w:trPr>
        <w:tc>
          <w:tcPr>
            <w:tcW w:type="dxa" w:w="4997"/>
            <w:tcMar>
              <w:top w:w="80" w:type="dxa"/>
              <w:start w:w="90" w:type="dxa"/>
              <w:bottom w:w="80" w:type="dxa"/>
              <w:end w:w="90" w:type="dxa"/>
            </w:tcMar>
            <w:vAlign w:val="top"/>
          </w:tcPr>
          <w:p>
            <w:pPr>
              <w:spacing w:after="30"/>
            </w:pPr>
            <w:r>
              <w:rPr>
                <w:rFonts w:ascii="Aptos" w:hAnsi="Aptos"/>
                <w:color w:val="232D38"/>
                <w:sz w:val="14"/>
              </w:rPr>
              <w:t>owner/approvers</w:t>
            </w:r>
          </w:p>
        </w:tc>
        <w:tc>
          <w:tcPr>
            <w:tcW w:type="dxa" w:w="4997"/>
            <w:tcMar>
              <w:top w:w="80" w:type="dxa"/>
              <w:start w:w="90" w:type="dxa"/>
              <w:bottom w:w="80" w:type="dxa"/>
              <w:end w:w="90" w:type="dxa"/>
            </w:tcMar>
            <w:vAlign w:val="top"/>
          </w:tcPr>
          <w:p>
            <w:pPr>
              <w:spacing w:after="30"/>
            </w:pPr>
            <w:r>
              <w:rPr>
                <w:rFonts w:ascii="Aptos" w:hAnsi="Aptos"/>
                <w:color w:val="232D38"/>
                <w:sz w:val="14"/>
              </w:rPr>
              <w:t>Accountable role and required dual approvals.</w:t>
            </w:r>
          </w:p>
        </w:tc>
      </w:tr>
      <w:tr>
        <w:trPr>
          <w:cantSplit/>
        </w:trPr>
        <w:tc>
          <w:tcPr>
            <w:tcW w:type="dxa" w:w="4997"/>
            <w:tcMar>
              <w:top w:w="80" w:type="dxa"/>
              <w:start w:w="90" w:type="dxa"/>
              <w:bottom w:w="80" w:type="dxa"/>
              <w:end w:w="90" w:type="dxa"/>
            </w:tcMar>
            <w:vAlign w:val="top"/>
            <w:shd w:fill="F7F9FB"/>
          </w:tcPr>
          <w:p>
            <w:pPr>
              <w:spacing w:after="30"/>
            </w:pPr>
            <w:r>
              <w:rPr>
                <w:rFonts w:ascii="Aptos" w:hAnsi="Aptos"/>
                <w:color w:val="232D38"/>
                <w:sz w:val="14"/>
              </w:rPr>
              <w:t>sourceBlueprintId/hash</w:t>
            </w:r>
          </w:p>
        </w:tc>
        <w:tc>
          <w:tcPr>
            <w:tcW w:type="dxa" w:w="4997"/>
            <w:tcMar>
              <w:top w:w="80" w:type="dxa"/>
              <w:start w:w="90" w:type="dxa"/>
              <w:bottom w:w="80" w:type="dxa"/>
              <w:end w:w="90" w:type="dxa"/>
            </w:tcMar>
            <w:vAlign w:val="top"/>
            <w:shd w:fill="F7F9FB"/>
          </w:tcPr>
          <w:p>
            <w:pPr>
              <w:spacing w:after="30"/>
            </w:pPr>
            <w:r>
              <w:rPr>
                <w:rFonts w:ascii="Aptos" w:hAnsi="Aptos"/>
                <w:color w:val="232D38"/>
                <w:sz w:val="14"/>
              </w:rPr>
              <w:t>Canonical source blueprint release.</w:t>
            </w:r>
          </w:p>
        </w:tc>
      </w:tr>
      <w:tr>
        <w:trPr>
          <w:cantSplit/>
        </w:trPr>
        <w:tc>
          <w:tcPr>
            <w:tcW w:type="dxa" w:w="4997"/>
            <w:tcMar>
              <w:top w:w="80" w:type="dxa"/>
              <w:start w:w="90" w:type="dxa"/>
              <w:bottom w:w="80" w:type="dxa"/>
              <w:end w:w="90" w:type="dxa"/>
            </w:tcMar>
            <w:vAlign w:val="top"/>
          </w:tcPr>
          <w:p>
            <w:pPr>
              <w:spacing w:after="30"/>
            </w:pPr>
            <w:r>
              <w:rPr>
                <w:rFonts w:ascii="Aptos" w:hAnsi="Aptos"/>
                <w:color w:val="232D38"/>
                <w:sz w:val="14"/>
              </w:rPr>
              <w:t>tests/evidenceRefs</w:t>
            </w:r>
          </w:p>
        </w:tc>
        <w:tc>
          <w:tcPr>
            <w:tcW w:type="dxa" w:w="4997"/>
            <w:tcMar>
              <w:top w:w="80" w:type="dxa"/>
              <w:start w:w="90" w:type="dxa"/>
              <w:bottom w:w="80" w:type="dxa"/>
              <w:end w:w="90" w:type="dxa"/>
            </w:tcMar>
            <w:vAlign w:val="top"/>
          </w:tcPr>
          <w:p>
            <w:pPr>
              <w:spacing w:after="30"/>
            </w:pPr>
            <w:r>
              <w:rPr>
                <w:rFonts w:ascii="Aptos" w:hAnsi="Aptos"/>
                <w:color w:val="232D38"/>
                <w:sz w:val="14"/>
              </w:rPr>
              <w:t>Positive, negative, boundary, adversarial and regression tests.</w:t>
            </w:r>
          </w:p>
        </w:tc>
      </w:tr>
      <w:tr>
        <w:trPr>
          <w:cantSplit/>
        </w:trPr>
        <w:tc>
          <w:tcPr>
            <w:tcW w:type="dxa" w:w="4997"/>
            <w:tcMar>
              <w:top w:w="80" w:type="dxa"/>
              <w:start w:w="90" w:type="dxa"/>
              <w:bottom w:w="80" w:type="dxa"/>
              <w:end w:w="90" w:type="dxa"/>
            </w:tcMar>
            <w:vAlign w:val="top"/>
            <w:shd w:fill="F7F9FB"/>
          </w:tcPr>
          <w:p>
            <w:pPr>
              <w:spacing w:after="30"/>
            </w:pPr>
            <w:r>
              <w:rPr>
                <w:rFonts w:ascii="Aptos" w:hAnsi="Aptos"/>
                <w:color w:val="232D38"/>
                <w:sz w:val="14"/>
              </w:rPr>
              <w:t>rollback/supersedes</w:t>
            </w:r>
          </w:p>
        </w:tc>
        <w:tc>
          <w:tcPr>
            <w:tcW w:type="dxa" w:w="4997"/>
            <w:tcMar>
              <w:top w:w="80" w:type="dxa"/>
              <w:start w:w="90" w:type="dxa"/>
              <w:bottom w:w="80" w:type="dxa"/>
              <w:end w:w="90" w:type="dxa"/>
            </w:tcMar>
            <w:vAlign w:val="top"/>
            <w:shd w:fill="F7F9FB"/>
          </w:tcPr>
          <w:p>
            <w:pPr>
              <w:spacing w:after="30"/>
            </w:pPr>
            <w:r>
              <w:rPr>
                <w:rFonts w:ascii="Aptos" w:hAnsi="Aptos"/>
                <w:color w:val="232D38"/>
                <w:sz w:val="14"/>
              </w:rPr>
              <w:t>Prior allowed version and compatible rollback behavior.</w:t>
            </w:r>
          </w:p>
        </w:tc>
      </w:tr>
      <w:tr>
        <w:trPr>
          <w:cantSplit/>
        </w:trPr>
        <w:tc>
          <w:tcPr>
            <w:tcW w:type="dxa" w:w="4997"/>
            <w:tcMar>
              <w:top w:w="80" w:type="dxa"/>
              <w:start w:w="90" w:type="dxa"/>
              <w:bottom w:w="80" w:type="dxa"/>
              <w:end w:w="90" w:type="dxa"/>
            </w:tcMar>
            <w:vAlign w:val="top"/>
          </w:tcPr>
          <w:p>
            <w:pPr>
              <w:spacing w:after="30"/>
            </w:pPr>
            <w:r>
              <w:rPr>
                <w:rFonts w:ascii="Aptos" w:hAnsi="Aptos"/>
                <w:color w:val="232D38"/>
                <w:sz w:val="14"/>
              </w:rPr>
              <w:t>activation state</w:t>
            </w:r>
          </w:p>
        </w:tc>
        <w:tc>
          <w:tcPr>
            <w:tcW w:type="dxa" w:w="4997"/>
            <w:tcMar>
              <w:top w:w="80" w:type="dxa"/>
              <w:start w:w="90" w:type="dxa"/>
              <w:bottom w:w="80" w:type="dxa"/>
              <w:end w:w="90" w:type="dxa"/>
            </w:tcMar>
            <w:vAlign w:val="top"/>
          </w:tcPr>
          <w:p>
            <w:pPr>
              <w:spacing w:after="30"/>
            </w:pPr>
            <w:r>
              <w:rPr>
                <w:rFonts w:ascii="Aptos" w:hAnsi="Aptos"/>
                <w:color w:val="232D38"/>
                <w:sz w:val="14"/>
              </w:rPr>
              <w:t>Draft/reviewed/approved/scheduled/active/suspended/expired/revoked. Only approved valid state may run.</w:t>
            </w:r>
          </w:p>
        </w:tc>
      </w:tr>
    </w:tbl>
    <w:p>
      <w:pPr>
        <w:spacing w:after="0"/>
      </w:pPr>
    </w:p>
    <w:p>
      <w:pPr>
        <w:pStyle w:val="Heading2"/>
      </w:pPr>
      <w:r>
        <w:t>B.3 Outbox/event record</w:t>
      </w:r>
    </w:p>
    <w:tbl>
      <w:tblPr>
        <w:tblStyle w:val="TableGrid"/>
        <w:tblW w:type="auto" w:w="0"/>
        <w:jc w:val="center"/>
        <w:tblLook w:firstColumn="1" w:firstRow="1" w:lastColumn="0" w:lastRow="0" w:noHBand="0" w:noVBand="1" w:val="04A0"/>
      </w:tblPr>
      <w:tblGrid>
        <w:gridCol w:w="4997"/>
        <w:gridCol w:w="4997"/>
      </w:tblGrid>
      <w:tr>
        <w:trPr>
          <w:tblHeader w:val="true"/>
          <w:cantSplit/>
        </w:trPr>
        <w:tc>
          <w:tcPr>
            <w:tcW w:type="dxa" w:w="2592"/>
            <w:shd w:fill="07111F"/>
            <w:tcMar>
              <w:top w:w="80" w:type="dxa"/>
              <w:start w:w="90" w:type="dxa"/>
              <w:bottom w:w="80" w:type="dxa"/>
              <w:end w:w="90" w:type="dxa"/>
            </w:tcMar>
            <w:vAlign w:val="center"/>
          </w:tcPr>
          <w:p>
            <w:r>
              <w:rPr>
                <w:rFonts w:ascii="Aptos" w:hAnsi="Aptos"/>
                <w:b/>
                <w:color w:val="FFFFFF"/>
                <w:sz w:val="14"/>
              </w:rPr>
              <w:t>Field</w:t>
            </w:r>
          </w:p>
        </w:tc>
        <w:tc>
          <w:tcPr>
            <w:tcW w:type="dxa" w:w="7344"/>
            <w:shd w:fill="07111F"/>
            <w:tcMar>
              <w:top w:w="80" w:type="dxa"/>
              <w:start w:w="90" w:type="dxa"/>
              <w:bottom w:w="80" w:type="dxa"/>
              <w:end w:w="90" w:type="dxa"/>
            </w:tcMar>
            <w:vAlign w:val="center"/>
          </w:tcPr>
          <w:p>
            <w:r>
              <w:rPr>
                <w:rFonts w:ascii="Aptos" w:hAnsi="Aptos"/>
                <w:b/>
                <w:color w:val="FFFFFF"/>
                <w:sz w:val="14"/>
              </w:rPr>
              <w:t>Requirement</w:t>
            </w:r>
          </w:p>
        </w:tc>
      </w:tr>
      <w:tr>
        <w:trPr>
          <w:cantSplit/>
        </w:trPr>
        <w:tc>
          <w:tcPr>
            <w:tcW w:type="dxa" w:w="4997"/>
            <w:tcMar>
              <w:top w:w="80" w:type="dxa"/>
              <w:start w:w="90" w:type="dxa"/>
              <w:bottom w:w="80" w:type="dxa"/>
              <w:end w:w="90" w:type="dxa"/>
            </w:tcMar>
            <w:vAlign w:val="top"/>
            <w:shd w:fill="F7F9FB"/>
          </w:tcPr>
          <w:p>
            <w:pPr>
              <w:spacing w:after="30"/>
            </w:pPr>
            <w:r>
              <w:rPr>
                <w:rFonts w:ascii="Aptos" w:hAnsi="Aptos"/>
                <w:color w:val="232D38"/>
                <w:sz w:val="14"/>
              </w:rPr>
              <w:t>outboxId/eventId</w:t>
            </w:r>
          </w:p>
        </w:tc>
        <w:tc>
          <w:tcPr>
            <w:tcW w:type="dxa" w:w="4997"/>
            <w:tcMar>
              <w:top w:w="80" w:type="dxa"/>
              <w:start w:w="90" w:type="dxa"/>
              <w:bottom w:w="80" w:type="dxa"/>
              <w:end w:w="90" w:type="dxa"/>
            </w:tcMar>
            <w:vAlign w:val="top"/>
            <w:shd w:fill="F7F9FB"/>
          </w:tcPr>
          <w:p>
            <w:pPr>
              <w:spacing w:after="30"/>
            </w:pPr>
            <w:r>
              <w:rPr>
                <w:rFonts w:ascii="Aptos" w:hAnsi="Aptos"/>
                <w:color w:val="232D38"/>
                <w:sz w:val="14"/>
              </w:rPr>
              <w:t>Unique and stable across delivery retries.</w:t>
            </w:r>
          </w:p>
        </w:tc>
      </w:tr>
      <w:tr>
        <w:trPr>
          <w:cantSplit/>
        </w:trPr>
        <w:tc>
          <w:tcPr>
            <w:tcW w:type="dxa" w:w="4997"/>
            <w:tcMar>
              <w:top w:w="80" w:type="dxa"/>
              <w:start w:w="90" w:type="dxa"/>
              <w:bottom w:w="80" w:type="dxa"/>
              <w:end w:w="90" w:type="dxa"/>
            </w:tcMar>
            <w:vAlign w:val="top"/>
          </w:tcPr>
          <w:p>
            <w:pPr>
              <w:spacing w:after="30"/>
            </w:pPr>
            <w:r>
              <w:rPr>
                <w:rFonts w:ascii="Aptos" w:hAnsi="Aptos"/>
                <w:color w:val="232D38"/>
                <w:sz w:val="14"/>
              </w:rPr>
              <w:t>aggregateType/aggregateId/version</w:t>
            </w:r>
          </w:p>
        </w:tc>
        <w:tc>
          <w:tcPr>
            <w:tcW w:type="dxa" w:w="4997"/>
            <w:tcMar>
              <w:top w:w="80" w:type="dxa"/>
              <w:start w:w="90" w:type="dxa"/>
              <w:bottom w:w="80" w:type="dxa"/>
              <w:end w:w="90" w:type="dxa"/>
            </w:tcMar>
            <w:vAlign w:val="top"/>
          </w:tcPr>
          <w:p>
            <w:pPr>
              <w:spacing w:after="30"/>
            </w:pPr>
            <w:r>
              <w:rPr>
                <w:rFonts w:ascii="Aptos" w:hAnsi="Aptos"/>
                <w:color w:val="232D38"/>
                <w:sz w:val="14"/>
              </w:rPr>
              <w:t>Authoritative object and version that produced event.</w:t>
            </w:r>
          </w:p>
        </w:tc>
      </w:tr>
      <w:tr>
        <w:trPr>
          <w:cantSplit/>
        </w:trPr>
        <w:tc>
          <w:tcPr>
            <w:tcW w:type="dxa" w:w="4997"/>
            <w:tcMar>
              <w:top w:w="80" w:type="dxa"/>
              <w:start w:w="90" w:type="dxa"/>
              <w:bottom w:w="80" w:type="dxa"/>
              <w:end w:w="90" w:type="dxa"/>
            </w:tcMar>
            <w:vAlign w:val="top"/>
            <w:shd w:fill="F7F9FB"/>
          </w:tcPr>
          <w:p>
            <w:pPr>
              <w:spacing w:after="30"/>
            </w:pPr>
            <w:r>
              <w:rPr>
                <w:rFonts w:ascii="Aptos" w:hAnsi="Aptos"/>
                <w:color w:val="232D38"/>
                <w:sz w:val="14"/>
              </w:rPr>
              <w:t>eventType/schemaVersion</w:t>
            </w:r>
          </w:p>
        </w:tc>
        <w:tc>
          <w:tcPr>
            <w:tcW w:type="dxa" w:w="4997"/>
            <w:tcMar>
              <w:top w:w="80" w:type="dxa"/>
              <w:start w:w="90" w:type="dxa"/>
              <w:bottom w:w="80" w:type="dxa"/>
              <w:end w:w="90" w:type="dxa"/>
            </w:tcMar>
            <w:vAlign w:val="top"/>
            <w:shd w:fill="F7F9FB"/>
          </w:tcPr>
          <w:p>
            <w:pPr>
              <w:spacing w:after="30"/>
            </w:pPr>
            <w:r>
              <w:rPr>
                <w:rFonts w:ascii="Aptos" w:hAnsi="Aptos"/>
                <w:color w:val="232D38"/>
                <w:sz w:val="14"/>
              </w:rPr>
              <w:t>Explicit typed event and consumer compatibility.</w:t>
            </w:r>
          </w:p>
        </w:tc>
      </w:tr>
      <w:tr>
        <w:trPr>
          <w:cantSplit/>
        </w:trPr>
        <w:tc>
          <w:tcPr>
            <w:tcW w:type="dxa" w:w="4997"/>
            <w:tcMar>
              <w:top w:w="80" w:type="dxa"/>
              <w:start w:w="90" w:type="dxa"/>
              <w:bottom w:w="80" w:type="dxa"/>
              <w:end w:w="90" w:type="dxa"/>
            </w:tcMar>
            <w:vAlign w:val="top"/>
          </w:tcPr>
          <w:p>
            <w:pPr>
              <w:spacing w:after="30"/>
            </w:pPr>
            <w:r>
              <w:rPr>
                <w:rFonts w:ascii="Aptos" w:hAnsi="Aptos"/>
                <w:color w:val="232D38"/>
                <w:sz w:val="14"/>
              </w:rPr>
              <w:t>payloadRef/payloadHash</w:t>
            </w:r>
          </w:p>
        </w:tc>
        <w:tc>
          <w:tcPr>
            <w:tcW w:type="dxa" w:w="4997"/>
            <w:tcMar>
              <w:top w:w="80" w:type="dxa"/>
              <w:start w:w="90" w:type="dxa"/>
              <w:bottom w:w="80" w:type="dxa"/>
              <w:end w:w="90" w:type="dxa"/>
            </w:tcMar>
            <w:vAlign w:val="top"/>
          </w:tcPr>
          <w:p>
            <w:pPr>
              <w:spacing w:after="30"/>
            </w:pPr>
            <w:r>
              <w:rPr>
                <w:rFonts w:ascii="Aptos" w:hAnsi="Aptos"/>
                <w:color w:val="232D38"/>
                <w:sz w:val="14"/>
              </w:rPr>
              <w:t>Minimal payload or protected reference plus integrity hash.</w:t>
            </w:r>
          </w:p>
        </w:tc>
      </w:tr>
      <w:tr>
        <w:trPr>
          <w:cantSplit/>
        </w:trPr>
        <w:tc>
          <w:tcPr>
            <w:tcW w:type="dxa" w:w="4997"/>
            <w:tcMar>
              <w:top w:w="80" w:type="dxa"/>
              <w:start w:w="90" w:type="dxa"/>
              <w:bottom w:w="80" w:type="dxa"/>
              <w:end w:w="90" w:type="dxa"/>
            </w:tcMar>
            <w:vAlign w:val="top"/>
            <w:shd w:fill="F7F9FB"/>
          </w:tcPr>
          <w:p>
            <w:pPr>
              <w:spacing w:after="30"/>
            </w:pPr>
            <w:r>
              <w:rPr>
                <w:rFonts w:ascii="Aptos" w:hAnsi="Aptos"/>
                <w:color w:val="232D38"/>
                <w:sz w:val="14"/>
              </w:rPr>
              <w:t>createdAt/nextAttemptAt/attemptCount</w:t>
            </w:r>
          </w:p>
        </w:tc>
        <w:tc>
          <w:tcPr>
            <w:tcW w:type="dxa" w:w="4997"/>
            <w:tcMar>
              <w:top w:w="80" w:type="dxa"/>
              <w:start w:w="90" w:type="dxa"/>
              <w:bottom w:w="80" w:type="dxa"/>
              <w:end w:w="90" w:type="dxa"/>
            </w:tcMar>
            <w:vAlign w:val="top"/>
            <w:shd w:fill="F7F9FB"/>
          </w:tcPr>
          <w:p>
            <w:pPr>
              <w:spacing w:after="30"/>
            </w:pPr>
            <w:r>
              <w:rPr>
                <w:rFonts w:ascii="Aptos" w:hAnsi="Aptos"/>
                <w:color w:val="232D38"/>
                <w:sz w:val="14"/>
              </w:rPr>
              <w:t>Delivery lifecycle and bounded retry visibility.</w:t>
            </w:r>
          </w:p>
        </w:tc>
      </w:tr>
      <w:tr>
        <w:trPr>
          <w:cantSplit/>
        </w:trPr>
        <w:tc>
          <w:tcPr>
            <w:tcW w:type="dxa" w:w="4997"/>
            <w:tcMar>
              <w:top w:w="80" w:type="dxa"/>
              <w:start w:w="90" w:type="dxa"/>
              <w:bottom w:w="80" w:type="dxa"/>
              <w:end w:w="90" w:type="dxa"/>
            </w:tcMar>
            <w:vAlign w:val="top"/>
          </w:tcPr>
          <w:p>
            <w:pPr>
              <w:spacing w:after="30"/>
            </w:pPr>
            <w:r>
              <w:rPr>
                <w:rFonts w:ascii="Aptos" w:hAnsi="Aptos"/>
                <w:color w:val="232D38"/>
                <w:sz w:val="14"/>
              </w:rPr>
              <w:t>dispatch status/lease</w:t>
            </w:r>
          </w:p>
        </w:tc>
        <w:tc>
          <w:tcPr>
            <w:tcW w:type="dxa" w:w="4997"/>
            <w:tcMar>
              <w:top w:w="80" w:type="dxa"/>
              <w:start w:w="90" w:type="dxa"/>
              <w:bottom w:w="80" w:type="dxa"/>
              <w:end w:w="90" w:type="dxa"/>
            </w:tcMar>
            <w:vAlign w:val="top"/>
          </w:tcPr>
          <w:p>
            <w:pPr>
              <w:spacing w:after="30"/>
            </w:pPr>
            <w:r>
              <w:rPr>
                <w:rFonts w:ascii="Aptos" w:hAnsi="Aptos"/>
                <w:color w:val="232D38"/>
                <w:sz w:val="14"/>
              </w:rPr>
              <w:t>Pending, leased, delivered, retryable failed, dead-lettered; safe concurrency.</w:t>
            </w:r>
          </w:p>
        </w:tc>
      </w:tr>
      <w:tr>
        <w:trPr>
          <w:cantSplit/>
        </w:trPr>
        <w:tc>
          <w:tcPr>
            <w:tcW w:type="dxa" w:w="4997"/>
            <w:tcMar>
              <w:top w:w="80" w:type="dxa"/>
              <w:start w:w="90" w:type="dxa"/>
              <w:bottom w:w="80" w:type="dxa"/>
              <w:end w:w="90" w:type="dxa"/>
            </w:tcMar>
            <w:vAlign w:val="top"/>
            <w:shd w:fill="F7F9FB"/>
          </w:tcPr>
          <w:p>
            <w:pPr>
              <w:spacing w:after="30"/>
            </w:pPr>
            <w:r>
              <w:rPr>
                <w:rFonts w:ascii="Aptos" w:hAnsi="Aptos"/>
                <w:color w:val="232D38"/>
                <w:sz w:val="14"/>
              </w:rPr>
              <w:t>consumer/dedupe key</w:t>
            </w:r>
          </w:p>
        </w:tc>
        <w:tc>
          <w:tcPr>
            <w:tcW w:type="dxa" w:w="4997"/>
            <w:tcMar>
              <w:top w:w="80" w:type="dxa"/>
              <w:start w:w="90" w:type="dxa"/>
              <w:bottom w:w="80" w:type="dxa"/>
              <w:end w:w="90" w:type="dxa"/>
            </w:tcMar>
            <w:vAlign w:val="top"/>
            <w:shd w:fill="F7F9FB"/>
          </w:tcPr>
          <w:p>
            <w:pPr>
              <w:spacing w:after="30"/>
            </w:pPr>
            <w:r>
              <w:rPr>
                <w:rFonts w:ascii="Aptos" w:hAnsi="Aptos"/>
                <w:color w:val="232D38"/>
                <w:sz w:val="14"/>
              </w:rPr>
              <w:t>Every side-effecting consumer has idempotency/inbox record.</w:t>
            </w:r>
          </w:p>
        </w:tc>
      </w:tr>
      <w:tr>
        <w:trPr>
          <w:cantSplit/>
        </w:trPr>
        <w:tc>
          <w:tcPr>
            <w:tcW w:type="dxa" w:w="4997"/>
            <w:tcMar>
              <w:top w:w="80" w:type="dxa"/>
              <w:start w:w="90" w:type="dxa"/>
              <w:bottom w:w="80" w:type="dxa"/>
              <w:end w:w="90" w:type="dxa"/>
            </w:tcMar>
            <w:vAlign w:val="top"/>
          </w:tcPr>
          <w:p>
            <w:pPr>
              <w:spacing w:after="30"/>
            </w:pPr>
            <w:r>
              <w:rPr>
                <w:rFonts w:ascii="Aptos" w:hAnsi="Aptos"/>
                <w:color w:val="232D38"/>
                <w:sz w:val="14"/>
              </w:rPr>
              <w:t>trace/error category</w:t>
            </w:r>
          </w:p>
        </w:tc>
        <w:tc>
          <w:tcPr>
            <w:tcW w:type="dxa" w:w="4997"/>
            <w:tcMar>
              <w:top w:w="80" w:type="dxa"/>
              <w:start w:w="90" w:type="dxa"/>
              <w:bottom w:w="80" w:type="dxa"/>
              <w:end w:w="90" w:type="dxa"/>
            </w:tcMar>
            <w:vAlign w:val="top"/>
          </w:tcPr>
          <w:p>
            <w:pPr>
              <w:spacing w:after="30"/>
            </w:pPr>
            <w:r>
              <w:rPr>
                <w:rFonts w:ascii="Aptos" w:hAnsi="Aptos"/>
                <w:color w:val="232D38"/>
                <w:sz w:val="14"/>
              </w:rPr>
              <w:t>Correlation IDs and safe redacted diagnostics.</w:t>
            </w:r>
          </w:p>
        </w:tc>
      </w:tr>
    </w:tbl>
    <w:p>
      <w:pPr>
        <w:spacing w:after="0"/>
      </w:pPr>
    </w:p>
    <w:p>
      <w:pPr>
        <w:pStyle w:val="Heading2"/>
      </w:pPr>
      <w:r>
        <w:t>B.4 Evidence and gate decision records</w:t>
      </w:r>
    </w:p>
    <w:tbl>
      <w:tblPr>
        <w:tblStyle w:val="TableGrid"/>
        <w:tblW w:type="auto" w:w="0"/>
        <w:jc w:val="center"/>
        <w:tblLook w:firstColumn="1" w:firstRow="1" w:lastColumn="0" w:lastRow="0" w:noHBand="0" w:noVBand="1" w:val="04A0"/>
      </w:tblPr>
      <w:tblGrid>
        <w:gridCol w:w="4997"/>
        <w:gridCol w:w="4997"/>
      </w:tblGrid>
      <w:tr>
        <w:trPr>
          <w:tblHeader w:val="true"/>
          <w:cantSplit/>
        </w:trPr>
        <w:tc>
          <w:tcPr>
            <w:tcW w:type="dxa" w:w="2016"/>
            <w:shd w:fill="07111F"/>
            <w:tcMar>
              <w:top w:w="80" w:type="dxa"/>
              <w:start w:w="90" w:type="dxa"/>
              <w:bottom w:w="80" w:type="dxa"/>
              <w:end w:w="90" w:type="dxa"/>
            </w:tcMar>
            <w:vAlign w:val="center"/>
          </w:tcPr>
          <w:p>
            <w:r>
              <w:rPr>
                <w:rFonts w:ascii="Aptos" w:hAnsi="Aptos"/>
                <w:b/>
                <w:color w:val="FFFFFF"/>
                <w:sz w:val="14"/>
              </w:rPr>
              <w:t>Record</w:t>
            </w:r>
          </w:p>
        </w:tc>
        <w:tc>
          <w:tcPr>
            <w:tcW w:type="dxa" w:w="7920"/>
            <w:shd w:fill="07111F"/>
            <w:tcMar>
              <w:top w:w="80" w:type="dxa"/>
              <w:start w:w="90" w:type="dxa"/>
              <w:bottom w:w="80" w:type="dxa"/>
              <w:end w:w="90" w:type="dxa"/>
            </w:tcMar>
            <w:vAlign w:val="center"/>
          </w:tcPr>
          <w:p>
            <w:r>
              <w:rPr>
                <w:rFonts w:ascii="Aptos" w:hAnsi="Aptos"/>
                <w:b/>
                <w:color w:val="FFFFFF"/>
                <w:sz w:val="14"/>
              </w:rPr>
              <w:t>Minimum fields</w:t>
            </w:r>
          </w:p>
        </w:tc>
      </w:tr>
      <w:tr>
        <w:trPr>
          <w:cantSplit/>
        </w:trPr>
        <w:tc>
          <w:tcPr>
            <w:tcW w:type="dxa" w:w="4997"/>
            <w:tcMar>
              <w:top w:w="80" w:type="dxa"/>
              <w:start w:w="90" w:type="dxa"/>
              <w:bottom w:w="80" w:type="dxa"/>
              <w:end w:w="90" w:type="dxa"/>
            </w:tcMar>
            <w:vAlign w:val="top"/>
            <w:shd w:fill="F7F9FB"/>
          </w:tcPr>
          <w:p>
            <w:pPr>
              <w:spacing w:after="30"/>
            </w:pPr>
            <w:r>
              <w:rPr>
                <w:rFonts w:ascii="Aptos" w:hAnsi="Aptos"/>
                <w:color w:val="232D38"/>
                <w:sz w:val="14"/>
              </w:rPr>
              <w:t>Evidence</w:t>
            </w:r>
          </w:p>
        </w:tc>
        <w:tc>
          <w:tcPr>
            <w:tcW w:type="dxa" w:w="4997"/>
            <w:tcMar>
              <w:top w:w="80" w:type="dxa"/>
              <w:start w:w="90" w:type="dxa"/>
              <w:bottom w:w="80" w:type="dxa"/>
              <w:end w:w="90" w:type="dxa"/>
            </w:tcMar>
            <w:vAlign w:val="top"/>
            <w:shd w:fill="F7F9FB"/>
          </w:tcPr>
          <w:p>
            <w:pPr>
              <w:spacing w:after="30"/>
            </w:pPr>
            <w:r>
              <w:rPr>
                <w:rFonts w:ascii="Aptos" w:hAnsi="Aptos"/>
                <w:color w:val="232D38"/>
                <w:sz w:val="14"/>
              </w:rPr>
              <w:t>evidenceId, requirement/claim ID, provenance, issuer/source, observed/ingested/effective/expiry times, content hash, scope, classification, verification/reviewer and linked commit/policy/transaction/gate.</w:t>
            </w:r>
          </w:p>
        </w:tc>
      </w:tr>
      <w:tr>
        <w:trPr>
          <w:cantSplit/>
        </w:trPr>
        <w:tc>
          <w:tcPr>
            <w:tcW w:type="dxa" w:w="4997"/>
            <w:tcMar>
              <w:top w:w="80" w:type="dxa"/>
              <w:start w:w="90" w:type="dxa"/>
              <w:bottom w:w="80" w:type="dxa"/>
              <w:end w:w="90" w:type="dxa"/>
            </w:tcMar>
            <w:vAlign w:val="top"/>
          </w:tcPr>
          <w:p>
            <w:pPr>
              <w:spacing w:after="30"/>
            </w:pPr>
            <w:r>
              <w:rPr>
                <w:rFonts w:ascii="Aptos" w:hAnsi="Aptos"/>
                <w:color w:val="232D38"/>
                <w:sz w:val="14"/>
              </w:rPr>
              <w:t>GateDecision</w:t>
            </w:r>
          </w:p>
        </w:tc>
        <w:tc>
          <w:tcPr>
            <w:tcW w:type="dxa" w:w="4997"/>
            <w:tcMar>
              <w:top w:w="80" w:type="dxa"/>
              <w:start w:w="90" w:type="dxa"/>
              <w:bottom w:w="80" w:type="dxa"/>
              <w:end w:w="90" w:type="dxa"/>
            </w:tcMar>
            <w:vAlign w:val="top"/>
          </w:tcPr>
          <w:p>
            <w:pPr>
              <w:spacing w:after="30"/>
            </w:pPr>
            <w:r>
              <w:rPr>
                <w:rFonts w:ascii="Aptos" w:hAnsi="Aptos"/>
                <w:color w:val="232D38"/>
                <w:sz w:val="14"/>
              </w:rPr>
              <w:t>gateId, scope, evidenceRefs, unmet requirements, decision, conditions/expiry, approvers, decisionAt, blueprint/release hash, prior decision and next review.</w:t>
            </w:r>
          </w:p>
        </w:tc>
      </w:tr>
      <w:tr>
        <w:trPr>
          <w:cantSplit/>
        </w:trPr>
        <w:tc>
          <w:tcPr>
            <w:tcW w:type="dxa" w:w="4997"/>
            <w:tcMar>
              <w:top w:w="80" w:type="dxa"/>
              <w:start w:w="90" w:type="dxa"/>
              <w:bottom w:w="80" w:type="dxa"/>
              <w:end w:w="90" w:type="dxa"/>
            </w:tcMar>
            <w:vAlign w:val="top"/>
            <w:shd w:fill="F7F9FB"/>
          </w:tcPr>
          <w:p>
            <w:pPr>
              <w:spacing w:after="30"/>
            </w:pPr>
            <w:r>
              <w:rPr>
                <w:rFonts w:ascii="Aptos" w:hAnsi="Aptos"/>
                <w:color w:val="232D38"/>
                <w:sz w:val="14"/>
              </w:rPr>
              <w:t>RiskEntry</w:t>
            </w:r>
          </w:p>
        </w:tc>
        <w:tc>
          <w:tcPr>
            <w:tcW w:type="dxa" w:w="4997"/>
            <w:tcMar>
              <w:top w:w="80" w:type="dxa"/>
              <w:start w:w="90" w:type="dxa"/>
              <w:bottom w:w="80" w:type="dxa"/>
              <w:end w:w="90" w:type="dxa"/>
            </w:tcMar>
            <w:vAlign w:val="top"/>
            <w:shd w:fill="F7F9FB"/>
          </w:tcPr>
          <w:p>
            <w:pPr>
              <w:spacing w:after="30"/>
            </w:pPr>
            <w:r>
              <w:rPr>
                <w:rFonts w:ascii="Aptos" w:hAnsi="Aptos"/>
                <w:color w:val="232D38"/>
                <w:sz w:val="14"/>
              </w:rPr>
              <w:t>riskId, category, scenario, cause/consequence, inherent/residual assessment, controls, indicators, owner, mitigation, acceptance authority, evidence and due review.</w:t>
            </w:r>
          </w:p>
        </w:tc>
      </w:tr>
      <w:tr>
        <w:trPr>
          <w:cantSplit/>
        </w:trPr>
        <w:tc>
          <w:tcPr>
            <w:tcW w:type="dxa" w:w="4997"/>
            <w:tcMar>
              <w:top w:w="80" w:type="dxa"/>
              <w:start w:w="90" w:type="dxa"/>
              <w:bottom w:w="80" w:type="dxa"/>
              <w:end w:w="90" w:type="dxa"/>
            </w:tcMar>
            <w:vAlign w:val="top"/>
          </w:tcPr>
          <w:p>
            <w:pPr>
              <w:spacing w:after="30"/>
            </w:pPr>
            <w:r>
              <w:rPr>
                <w:rFonts w:ascii="Aptos" w:hAnsi="Aptos"/>
                <w:color w:val="232D38"/>
                <w:sz w:val="14"/>
              </w:rPr>
              <w:t>ClaimRegister</w:t>
            </w:r>
          </w:p>
        </w:tc>
        <w:tc>
          <w:tcPr>
            <w:tcW w:type="dxa" w:w="4997"/>
            <w:tcMar>
              <w:top w:w="80" w:type="dxa"/>
              <w:start w:w="90" w:type="dxa"/>
              <w:bottom w:w="80" w:type="dxa"/>
              <w:end w:w="90" w:type="dxa"/>
            </w:tcMar>
            <w:vAlign w:val="top"/>
          </w:tcPr>
          <w:p>
            <w:pPr>
              <w:spacing w:after="30"/>
            </w:pPr>
            <w:r>
              <w:rPr>
                <w:rFonts w:ascii="Aptos" w:hAnsi="Aptos"/>
                <w:color w:val="232D38"/>
                <w:sz w:val="14"/>
              </w:rPr>
              <w:t>claimId, exact wording, channel, status, evidence, limitations, owner/approver, review/expiry and retraction action.</w:t>
            </w:r>
          </w:p>
        </w:tc>
      </w:tr>
      <w:tr>
        <w:trPr>
          <w:cantSplit/>
        </w:trPr>
        <w:tc>
          <w:tcPr>
            <w:tcW w:type="dxa" w:w="4997"/>
            <w:tcMar>
              <w:top w:w="80" w:type="dxa"/>
              <w:start w:w="90" w:type="dxa"/>
              <w:bottom w:w="80" w:type="dxa"/>
              <w:end w:w="90" w:type="dxa"/>
            </w:tcMar>
            <w:vAlign w:val="top"/>
            <w:shd w:fill="F7F9FB"/>
          </w:tcPr>
          <w:p>
            <w:pPr>
              <w:spacing w:after="30"/>
            </w:pPr>
            <w:r>
              <w:rPr>
                <w:rFonts w:ascii="Aptos" w:hAnsi="Aptos"/>
                <w:color w:val="232D38"/>
                <w:sz w:val="14"/>
              </w:rPr>
              <w:t>Reconciliation</w:t>
            </w:r>
          </w:p>
        </w:tc>
        <w:tc>
          <w:tcPr>
            <w:tcW w:type="dxa" w:w="4997"/>
            <w:tcMar>
              <w:top w:w="80" w:type="dxa"/>
              <w:start w:w="90" w:type="dxa"/>
              <w:bottom w:w="80" w:type="dxa"/>
              <w:end w:w="90" w:type="dxa"/>
            </w:tcMar>
            <w:vAlign w:val="top"/>
            <w:shd w:fill="F7F9FB"/>
          </w:tcPr>
          <w:p>
            <w:pPr>
              <w:spacing w:after="30"/>
            </w:pPr>
            <w:r>
              <w:rPr>
                <w:rFonts w:ascii="Aptos" w:hAnsi="Aptos"/>
                <w:color w:val="232D38"/>
                <w:sz w:val="14"/>
              </w:rPr>
              <w:t>caseId, source set/version, cutoff, expected/actual, discrepancy class, tolerance policy, severity, owner, correction and closure approver.</w:t>
            </w:r>
          </w:p>
        </w:tc>
      </w:tr>
    </w:tbl>
    <w:p>
      <w:pPr>
        <w:spacing w:after="0"/>
      </w:pPr>
    </w:p>
    <w:p>
      <w:pPr>
        <w:pStyle w:val="Heading1"/>
      </w:pPr>
      <w:r>
        <w:t>APPENDIX C — Last-Known Prompt 76 Checkpoint: Revalidate Before Acting</w:t>
      </w:r>
    </w:p>
    <w:p>
      <w:r>
        <w:rPr>
          <w:i w:val="0"/>
        </w:rPr>
        <w:t>The following was preserved in the accessible conversation summary for Prompt 76. It is continuity information, not a statement of current live status on 10 October 2026. Recheck repository and provider-native systems before relying on it.</w:t>
      </w:r>
    </w:p>
    <w:tbl>
      <w:tblPr>
        <w:tblStyle w:val="TableGrid"/>
        <w:tblW w:type="auto" w:w="0"/>
        <w:jc w:val="center"/>
        <w:tblLook w:firstColumn="1" w:firstRow="1" w:lastColumn="0" w:lastRow="0" w:noHBand="0" w:noVBand="1" w:val="04A0"/>
      </w:tblPr>
      <w:tblGrid>
        <w:gridCol w:w="3331"/>
        <w:gridCol w:w="3331"/>
        <w:gridCol w:w="3331"/>
      </w:tblGrid>
      <w:tr>
        <w:trPr>
          <w:tblHeader w:val="true"/>
          <w:cantSplit/>
        </w:trPr>
        <w:tc>
          <w:tcPr>
            <w:tcW w:type="dxa" w:w="1800"/>
            <w:shd w:fill="07111F"/>
            <w:tcMar>
              <w:top w:w="80" w:type="dxa"/>
              <w:start w:w="90" w:type="dxa"/>
              <w:bottom w:w="80" w:type="dxa"/>
              <w:end w:w="90" w:type="dxa"/>
            </w:tcMar>
            <w:vAlign w:val="center"/>
          </w:tcPr>
          <w:p>
            <w:r>
              <w:rPr>
                <w:rFonts w:ascii="Aptos" w:hAnsi="Aptos"/>
                <w:b/>
                <w:color w:val="FFFFFF"/>
                <w:sz w:val="14"/>
              </w:rPr>
              <w:t>Item</w:t>
            </w:r>
          </w:p>
        </w:tc>
        <w:tc>
          <w:tcPr>
            <w:tcW w:type="dxa" w:w="4032"/>
            <w:shd w:fill="07111F"/>
            <w:tcMar>
              <w:top w:w="80" w:type="dxa"/>
              <w:start w:w="90" w:type="dxa"/>
              <w:bottom w:w="80" w:type="dxa"/>
              <w:end w:w="90" w:type="dxa"/>
            </w:tcMar>
            <w:vAlign w:val="center"/>
          </w:tcPr>
          <w:p>
            <w:r>
              <w:rPr>
                <w:rFonts w:ascii="Aptos" w:hAnsi="Aptos"/>
                <w:b/>
                <w:color w:val="FFFFFF"/>
                <w:sz w:val="14"/>
              </w:rPr>
              <w:t>Last-recorded checkpoint</w:t>
            </w:r>
          </w:p>
        </w:tc>
        <w:tc>
          <w:tcPr>
            <w:tcW w:type="dxa" w:w="4104"/>
            <w:shd w:fill="07111F"/>
            <w:tcMar>
              <w:top w:w="80" w:type="dxa"/>
              <w:start w:w="90" w:type="dxa"/>
              <w:bottom w:w="80" w:type="dxa"/>
              <w:end w:w="90" w:type="dxa"/>
            </w:tcMar>
            <w:vAlign w:val="center"/>
          </w:tcPr>
          <w:p>
            <w:r>
              <w:rPr>
                <w:rFonts w:ascii="Aptos" w:hAnsi="Aptos"/>
                <w:b/>
                <w:color w:val="FFFFFF"/>
                <w:sz w:val="14"/>
              </w:rPr>
              <w:t>Required next action</w:t>
            </w:r>
          </w:p>
        </w:tc>
      </w:tr>
      <w:tr>
        <w:trPr>
          <w:cantSplit/>
        </w:trPr>
        <w:tc>
          <w:tcPr>
            <w:tcW w:type="dxa" w:w="3331"/>
            <w:tcMar>
              <w:top w:w="80" w:type="dxa"/>
              <w:start w:w="90" w:type="dxa"/>
              <w:bottom w:w="80" w:type="dxa"/>
              <w:end w:w="90" w:type="dxa"/>
            </w:tcMar>
            <w:vAlign w:val="top"/>
            <w:shd w:fill="F7F9FB"/>
          </w:tcPr>
          <w:p>
            <w:pPr>
              <w:spacing w:after="30"/>
            </w:pPr>
            <w:r>
              <w:rPr>
                <w:rFonts w:ascii="Aptos" w:hAnsi="Aptos"/>
                <w:color w:val="232D38"/>
                <w:sz w:val="14"/>
              </w:rPr>
              <w:t>Overall recovery</w:t>
            </w:r>
          </w:p>
        </w:tc>
        <w:tc>
          <w:tcPr>
            <w:tcW w:type="dxa" w:w="3331"/>
            <w:tcMar>
              <w:top w:w="80" w:type="dxa"/>
              <w:start w:w="90" w:type="dxa"/>
              <w:bottom w:w="80" w:type="dxa"/>
              <w:end w:w="90" w:type="dxa"/>
            </w:tcMar>
            <w:vAlign w:val="top"/>
            <w:shd w:fill="F7F9FB"/>
          </w:tcPr>
          <w:p>
            <w:pPr>
              <w:spacing w:after="30"/>
            </w:pPr>
            <w:r>
              <w:rPr>
                <w:rFonts w:ascii="Aptos" w:hAnsi="Aptos"/>
                <w:color w:val="232D38"/>
                <w:sz w:val="14"/>
              </w:rPr>
              <w:t>PROGRAM_INTEGRITY_STATUS = LOSS_RECOVERED_WITH_LIMITATIONS.</w:t>
            </w:r>
          </w:p>
        </w:tc>
        <w:tc>
          <w:tcPr>
            <w:tcW w:type="dxa" w:w="3331"/>
            <w:tcMar>
              <w:top w:w="80" w:type="dxa"/>
              <w:start w:w="90" w:type="dxa"/>
              <w:bottom w:w="80" w:type="dxa"/>
              <w:end w:w="90" w:type="dxa"/>
            </w:tcMar>
            <w:vAlign w:val="top"/>
            <w:shd w:fill="F7F9FB"/>
          </w:tcPr>
          <w:p>
            <w:pPr>
              <w:spacing w:after="30"/>
            </w:pPr>
            <w:r>
              <w:rPr>
                <w:rFonts w:ascii="Aptos" w:hAnsi="Aptos"/>
                <w:color w:val="232D38"/>
                <w:sz w:val="14"/>
              </w:rPr>
              <w:t>Inspect manifests and snapshots; validate hashes/completeness.</w:t>
            </w:r>
          </w:p>
        </w:tc>
      </w:tr>
      <w:tr>
        <w:trPr>
          <w:cantSplit/>
        </w:trPr>
        <w:tc>
          <w:tcPr>
            <w:tcW w:type="dxa" w:w="3331"/>
            <w:tcMar>
              <w:top w:w="80" w:type="dxa"/>
              <w:start w:w="90" w:type="dxa"/>
              <w:bottom w:w="80" w:type="dxa"/>
              <w:end w:w="90" w:type="dxa"/>
            </w:tcMar>
            <w:vAlign w:val="top"/>
          </w:tcPr>
          <w:p>
            <w:pPr>
              <w:spacing w:after="30"/>
            </w:pPr>
            <w:r>
              <w:rPr>
                <w:rFonts w:ascii="Aptos" w:hAnsi="Aptos"/>
                <w:color w:val="232D38"/>
                <w:sz w:val="14"/>
              </w:rPr>
              <w:t>Prompts 62–69 folders</w:t>
            </w:r>
          </w:p>
        </w:tc>
        <w:tc>
          <w:tcPr>
            <w:tcW w:type="dxa" w:w="3331"/>
            <w:tcMar>
              <w:top w:w="80" w:type="dxa"/>
              <w:start w:w="90" w:type="dxa"/>
              <w:bottom w:w="80" w:type="dxa"/>
              <w:end w:w="90" w:type="dxa"/>
            </w:tcMar>
            <w:vAlign w:val="top"/>
          </w:tcPr>
          <w:p>
            <w:pPr>
              <w:spacing w:after="30"/>
            </w:pPr>
            <w:r>
              <w:rPr>
                <w:rFonts w:ascii="Aptos" w:hAnsi="Aptos"/>
                <w:color w:val="232D38"/>
                <w:sz w:val="14"/>
              </w:rPr>
              <w:t>LOSS_STATUS = MISSING_NONRECOVERABLE.</w:t>
            </w:r>
          </w:p>
        </w:tc>
        <w:tc>
          <w:tcPr>
            <w:tcW w:type="dxa" w:w="3331"/>
            <w:tcMar>
              <w:top w:w="80" w:type="dxa"/>
              <w:start w:w="90" w:type="dxa"/>
              <w:bottom w:w="80" w:type="dxa"/>
              <w:end w:w="90" w:type="dxa"/>
            </w:tcMar>
            <w:vAlign w:val="top"/>
          </w:tcPr>
          <w:p>
            <w:pPr>
              <w:spacing w:after="30"/>
            </w:pPr>
            <w:r>
              <w:rPr>
                <w:rFonts w:ascii="Aptos" w:hAnsi="Aptos"/>
                <w:color w:val="232D38"/>
                <w:sz w:val="14"/>
              </w:rPr>
              <w:t>Search Git history/branches/tags/reflog/stash/build outputs/platform archive again; label reconstructions as such.</w:t>
            </w:r>
          </w:p>
        </w:tc>
      </w:tr>
      <w:tr>
        <w:trPr>
          <w:cantSplit/>
        </w:trPr>
        <w:tc>
          <w:tcPr>
            <w:tcW w:type="dxa" w:w="3331"/>
            <w:tcMar>
              <w:top w:w="80" w:type="dxa"/>
              <w:start w:w="90" w:type="dxa"/>
              <w:bottom w:w="80" w:type="dxa"/>
              <w:end w:w="90" w:type="dxa"/>
            </w:tcMar>
            <w:vAlign w:val="top"/>
            <w:shd w:fill="F7F9FB"/>
          </w:tcPr>
          <w:p>
            <w:pPr>
              <w:spacing w:after="30"/>
            </w:pPr>
            <w:r>
              <w:rPr>
                <w:rFonts w:ascii="Aptos" w:hAnsi="Aptos"/>
                <w:color w:val="232D38"/>
                <w:sz w:val="14"/>
              </w:rPr>
              <w:t>Secrets</w:t>
            </w:r>
          </w:p>
        </w:tc>
        <w:tc>
          <w:tcPr>
            <w:tcW w:type="dxa" w:w="3331"/>
            <w:tcMar>
              <w:top w:w="80" w:type="dxa"/>
              <w:start w:w="90" w:type="dxa"/>
              <w:bottom w:w="80" w:type="dxa"/>
              <w:end w:w="90" w:type="dxa"/>
            </w:tcMar>
            <w:vAlign w:val="top"/>
            <w:shd w:fill="F7F9FB"/>
          </w:tcPr>
          <w:p>
            <w:pPr>
              <w:spacing w:after="30"/>
            </w:pPr>
            <w:r>
              <w:rPr>
                <w:rFonts w:ascii="Aptos" w:hAnsi="Aptos"/>
                <w:color w:val="232D38"/>
                <w:sz w:val="14"/>
              </w:rPr>
              <w:t>SECRET_STATUS = BLOCKED; 52/52 entries reported template-only.</w:t>
            </w:r>
          </w:p>
        </w:tc>
        <w:tc>
          <w:tcPr>
            <w:tcW w:type="dxa" w:w="3331"/>
            <w:tcMar>
              <w:top w:w="80" w:type="dxa"/>
              <w:start w:w="90" w:type="dxa"/>
              <w:bottom w:w="80" w:type="dxa"/>
              <w:end w:w="90" w:type="dxa"/>
            </w:tcMar>
            <w:vAlign w:val="top"/>
            <w:shd w:fill="F7F9FB"/>
          </w:tcPr>
          <w:p>
            <w:pPr>
              <w:spacing w:after="30"/>
            </w:pPr>
            <w:r>
              <w:rPr>
                <w:rFonts w:ascii="Aptos" w:hAnsi="Aptos"/>
                <w:color w:val="232D38"/>
                <w:sz w:val="14"/>
              </w:rPr>
              <w:t>Recheck scan and provider rotation status; never print values.</w:t>
            </w:r>
          </w:p>
        </w:tc>
      </w:tr>
      <w:tr>
        <w:trPr>
          <w:cantSplit/>
        </w:trPr>
        <w:tc>
          <w:tcPr>
            <w:tcW w:type="dxa" w:w="3331"/>
            <w:tcMar>
              <w:top w:w="80" w:type="dxa"/>
              <w:start w:w="90" w:type="dxa"/>
              <w:bottom w:w="80" w:type="dxa"/>
              <w:end w:w="90" w:type="dxa"/>
            </w:tcMar>
            <w:vAlign w:val="top"/>
          </w:tcPr>
          <w:p>
            <w:pPr>
              <w:spacing w:after="30"/>
            </w:pPr>
            <w:r>
              <w:rPr>
                <w:rFonts w:ascii="Aptos" w:hAnsi="Aptos"/>
                <w:color w:val="232D38"/>
                <w:sz w:val="14"/>
              </w:rPr>
              <w:t>Deployment</w:t>
            </w:r>
          </w:p>
        </w:tc>
        <w:tc>
          <w:tcPr>
            <w:tcW w:type="dxa" w:w="3331"/>
            <w:tcMar>
              <w:top w:w="80" w:type="dxa"/>
              <w:start w:w="90" w:type="dxa"/>
              <w:bottom w:w="80" w:type="dxa"/>
              <w:end w:w="90" w:type="dxa"/>
            </w:tcMar>
            <w:vAlign w:val="top"/>
          </w:tcPr>
          <w:p>
            <w:pPr>
              <w:spacing w:after="30"/>
            </w:pPr>
            <w:r>
              <w:rPr>
                <w:rFonts w:ascii="Aptos" w:hAnsi="Aptos"/>
                <w:color w:val="232D38"/>
                <w:sz w:val="14"/>
              </w:rPr>
              <w:t>DEPLOYMENT_STATUS = DEPLOYMENT_BLOCKED.</w:t>
            </w:r>
          </w:p>
        </w:tc>
        <w:tc>
          <w:tcPr>
            <w:tcW w:type="dxa" w:w="3331"/>
            <w:tcMar>
              <w:top w:w="80" w:type="dxa"/>
              <w:start w:w="90" w:type="dxa"/>
              <w:bottom w:w="80" w:type="dxa"/>
              <w:end w:w="90" w:type="dxa"/>
            </w:tcMar>
            <w:vAlign w:val="top"/>
          </w:tcPr>
          <w:p>
            <w:pPr>
              <w:spacing w:after="30"/>
            </w:pPr>
            <w:r>
              <w:rPr>
                <w:rFonts w:ascii="Aptos" w:hAnsi="Aptos"/>
                <w:color w:val="232D38"/>
                <w:sz w:val="14"/>
              </w:rPr>
              <w:t>Inspect current Vercel/runtime and run end-to-end tests.</w:t>
            </w:r>
          </w:p>
        </w:tc>
      </w:tr>
      <w:tr>
        <w:trPr>
          <w:cantSplit/>
        </w:trPr>
        <w:tc>
          <w:tcPr>
            <w:tcW w:type="dxa" w:w="3331"/>
            <w:tcMar>
              <w:top w:w="80" w:type="dxa"/>
              <w:start w:w="90" w:type="dxa"/>
              <w:bottom w:w="80" w:type="dxa"/>
              <w:end w:w="90" w:type="dxa"/>
            </w:tcMar>
            <w:vAlign w:val="top"/>
            <w:shd w:fill="F7F9FB"/>
          </w:tcPr>
          <w:p>
            <w:pPr>
              <w:spacing w:after="30"/>
            </w:pPr>
            <w:r>
              <w:rPr>
                <w:rFonts w:ascii="Aptos" w:hAnsi="Aptos"/>
                <w:color w:val="232D38"/>
                <w:sz w:val="14"/>
              </w:rPr>
              <w:t>Provider harmony</w:t>
            </w:r>
          </w:p>
        </w:tc>
        <w:tc>
          <w:tcPr>
            <w:tcW w:type="dxa" w:w="3331"/>
            <w:tcMar>
              <w:top w:w="80" w:type="dxa"/>
              <w:start w:w="90" w:type="dxa"/>
              <w:bottom w:w="80" w:type="dxa"/>
              <w:end w:w="90" w:type="dxa"/>
            </w:tcMar>
            <w:vAlign w:val="top"/>
            <w:shd w:fill="F7F9FB"/>
          </w:tcPr>
          <w:p>
            <w:pPr>
              <w:spacing w:after="30"/>
            </w:pPr>
            <w:r>
              <w:rPr>
                <w:rFonts w:ascii="Aptos" w:hAnsi="Aptos"/>
                <w:color w:val="232D38"/>
                <w:sz w:val="14"/>
              </w:rPr>
              <w:t>HARMONY_STATUS = BLOCKED; GitHub verified, four of five other providers blocked/unverifiable in last output.</w:t>
            </w:r>
          </w:p>
        </w:tc>
        <w:tc>
          <w:tcPr>
            <w:tcW w:type="dxa" w:w="3331"/>
            <w:tcMar>
              <w:top w:w="80" w:type="dxa"/>
              <w:start w:w="90" w:type="dxa"/>
              <w:bottom w:w="80" w:type="dxa"/>
              <w:end w:w="90" w:type="dxa"/>
            </w:tcMar>
            <w:vAlign w:val="top"/>
            <w:shd w:fill="F7F9FB"/>
          </w:tcPr>
          <w:p>
            <w:pPr>
              <w:spacing w:after="30"/>
            </w:pPr>
            <w:r>
              <w:rPr>
                <w:rFonts w:ascii="Aptos" w:hAnsi="Aptos"/>
                <w:color w:val="232D38"/>
                <w:sz w:val="14"/>
              </w:rPr>
              <w:t>Recheck GitHub, Vercel, Inngest, Neon and Turso with authorized probes.</w:t>
            </w:r>
          </w:p>
        </w:tc>
      </w:tr>
      <w:tr>
        <w:trPr>
          <w:cantSplit/>
        </w:trPr>
        <w:tc>
          <w:tcPr>
            <w:tcW w:type="dxa" w:w="3331"/>
            <w:tcMar>
              <w:top w:w="80" w:type="dxa"/>
              <w:start w:w="90" w:type="dxa"/>
              <w:bottom w:w="80" w:type="dxa"/>
              <w:end w:w="90" w:type="dxa"/>
            </w:tcMar>
            <w:vAlign w:val="top"/>
          </w:tcPr>
          <w:p>
            <w:pPr>
              <w:spacing w:after="30"/>
            </w:pPr>
            <w:r>
              <w:rPr>
                <w:rFonts w:ascii="Aptos" w:hAnsi="Aptos"/>
                <w:color w:val="232D38"/>
                <w:sz w:val="14"/>
              </w:rPr>
              <w:t>Lint/JSON</w:t>
            </w:r>
          </w:p>
        </w:tc>
        <w:tc>
          <w:tcPr>
            <w:tcW w:type="dxa" w:w="3331"/>
            <w:tcMar>
              <w:top w:w="80" w:type="dxa"/>
              <w:start w:w="90" w:type="dxa"/>
              <w:bottom w:w="80" w:type="dxa"/>
              <w:end w:w="90" w:type="dxa"/>
            </w:tcMar>
            <w:vAlign w:val="top"/>
          </w:tcPr>
          <w:p>
            <w:pPr>
              <w:spacing w:after="30"/>
            </w:pPr>
            <w:r>
              <w:rPr>
                <w:rFonts w:ascii="Aptos" w:hAnsi="Aptos"/>
                <w:color w:val="232D38"/>
                <w:sz w:val="14"/>
              </w:rPr>
              <w:t>bun run lint exit 0; 58 JSON files reported valid.</w:t>
            </w:r>
          </w:p>
        </w:tc>
        <w:tc>
          <w:tcPr>
            <w:tcW w:type="dxa" w:w="3331"/>
            <w:tcMar>
              <w:top w:w="80" w:type="dxa"/>
              <w:start w:w="90" w:type="dxa"/>
              <w:bottom w:w="80" w:type="dxa"/>
              <w:end w:w="90" w:type="dxa"/>
            </w:tcMar>
            <w:vAlign w:val="top"/>
          </w:tcPr>
          <w:p>
            <w:pPr>
              <w:spacing w:after="30"/>
            </w:pPr>
            <w:r>
              <w:rPr>
                <w:rFonts w:ascii="Aptos" w:hAnsi="Aptos"/>
                <w:color w:val="232D38"/>
                <w:sz w:val="14"/>
              </w:rPr>
              <w:t>Rerun at current commit and record command version/time/exit/logs.</w:t>
            </w:r>
          </w:p>
        </w:tc>
      </w:tr>
      <w:tr>
        <w:trPr>
          <w:cantSplit/>
        </w:trPr>
        <w:tc>
          <w:tcPr>
            <w:tcW w:type="dxa" w:w="3331"/>
            <w:tcMar>
              <w:top w:w="80" w:type="dxa"/>
              <w:start w:w="90" w:type="dxa"/>
              <w:bottom w:w="80" w:type="dxa"/>
              <w:end w:w="90" w:type="dxa"/>
            </w:tcMar>
            <w:vAlign w:val="top"/>
            <w:shd w:fill="F7F9FB"/>
          </w:tcPr>
          <w:p>
            <w:pPr>
              <w:spacing w:after="30"/>
            </w:pPr>
            <w:r>
              <w:rPr>
                <w:rFonts w:ascii="Aptos" w:hAnsi="Aptos"/>
                <w:color w:val="232D38"/>
                <w:sz w:val="14"/>
              </w:rPr>
              <w:t>Repo identity</w:t>
            </w:r>
          </w:p>
        </w:tc>
        <w:tc>
          <w:tcPr>
            <w:tcW w:type="dxa" w:w="3331"/>
            <w:tcMar>
              <w:top w:w="80" w:type="dxa"/>
              <w:start w:w="90" w:type="dxa"/>
              <w:bottom w:w="80" w:type="dxa"/>
              <w:end w:w="90" w:type="dxa"/>
            </w:tcMar>
            <w:vAlign w:val="top"/>
            <w:shd w:fill="F7F9FB"/>
          </w:tcPr>
          <w:p>
            <w:pPr>
              <w:spacing w:after="30"/>
            </w:pPr>
            <w:r>
              <w:rPr>
                <w:rFonts w:ascii="Aptos" w:hAnsi="Aptos"/>
                <w:color w:val="232D38"/>
                <w:sz w:val="14"/>
              </w:rPr>
              <w:t>Commit 455f9d3 reported on audit/remediation/prompt-75; 25 tags, 8 branches reported.</w:t>
            </w:r>
          </w:p>
        </w:tc>
        <w:tc>
          <w:tcPr>
            <w:tcW w:type="dxa" w:w="3331"/>
            <w:tcMar>
              <w:top w:w="80" w:type="dxa"/>
              <w:start w:w="90" w:type="dxa"/>
              <w:bottom w:w="80" w:type="dxa"/>
              <w:end w:w="90" w:type="dxa"/>
            </w:tcMar>
            <w:vAlign w:val="top"/>
            <w:shd w:fill="F7F9FB"/>
          </w:tcPr>
          <w:p>
            <w:pPr>
              <w:spacing w:after="30"/>
            </w:pPr>
            <w:r>
              <w:rPr>
                <w:rFonts w:ascii="Aptos" w:hAnsi="Aptos"/>
                <w:color w:val="232D38"/>
                <w:sz w:val="14"/>
              </w:rPr>
              <w:t>Confirm repo, branch, SHA, remote, worktree and tags; preserve history.</w:t>
            </w:r>
          </w:p>
        </w:tc>
      </w:tr>
      <w:tr>
        <w:trPr>
          <w:cantSplit/>
        </w:trPr>
        <w:tc>
          <w:tcPr>
            <w:tcW w:type="dxa" w:w="3331"/>
            <w:tcMar>
              <w:top w:w="80" w:type="dxa"/>
              <w:start w:w="90" w:type="dxa"/>
              <w:bottom w:w="80" w:type="dxa"/>
              <w:end w:w="90" w:type="dxa"/>
            </w:tcMar>
            <w:vAlign w:val="top"/>
          </w:tcPr>
          <w:p>
            <w:pPr>
              <w:spacing w:after="30"/>
            </w:pPr>
            <w:r>
              <w:rPr>
                <w:rFonts w:ascii="Aptos" w:hAnsi="Aptos"/>
                <w:color w:val="232D38"/>
                <w:sz w:val="14"/>
              </w:rPr>
              <w:t>Production status</w:t>
            </w:r>
          </w:p>
        </w:tc>
        <w:tc>
          <w:tcPr>
            <w:tcW w:type="dxa" w:w="3331"/>
            <w:tcMar>
              <w:top w:w="80" w:type="dxa"/>
              <w:start w:w="90" w:type="dxa"/>
              <w:bottom w:w="80" w:type="dxa"/>
              <w:end w:w="90" w:type="dxa"/>
            </w:tcMar>
            <w:vAlign w:val="top"/>
          </w:tcPr>
          <w:p>
            <w:pPr>
              <w:spacing w:after="30"/>
            </w:pPr>
            <w:r>
              <w:rPr>
                <w:rFonts w:ascii="Aptos" w:hAnsi="Aptos"/>
                <w:color w:val="232D38"/>
                <w:sz w:val="14"/>
              </w:rPr>
              <w:t>productionAuthorized=false; institutionallyValidated=false; zero legal opinions/licenses/banks/custodians reported.</w:t>
            </w:r>
          </w:p>
        </w:tc>
        <w:tc>
          <w:tcPr>
            <w:tcW w:type="dxa" w:w="3331"/>
            <w:tcMar>
              <w:top w:w="80" w:type="dxa"/>
              <w:start w:w="90" w:type="dxa"/>
              <w:bottom w:w="80" w:type="dxa"/>
              <w:end w:w="90" w:type="dxa"/>
            </w:tcMar>
            <w:vAlign w:val="top"/>
          </w:tcPr>
          <w:p>
            <w:pPr>
              <w:spacing w:after="30"/>
            </w:pPr>
            <w:r>
              <w:rPr>
                <w:rFonts w:ascii="Aptos" w:hAnsi="Aptos"/>
                <w:color w:val="232D38"/>
                <w:sz w:val="14"/>
              </w:rPr>
              <w:t>Treat as old snapshot; current claims require primary evidence. Keep false unless formal G11.</w:t>
            </w:r>
          </w:p>
        </w:tc>
      </w:tr>
      <w:tr>
        <w:trPr>
          <w:cantSplit/>
        </w:trPr>
        <w:tc>
          <w:tcPr>
            <w:tcW w:type="dxa" w:w="3331"/>
            <w:tcMar>
              <w:top w:w="80" w:type="dxa"/>
              <w:start w:w="90" w:type="dxa"/>
              <w:bottom w:w="80" w:type="dxa"/>
              <w:end w:w="90" w:type="dxa"/>
            </w:tcMar>
            <w:vAlign w:val="top"/>
            <w:shd w:fill="F7F9FB"/>
          </w:tcPr>
          <w:p>
            <w:pPr>
              <w:spacing w:after="30"/>
            </w:pPr>
            <w:r>
              <w:rPr>
                <w:rFonts w:ascii="Aptos" w:hAnsi="Aptos"/>
                <w:color w:val="232D38"/>
                <w:sz w:val="14"/>
              </w:rPr>
              <w:t>Artifact counts</w:t>
            </w:r>
          </w:p>
        </w:tc>
        <w:tc>
          <w:tcPr>
            <w:tcW w:type="dxa" w:w="3331"/>
            <w:tcMar>
              <w:top w:w="80" w:type="dxa"/>
              <w:start w:w="90" w:type="dxa"/>
              <w:bottom w:w="80" w:type="dxa"/>
              <w:end w:w="90" w:type="dxa"/>
            </w:tcMar>
            <w:vAlign w:val="top"/>
            <w:shd w:fill="F7F9FB"/>
          </w:tcPr>
          <w:p>
            <w:pPr>
              <w:spacing w:after="30"/>
            </w:pPr>
            <w:r>
              <w:rPr>
                <w:rFonts w:ascii="Aptos" w:hAnsi="Aptos"/>
                <w:color w:val="232D38"/>
                <w:sz w:val="14"/>
              </w:rPr>
              <w:t>61-file recovery package; 234 institutional files; 20 before snapshots, 27 audit reports, 12 release manifests, one recovery manifest, one README reported.</w:t>
            </w:r>
          </w:p>
        </w:tc>
        <w:tc>
          <w:tcPr>
            <w:tcW w:type="dxa" w:w="3331"/>
            <w:tcMar>
              <w:top w:w="80" w:type="dxa"/>
              <w:start w:w="90" w:type="dxa"/>
              <w:bottom w:w="80" w:type="dxa"/>
              <w:end w:w="90" w:type="dxa"/>
            </w:tcMar>
            <w:vAlign w:val="top"/>
            <w:shd w:fill="F7F9FB"/>
          </w:tcPr>
          <w:p>
            <w:pPr>
              <w:spacing w:after="30"/>
            </w:pPr>
            <w:r>
              <w:rPr>
                <w:rFonts w:ascii="Aptos" w:hAnsi="Aptos"/>
                <w:color w:val="232D38"/>
                <w:sz w:val="14"/>
              </w:rPr>
              <w:t>Reconcile actual tree/hashes; counts alone do not establish completeness.</w:t>
            </w:r>
          </w:p>
        </w:tc>
      </w:tr>
    </w:tbl>
    <w:p>
      <w:pPr>
        <w:spacing w:after="0"/>
      </w:pPr>
    </w:p>
    <w:p>
      <w:pPr>
        <w:keepLines/>
        <w:spacing w:before="100" w:after="120"/>
        <w:ind w:left="144" w:right="144"/>
        <w:shd w:fill="F7EDEB"/>
        <w:ind w:left="120" w:right="120"/>
        <w:pBdr>
          <w:top w:val="single" w:sz="5" w:space="5" w:color="CCD5DF"/>
          <w:left w:val="single" w:sz="5" w:space="5" w:color="CCD5DF"/>
          <w:bottom w:val="single" w:sz="5" w:space="5" w:color="CCD5DF"/>
          <w:right w:val="single" w:sz="5" w:space="5" w:color="CCD5DF"/>
        </w:pBdr>
      </w:pPr>
      <w:r>
        <w:rPr>
          <w:b/>
          <w:color w:val="07111F"/>
          <w:sz w:val="20"/>
        </w:rPr>
        <w:t>SECRET SAFETY</w:t>
        <w:br/>
      </w:r>
      <w:r>
        <w:rPr>
          <w:color w:val="334155"/>
          <w:sz w:val="18"/>
        </w:rPr>
        <w:t>Do not include credentials from old messages/files in source, generated docs, prompts, logs or issue tickets. Forensics record only category and rotation status. Rotate/revoke potentially active exposed credentials through secure provider interfaces.</w:t>
      </w:r>
    </w:p>
    <w:p>
      <w:pPr>
        <w:pStyle w:val="Heading1"/>
      </w:pPr>
      <w:r>
        <w:t>APPENDIX D — Copy-Ready Master Instruction to the AI Platform Developer</w:t>
      </w:r>
    </w:p>
    <w:p>
      <w:pPr>
        <w:keepLines/>
        <w:spacing w:before="100" w:after="120"/>
        <w:ind w:left="144" w:right="144"/>
        <w:shd w:fill="E8EFF7"/>
        <w:ind w:left="120" w:right="120"/>
        <w:pBdr>
          <w:top w:val="single" w:sz="5" w:space="5" w:color="CCD5DF"/>
          <w:left w:val="single" w:sz="5" w:space="5" w:color="CCD5DF"/>
          <w:bottom w:val="single" w:sz="5" w:space="5" w:color="CCD5DF"/>
          <w:right w:val="single" w:sz="5" w:space="5" w:color="CCD5DF"/>
        </w:pBdr>
      </w:pPr>
      <w:r>
        <w:rPr>
          <w:b/>
          <w:color w:val="07111F"/>
          <w:sz w:val="20"/>
        </w:rPr>
        <w:t>SYSTEM / PROJECT INSTRUCTION</w:t>
        <w:br/>
      </w:r>
      <w:r>
        <w:rPr>
          <w:color w:val="334155"/>
          <w:sz w:val="18"/>
        </w:rPr>
        <w:t>You are the MITHQAL AI platform developer and must implement against “MITHQAL Canonical Master Blueprint v26.0” (MITHQAL-SSOT-001) after the owner-approved version/hash is recorded in the repository. Treat this blueprint as the sole normative internal development specification. Older blueprints, prompts, chat summaries and code comments are historical inputs and cannot silently override it. Applicable law, verified executed agreements and actual provider/runtime evidence remain higher-authority facts in their domains. If a conflict exists, record it, block unsafe behavior and request an authorized decision rather than choosing silently.</w:t>
      </w:r>
    </w:p>
    <w:p>
      <w:pPr>
        <w:pStyle w:val="ListBullet"/>
        <w:spacing w:after="50"/>
      </w:pPr>
      <w:r>
        <w:t>Start every task by reading the approved blueprint ID/hash, latest release manifest, ADRs, gate ledger, open contradictions, known-good checkpoint and provider state. If missing, report BLOCKED/UNKNOWN; do not invent.</w:t>
      </w:r>
    </w:p>
    <w:p>
      <w:pPr>
        <w:pStyle w:val="ListBullet"/>
        <w:spacing w:after="50"/>
      </w:pPr>
      <w:r>
        <w:t>Do not expand features until the current gate/objective is clear. Primary KPI: NEXT EXTERNAL EVIDENCE ACHIEVED; engineering KPI: reproducible evidence against a named requirement.</w:t>
      </w:r>
    </w:p>
    <w:p>
      <w:pPr>
        <w:pStyle w:val="ListBullet"/>
        <w:spacing w:after="50"/>
      </w:pPr>
      <w:r>
        <w:t>Keep control plane useful with MTQ disabled. MTQ is optional, closed-loop, permissioned and blocked by default. Never enable mint/redemption/live value without explicit gates and approved authority.</w:t>
      </w:r>
    </w:p>
    <w:p>
      <w:pPr>
        <w:pStyle w:val="ListBullet"/>
        <w:spacing w:after="50"/>
      </w:pPr>
      <w:r>
        <w:t>Use Neon as proposed authoritative writer for financial/obligation state and Turso for projections/cache or explicitly permitted demo/offline queues. Avoid dual-write authoritative truth. Use transaction + outbox, at-least-once events, idempotent consumers and rebuildable projections.</w:t>
      </w:r>
    </w:p>
    <w:p>
      <w:pPr>
        <w:pStyle w:val="ListBullet"/>
        <w:spacing w:after="50"/>
      </w:pPr>
      <w:r>
        <w:t>Treat Inngest as orchestration, Vercel as app runtime, GitHub as source/release control and provider-native secret managers as secret stores. Verify provider behavior directly.</w:t>
      </w:r>
    </w:p>
    <w:p>
      <w:pPr>
        <w:pStyle w:val="ListBullet"/>
        <w:spacing w:after="50"/>
      </w:pPr>
      <w:r>
        <w:t>Preserve F0–F7, canonical BM-15/BM-16, obligation topology, PBC eligibility, direct backing vs resilience buffer, three-book separation and evidence provenance. No legal obligor means no MTQ. Technical completion is not legal finality.</w:t>
      </w:r>
    </w:p>
    <w:p>
      <w:pPr>
        <w:pStyle w:val="ListBullet"/>
        <w:spacing w:after="50"/>
      </w:pPr>
      <w:r>
        <w:t>Every claim/test states scope, environment, commit, policy/schema version, time, evidence path and limits. Distinguish designed, implemented, tested, simulated, deployed, observed, externally validated, legally/institutionally approved and production-authorized.</w:t>
      </w:r>
    </w:p>
    <w:p>
      <w:pPr>
        <w:pStyle w:val="ListBullet"/>
        <w:spacing w:after="50"/>
      </w:pPr>
      <w:r>
        <w:t>Use synthetic or expressly authorized data for demos. No unauthorized real-value movement or real bank/personal data in fixtures. Never ask for credentials in chat; redact secrets in outputs.</w:t>
      </w:r>
    </w:p>
    <w:p>
      <w:pPr>
        <w:pStyle w:val="ListBullet"/>
        <w:spacing w:after="50"/>
      </w:pPr>
      <w:r>
        <w:t>Use G0–G11 and the 20 detailed controls. An unknown/failed required gate cannot be bypassed by green build, executive enthusiasm, feature flag, DB field or generated report.</w:t>
      </w:r>
    </w:p>
    <w:p>
      <w:pPr>
        <w:pStyle w:val="ListBullet"/>
        <w:spacing w:after="50"/>
      </w:pPr>
      <w:r>
        <w:t>Test invariants/adversarial failures before features affecting settlement/backing/finality/authorization/reconciliation: normal, rejection, duplicate, stale, out-of-order, provider failure, safe halt, recovery and replay.</w:t>
      </w:r>
    </w:p>
    <w:p>
      <w:pPr>
        <w:pStyle w:val="ListBullet"/>
        <w:spacing w:after="50"/>
      </w:pPr>
      <w:r>
        <w:t>No force-push, deleted audit history, destructive migration, billing change, paid-tier upgrade or live-value pathway without explicit approval. Preserve known-good rollback.</w:t>
      </w:r>
    </w:p>
    <w:p>
      <w:pPr>
        <w:pStyle w:val="ListBullet"/>
        <w:spacing w:after="50"/>
      </w:pPr>
      <w:r>
        <w:t>At each work-unit end, report requirements, changed files, diff, commit, exact test commands/outcomes, provider evidence, artifact paths/hashes, blockers, gate impact, rollback and next evidence-producing action.</w:t>
      </w:r>
    </w:p>
    <w:p>
      <w:pPr>
        <w:pStyle w:val="ListBullet"/>
        <w:spacing w:after="50"/>
      </w:pPr>
      <w:r>
        <w:t>Never mark legal/regulatory/bank/custody/insurance/independent assurance PASS using code, internal tests or model reasoning. Only authorized primary evidence can close those gates.</w:t>
      </w:r>
    </w:p>
    <w:p>
      <w:pPr>
        <w:pStyle w:val="ListBullet"/>
        <w:spacing w:after="50"/>
      </w:pPr>
      <w:r>
        <w:t>If a requirement conflicts with law, executed instrument, security invariant or production control, stop affected behavior, preserve evidence and escalate; never delete history to hide conflict.</w:t>
      </w:r>
    </w:p>
    <w:p>
      <w:pPr>
        <w:pStyle w:val="ListBullet"/>
        <w:spacing w:after="50"/>
      </w:pPr>
      <w:r>
        <w:t>Production authorization remains FALSE until G11 is approved for explicit scope by authorized body and recorded with evidence, expiry and review condition.</w:t>
      </w:r>
    </w:p>
    <w:p>
      <w:pPr>
        <w:pStyle w:val="Heading2"/>
      </w:pPr>
      <w:r>
        <w:t>Required end-of-task report format</w:t>
      </w:r>
    </w:p>
    <w:tbl>
      <w:tblPr>
        <w:tblStyle w:val="TableGrid"/>
        <w:tblW w:type="auto" w:w="0"/>
        <w:jc w:val="center"/>
        <w:tblLook w:firstColumn="1" w:firstRow="1" w:lastColumn="0" w:lastRow="0" w:noHBand="0" w:noVBand="1" w:val="04A0"/>
      </w:tblPr>
      <w:tblGrid>
        <w:gridCol w:w="4997"/>
        <w:gridCol w:w="4997"/>
      </w:tblGrid>
      <w:tr>
        <w:trPr>
          <w:tblHeader w:val="true"/>
          <w:cantSplit/>
        </w:trPr>
        <w:tc>
          <w:tcPr>
            <w:tcW w:type="dxa" w:w="2088"/>
            <w:shd w:fill="07111F"/>
            <w:tcMar>
              <w:top w:w="80" w:type="dxa"/>
              <w:start w:w="90" w:type="dxa"/>
              <w:bottom w:w="80" w:type="dxa"/>
              <w:end w:w="90" w:type="dxa"/>
            </w:tcMar>
            <w:vAlign w:val="center"/>
          </w:tcPr>
          <w:p>
            <w:r>
              <w:rPr>
                <w:rFonts w:ascii="Aptos" w:hAnsi="Aptos"/>
                <w:b/>
                <w:color w:val="FFFFFF"/>
                <w:sz w:val="14"/>
              </w:rPr>
              <w:t>Field</w:t>
            </w:r>
          </w:p>
        </w:tc>
        <w:tc>
          <w:tcPr>
            <w:tcW w:type="dxa" w:w="7848"/>
            <w:shd w:fill="07111F"/>
            <w:tcMar>
              <w:top w:w="80" w:type="dxa"/>
              <w:start w:w="90" w:type="dxa"/>
              <w:bottom w:w="80" w:type="dxa"/>
              <w:end w:w="90" w:type="dxa"/>
            </w:tcMar>
            <w:vAlign w:val="center"/>
          </w:tcPr>
          <w:p>
            <w:r>
              <w:rPr>
                <w:rFonts w:ascii="Aptos" w:hAnsi="Aptos"/>
                <w:b/>
                <w:color w:val="FFFFFF"/>
                <w:sz w:val="14"/>
              </w:rPr>
              <w:t>Required content</w:t>
            </w:r>
          </w:p>
        </w:tc>
      </w:tr>
      <w:tr>
        <w:trPr>
          <w:cantSplit/>
        </w:trPr>
        <w:tc>
          <w:tcPr>
            <w:tcW w:type="dxa" w:w="4997"/>
            <w:tcMar>
              <w:top w:w="80" w:type="dxa"/>
              <w:start w:w="90" w:type="dxa"/>
              <w:bottom w:w="80" w:type="dxa"/>
              <w:end w:w="90" w:type="dxa"/>
            </w:tcMar>
            <w:vAlign w:val="top"/>
            <w:shd w:fill="F7F9FB"/>
          </w:tcPr>
          <w:p>
            <w:pPr>
              <w:spacing w:after="30"/>
            </w:pPr>
            <w:r>
              <w:rPr>
                <w:rFonts w:ascii="Aptos" w:hAnsi="Aptos"/>
                <w:color w:val="232D38"/>
                <w:sz w:val="14"/>
              </w:rPr>
              <w:t>Task/requirement</w:t>
            </w:r>
          </w:p>
        </w:tc>
        <w:tc>
          <w:tcPr>
            <w:tcW w:type="dxa" w:w="4997"/>
            <w:tcMar>
              <w:top w:w="80" w:type="dxa"/>
              <w:start w:w="90" w:type="dxa"/>
              <w:bottom w:w="80" w:type="dxa"/>
              <w:end w:w="90" w:type="dxa"/>
            </w:tcMar>
            <w:vAlign w:val="top"/>
            <w:shd w:fill="F7F9FB"/>
          </w:tcPr>
          <w:p>
            <w:pPr>
              <w:spacing w:after="30"/>
            </w:pPr>
            <w:r>
              <w:rPr>
                <w:rFonts w:ascii="Aptos" w:hAnsi="Aptos"/>
                <w:color w:val="232D38"/>
                <w:sz w:val="14"/>
              </w:rPr>
              <w:t>Prompt/workstream, blueprint section and acceptance criterion.</w:t>
            </w:r>
          </w:p>
        </w:tc>
      </w:tr>
      <w:tr>
        <w:trPr>
          <w:cantSplit/>
        </w:trPr>
        <w:tc>
          <w:tcPr>
            <w:tcW w:type="dxa" w:w="4997"/>
            <w:tcMar>
              <w:top w:w="80" w:type="dxa"/>
              <w:start w:w="90" w:type="dxa"/>
              <w:bottom w:w="80" w:type="dxa"/>
              <w:end w:w="90" w:type="dxa"/>
            </w:tcMar>
            <w:vAlign w:val="top"/>
          </w:tcPr>
          <w:p>
            <w:pPr>
              <w:spacing w:after="30"/>
            </w:pPr>
            <w:r>
              <w:rPr>
                <w:rFonts w:ascii="Aptos" w:hAnsi="Aptos"/>
                <w:color w:val="232D38"/>
                <w:sz w:val="14"/>
              </w:rPr>
              <w:t>State before</w:t>
            </w:r>
          </w:p>
        </w:tc>
        <w:tc>
          <w:tcPr>
            <w:tcW w:type="dxa" w:w="4997"/>
            <w:tcMar>
              <w:top w:w="80" w:type="dxa"/>
              <w:start w:w="90" w:type="dxa"/>
              <w:bottom w:w="80" w:type="dxa"/>
              <w:end w:w="90" w:type="dxa"/>
            </w:tcMar>
            <w:vAlign w:val="top"/>
          </w:tcPr>
          <w:p>
            <w:pPr>
              <w:spacing w:after="30"/>
            </w:pPr>
            <w:r>
              <w:rPr>
                <w:rFonts w:ascii="Aptos" w:hAnsi="Aptos"/>
                <w:color w:val="232D38"/>
                <w:sz w:val="14"/>
              </w:rPr>
              <w:t>Commit, environment, provider status, gate state and blockers.</w:t>
            </w:r>
          </w:p>
        </w:tc>
      </w:tr>
      <w:tr>
        <w:trPr>
          <w:cantSplit/>
        </w:trPr>
        <w:tc>
          <w:tcPr>
            <w:tcW w:type="dxa" w:w="4997"/>
            <w:tcMar>
              <w:top w:w="80" w:type="dxa"/>
              <w:start w:w="90" w:type="dxa"/>
              <w:bottom w:w="80" w:type="dxa"/>
              <w:end w:w="90" w:type="dxa"/>
            </w:tcMar>
            <w:vAlign w:val="top"/>
            <w:shd w:fill="F7F9FB"/>
          </w:tcPr>
          <w:p>
            <w:pPr>
              <w:spacing w:after="30"/>
            </w:pPr>
            <w:r>
              <w:rPr>
                <w:rFonts w:ascii="Aptos" w:hAnsi="Aptos"/>
                <w:color w:val="232D38"/>
                <w:sz w:val="14"/>
              </w:rPr>
              <w:t>Change summary</w:t>
            </w:r>
          </w:p>
        </w:tc>
        <w:tc>
          <w:tcPr>
            <w:tcW w:type="dxa" w:w="4997"/>
            <w:tcMar>
              <w:top w:w="80" w:type="dxa"/>
              <w:start w:w="90" w:type="dxa"/>
              <w:bottom w:w="80" w:type="dxa"/>
              <w:end w:w="90" w:type="dxa"/>
            </w:tcMar>
            <w:vAlign w:val="top"/>
            <w:shd w:fill="F7F9FB"/>
          </w:tcPr>
          <w:p>
            <w:pPr>
              <w:spacing w:after="30"/>
            </w:pPr>
            <w:r>
              <w:rPr>
                <w:rFonts w:ascii="Aptos" w:hAnsi="Aptos"/>
                <w:color w:val="232D38"/>
                <w:sz w:val="14"/>
              </w:rPr>
              <w:t>Files/schema/config/docs/operations changed and why.</w:t>
            </w:r>
          </w:p>
        </w:tc>
      </w:tr>
      <w:tr>
        <w:trPr>
          <w:cantSplit/>
        </w:trPr>
        <w:tc>
          <w:tcPr>
            <w:tcW w:type="dxa" w:w="4997"/>
            <w:tcMar>
              <w:top w:w="80" w:type="dxa"/>
              <w:start w:w="90" w:type="dxa"/>
              <w:bottom w:w="80" w:type="dxa"/>
              <w:end w:w="90" w:type="dxa"/>
            </w:tcMar>
            <w:vAlign w:val="top"/>
          </w:tcPr>
          <w:p>
            <w:pPr>
              <w:spacing w:after="30"/>
            </w:pPr>
            <w:r>
              <w:rPr>
                <w:rFonts w:ascii="Aptos" w:hAnsi="Aptos"/>
                <w:color w:val="232D38"/>
                <w:sz w:val="14"/>
              </w:rPr>
              <w:t>Verification</w:t>
            </w:r>
          </w:p>
        </w:tc>
        <w:tc>
          <w:tcPr>
            <w:tcW w:type="dxa" w:w="4997"/>
            <w:tcMar>
              <w:top w:w="80" w:type="dxa"/>
              <w:start w:w="90" w:type="dxa"/>
              <w:bottom w:w="80" w:type="dxa"/>
              <w:end w:w="90" w:type="dxa"/>
            </w:tcMar>
            <w:vAlign w:val="top"/>
          </w:tcPr>
          <w:p>
            <w:pPr>
              <w:spacing w:after="30"/>
            </w:pPr>
            <w:r>
              <w:rPr>
                <w:rFonts w:ascii="Aptos" w:hAnsi="Aptos"/>
                <w:color w:val="232D38"/>
                <w:sz w:val="14"/>
              </w:rPr>
              <w:t>Commands, versions, test IDs/results/counts, exit codes, environment/time and raw evidence refs.</w:t>
            </w:r>
          </w:p>
        </w:tc>
      </w:tr>
      <w:tr>
        <w:trPr>
          <w:cantSplit/>
        </w:trPr>
        <w:tc>
          <w:tcPr>
            <w:tcW w:type="dxa" w:w="4997"/>
            <w:tcMar>
              <w:top w:w="80" w:type="dxa"/>
              <w:start w:w="90" w:type="dxa"/>
              <w:bottom w:w="80" w:type="dxa"/>
              <w:end w:w="90" w:type="dxa"/>
            </w:tcMar>
            <w:vAlign w:val="top"/>
            <w:shd w:fill="F7F9FB"/>
          </w:tcPr>
          <w:p>
            <w:pPr>
              <w:spacing w:after="30"/>
            </w:pPr>
            <w:r>
              <w:rPr>
                <w:rFonts w:ascii="Aptos" w:hAnsi="Aptos"/>
                <w:color w:val="232D38"/>
                <w:sz w:val="14"/>
              </w:rPr>
              <w:t>Truth label</w:t>
            </w:r>
          </w:p>
        </w:tc>
        <w:tc>
          <w:tcPr>
            <w:tcW w:type="dxa" w:w="4997"/>
            <w:tcMar>
              <w:top w:w="80" w:type="dxa"/>
              <w:start w:w="90" w:type="dxa"/>
              <w:bottom w:w="80" w:type="dxa"/>
              <w:end w:w="90" w:type="dxa"/>
            </w:tcMar>
            <w:vAlign w:val="top"/>
            <w:shd w:fill="F7F9FB"/>
          </w:tcPr>
          <w:p>
            <w:pPr>
              <w:spacing w:after="30"/>
            </w:pPr>
            <w:r>
              <w:rPr>
                <w:rFonts w:ascii="Aptos" w:hAnsi="Aptos"/>
                <w:color w:val="232D38"/>
                <w:sz w:val="14"/>
              </w:rPr>
              <w:t>Designed/implemented/tested/simulated/deployed/observed/external/legal status as applicable.</w:t>
            </w:r>
          </w:p>
        </w:tc>
      </w:tr>
      <w:tr>
        <w:trPr>
          <w:cantSplit/>
        </w:trPr>
        <w:tc>
          <w:tcPr>
            <w:tcW w:type="dxa" w:w="4997"/>
            <w:tcMar>
              <w:top w:w="80" w:type="dxa"/>
              <w:start w:w="90" w:type="dxa"/>
              <w:bottom w:w="80" w:type="dxa"/>
              <w:end w:w="90" w:type="dxa"/>
            </w:tcMar>
            <w:vAlign w:val="top"/>
          </w:tcPr>
          <w:p>
            <w:pPr>
              <w:spacing w:after="30"/>
            </w:pPr>
            <w:r>
              <w:rPr>
                <w:rFonts w:ascii="Aptos" w:hAnsi="Aptos"/>
                <w:color w:val="232D38"/>
                <w:sz w:val="14"/>
              </w:rPr>
              <w:t>Security/cost</w:t>
            </w:r>
          </w:p>
        </w:tc>
        <w:tc>
          <w:tcPr>
            <w:tcW w:type="dxa" w:w="4997"/>
            <w:tcMar>
              <w:top w:w="80" w:type="dxa"/>
              <w:start w:w="90" w:type="dxa"/>
              <w:bottom w:w="80" w:type="dxa"/>
              <w:end w:w="90" w:type="dxa"/>
            </w:tcMar>
            <w:vAlign w:val="top"/>
          </w:tcPr>
          <w:p>
            <w:pPr>
              <w:spacing w:after="30"/>
            </w:pPr>
            <w:r>
              <w:rPr>
                <w:rFonts w:ascii="Aptos" w:hAnsi="Aptos"/>
                <w:color w:val="232D38"/>
                <w:sz w:val="14"/>
              </w:rPr>
              <w:t>Secret handling, privilege changes, provider features/costs, data scope and risk changes.</w:t>
            </w:r>
          </w:p>
        </w:tc>
      </w:tr>
      <w:tr>
        <w:trPr>
          <w:cantSplit/>
        </w:trPr>
        <w:tc>
          <w:tcPr>
            <w:tcW w:type="dxa" w:w="4997"/>
            <w:tcMar>
              <w:top w:w="80" w:type="dxa"/>
              <w:start w:w="90" w:type="dxa"/>
              <w:bottom w:w="80" w:type="dxa"/>
              <w:end w:w="90" w:type="dxa"/>
            </w:tcMar>
            <w:vAlign w:val="top"/>
            <w:shd w:fill="F7F9FB"/>
          </w:tcPr>
          <w:p>
            <w:pPr>
              <w:spacing w:after="30"/>
            </w:pPr>
            <w:r>
              <w:rPr>
                <w:rFonts w:ascii="Aptos" w:hAnsi="Aptos"/>
                <w:color w:val="232D38"/>
                <w:sz w:val="14"/>
              </w:rPr>
              <w:t>Gate impact</w:t>
            </w:r>
          </w:p>
        </w:tc>
        <w:tc>
          <w:tcPr>
            <w:tcW w:type="dxa" w:w="4997"/>
            <w:tcMar>
              <w:top w:w="80" w:type="dxa"/>
              <w:start w:w="90" w:type="dxa"/>
              <w:bottom w:w="80" w:type="dxa"/>
              <w:end w:w="90" w:type="dxa"/>
            </w:tcMar>
            <w:vAlign w:val="top"/>
            <w:shd w:fill="F7F9FB"/>
          </w:tcPr>
          <w:p>
            <w:pPr>
              <w:spacing w:after="30"/>
            </w:pPr>
            <w:r>
              <w:rPr>
                <w:rFonts w:ascii="Aptos" w:hAnsi="Aptos"/>
                <w:color w:val="232D38"/>
                <w:sz w:val="14"/>
              </w:rPr>
              <w:t>Gate/control advanced, unchanged or blocked, with evidence.</w:t>
            </w:r>
          </w:p>
        </w:tc>
      </w:tr>
      <w:tr>
        <w:trPr>
          <w:cantSplit/>
        </w:trPr>
        <w:tc>
          <w:tcPr>
            <w:tcW w:type="dxa" w:w="4997"/>
            <w:tcMar>
              <w:top w:w="80" w:type="dxa"/>
              <w:start w:w="90" w:type="dxa"/>
              <w:bottom w:w="80" w:type="dxa"/>
              <w:end w:w="90" w:type="dxa"/>
            </w:tcMar>
            <w:vAlign w:val="top"/>
          </w:tcPr>
          <w:p>
            <w:pPr>
              <w:spacing w:after="30"/>
            </w:pPr>
            <w:r>
              <w:rPr>
                <w:rFonts w:ascii="Aptos" w:hAnsi="Aptos"/>
                <w:color w:val="232D38"/>
                <w:sz w:val="14"/>
              </w:rPr>
              <w:t>Rollback/recovery</w:t>
            </w:r>
          </w:p>
        </w:tc>
        <w:tc>
          <w:tcPr>
            <w:tcW w:type="dxa" w:w="4997"/>
            <w:tcMar>
              <w:top w:w="80" w:type="dxa"/>
              <w:start w:w="90" w:type="dxa"/>
              <w:bottom w:w="80" w:type="dxa"/>
              <w:end w:w="90" w:type="dxa"/>
            </w:tcMar>
            <w:vAlign w:val="top"/>
          </w:tcPr>
          <w:p>
            <w:pPr>
              <w:spacing w:after="30"/>
            </w:pPr>
            <w:r>
              <w:rPr>
                <w:rFonts w:ascii="Aptos" w:hAnsi="Aptos"/>
                <w:color w:val="232D38"/>
                <w:sz w:val="14"/>
              </w:rPr>
              <w:t>Known-good point, reversibility, migration/replay and rollback conditions.</w:t>
            </w:r>
          </w:p>
        </w:tc>
      </w:tr>
      <w:tr>
        <w:trPr>
          <w:cantSplit/>
        </w:trPr>
        <w:tc>
          <w:tcPr>
            <w:tcW w:type="dxa" w:w="4997"/>
            <w:tcMar>
              <w:top w:w="80" w:type="dxa"/>
              <w:start w:w="90" w:type="dxa"/>
              <w:bottom w:w="80" w:type="dxa"/>
              <w:end w:w="90" w:type="dxa"/>
            </w:tcMar>
            <w:vAlign w:val="top"/>
            <w:shd w:fill="F7F9FB"/>
          </w:tcPr>
          <w:p>
            <w:pPr>
              <w:spacing w:after="30"/>
            </w:pPr>
            <w:r>
              <w:rPr>
                <w:rFonts w:ascii="Aptos" w:hAnsi="Aptos"/>
                <w:color w:val="232D38"/>
                <w:sz w:val="14"/>
              </w:rPr>
              <w:t>Open issues</w:t>
            </w:r>
          </w:p>
        </w:tc>
        <w:tc>
          <w:tcPr>
            <w:tcW w:type="dxa" w:w="4997"/>
            <w:tcMar>
              <w:top w:w="80" w:type="dxa"/>
              <w:start w:w="90" w:type="dxa"/>
              <w:bottom w:w="80" w:type="dxa"/>
              <w:end w:w="90" w:type="dxa"/>
            </w:tcMar>
            <w:vAlign w:val="top"/>
            <w:shd w:fill="F7F9FB"/>
          </w:tcPr>
          <w:p>
            <w:pPr>
              <w:spacing w:after="30"/>
            </w:pPr>
            <w:r>
              <w:rPr>
                <w:rFonts w:ascii="Aptos" w:hAnsi="Aptos"/>
                <w:color w:val="232D38"/>
                <w:sz w:val="14"/>
              </w:rPr>
              <w:t>Unknowns/conflicts/evidence needed, owner and next action.</w:t>
            </w:r>
          </w:p>
        </w:tc>
      </w:tr>
      <w:tr>
        <w:trPr>
          <w:cantSplit/>
        </w:trPr>
        <w:tc>
          <w:tcPr>
            <w:tcW w:type="dxa" w:w="4997"/>
            <w:tcMar>
              <w:top w:w="80" w:type="dxa"/>
              <w:start w:w="90" w:type="dxa"/>
              <w:bottom w:w="80" w:type="dxa"/>
              <w:end w:w="90" w:type="dxa"/>
            </w:tcMar>
            <w:vAlign w:val="top"/>
          </w:tcPr>
          <w:p>
            <w:pPr>
              <w:spacing w:after="30"/>
            </w:pPr>
            <w:r>
              <w:rPr>
                <w:rFonts w:ascii="Aptos" w:hAnsi="Aptos"/>
                <w:color w:val="232D38"/>
                <w:sz w:val="14"/>
              </w:rPr>
              <w:t>Next action</w:t>
            </w:r>
          </w:p>
        </w:tc>
        <w:tc>
          <w:tcPr>
            <w:tcW w:type="dxa" w:w="4997"/>
            <w:tcMar>
              <w:top w:w="80" w:type="dxa"/>
              <w:start w:w="90" w:type="dxa"/>
              <w:bottom w:w="80" w:type="dxa"/>
              <w:end w:w="90" w:type="dxa"/>
            </w:tcMar>
            <w:vAlign w:val="top"/>
          </w:tcPr>
          <w:p>
            <w:pPr>
              <w:spacing w:after="30"/>
            </w:pPr>
            <w:r>
              <w:rPr>
                <w:rFonts w:ascii="Aptos" w:hAnsi="Aptos"/>
                <w:color w:val="232D38"/>
                <w:sz w:val="14"/>
              </w:rPr>
              <w:t>Single highest-value action advancing external evidence or reproducible technical proof.</w:t>
            </w:r>
          </w:p>
        </w:tc>
      </w:tr>
    </w:tbl>
    <w:p>
      <w:pPr>
        <w:spacing w:after="0"/>
      </w:pPr>
    </w:p>
    <w:p>
      <w:pPr>
        <w:pStyle w:val="Heading1"/>
      </w:pPr>
      <w:r>
        <w:t>APPENDIX E — Glossary and Canonical Terminology</w:t>
      </w:r>
    </w:p>
    <w:tbl>
      <w:tblPr>
        <w:tblStyle w:val="TableGrid"/>
        <w:tblW w:type="auto" w:w="0"/>
        <w:jc w:val="center"/>
        <w:tblLook w:firstColumn="1" w:firstRow="1" w:lastColumn="0" w:lastRow="0" w:noHBand="0" w:noVBand="1" w:val="04A0"/>
      </w:tblPr>
      <w:tblGrid>
        <w:gridCol w:w="4997"/>
        <w:gridCol w:w="4997"/>
      </w:tblGrid>
      <w:tr>
        <w:trPr>
          <w:tblHeader w:val="true"/>
          <w:cantSplit/>
        </w:trPr>
        <w:tc>
          <w:tcPr>
            <w:tcW w:type="dxa" w:w="2304"/>
            <w:shd w:fill="07111F"/>
            <w:tcMar>
              <w:top w:w="80" w:type="dxa"/>
              <w:start w:w="90" w:type="dxa"/>
              <w:bottom w:w="80" w:type="dxa"/>
              <w:end w:w="90" w:type="dxa"/>
            </w:tcMar>
            <w:vAlign w:val="center"/>
          </w:tcPr>
          <w:p>
            <w:r>
              <w:rPr>
                <w:rFonts w:ascii="Aptos" w:hAnsi="Aptos"/>
                <w:b/>
                <w:color w:val="FFFFFF"/>
                <w:sz w:val="14"/>
              </w:rPr>
              <w:t>Term</w:t>
            </w:r>
          </w:p>
        </w:tc>
        <w:tc>
          <w:tcPr>
            <w:tcW w:type="dxa" w:w="7632"/>
            <w:shd w:fill="07111F"/>
            <w:tcMar>
              <w:top w:w="80" w:type="dxa"/>
              <w:start w:w="90" w:type="dxa"/>
              <w:bottom w:w="80" w:type="dxa"/>
              <w:end w:w="90" w:type="dxa"/>
            </w:tcMar>
            <w:vAlign w:val="center"/>
          </w:tcPr>
          <w:p>
            <w:r>
              <w:rPr>
                <w:rFonts w:ascii="Aptos" w:hAnsi="Aptos"/>
                <w:b/>
                <w:color w:val="FFFFFF"/>
                <w:sz w:val="14"/>
              </w:rPr>
              <w:t>Canonical use</w:t>
            </w:r>
          </w:p>
        </w:tc>
      </w:tr>
      <w:tr>
        <w:trPr>
          <w:cantSplit/>
        </w:trPr>
        <w:tc>
          <w:tcPr>
            <w:tcW w:type="dxa" w:w="4997"/>
            <w:tcMar>
              <w:top w:w="80" w:type="dxa"/>
              <w:start w:w="90" w:type="dxa"/>
              <w:bottom w:w="80" w:type="dxa"/>
              <w:end w:w="90" w:type="dxa"/>
            </w:tcMar>
            <w:vAlign w:val="top"/>
            <w:shd w:fill="F7F9FB"/>
          </w:tcPr>
          <w:p>
            <w:pPr>
              <w:spacing w:after="30"/>
            </w:pPr>
            <w:r>
              <w:rPr>
                <w:rFonts w:ascii="Aptos" w:hAnsi="Aptos"/>
                <w:color w:val="232D38"/>
                <w:sz w:val="14"/>
              </w:rPr>
              <w:t>Accepted</w:t>
            </w:r>
          </w:p>
        </w:tc>
        <w:tc>
          <w:tcPr>
            <w:tcW w:type="dxa" w:w="4997"/>
            <w:tcMar>
              <w:top w:w="80" w:type="dxa"/>
              <w:start w:w="90" w:type="dxa"/>
              <w:bottom w:w="80" w:type="dxa"/>
              <w:end w:w="90" w:type="dxa"/>
            </w:tcMar>
            <w:vAlign w:val="top"/>
            <w:shd w:fill="F7F9FB"/>
          </w:tcPr>
          <w:p>
            <w:pPr>
              <w:spacing w:after="30"/>
            </w:pPr>
            <w:r>
              <w:rPr>
                <w:rFonts w:ascii="Aptos" w:hAnsi="Aptos"/>
                <w:color w:val="232D38"/>
                <w:sz w:val="14"/>
              </w:rPr>
              <w:t>Means the defined receiver/processor accepted instruction/message; not automatically funded, final or legally settled.</w:t>
            </w:r>
          </w:p>
        </w:tc>
      </w:tr>
      <w:tr>
        <w:trPr>
          <w:cantSplit/>
        </w:trPr>
        <w:tc>
          <w:tcPr>
            <w:tcW w:type="dxa" w:w="4997"/>
            <w:tcMar>
              <w:top w:w="80" w:type="dxa"/>
              <w:start w:w="90" w:type="dxa"/>
              <w:bottom w:w="80" w:type="dxa"/>
              <w:end w:w="90" w:type="dxa"/>
            </w:tcMar>
            <w:vAlign w:val="top"/>
          </w:tcPr>
          <w:p>
            <w:pPr>
              <w:spacing w:after="30"/>
            </w:pPr>
            <w:r>
              <w:rPr>
                <w:rFonts w:ascii="Aptos" w:hAnsi="Aptos"/>
                <w:color w:val="232D38"/>
                <w:sz w:val="14"/>
              </w:rPr>
              <w:t>Backing</w:t>
            </w:r>
          </w:p>
        </w:tc>
        <w:tc>
          <w:tcPr>
            <w:tcW w:type="dxa" w:w="4997"/>
            <w:tcMar>
              <w:top w:w="80" w:type="dxa"/>
              <w:start w:w="90" w:type="dxa"/>
              <w:bottom w:w="80" w:type="dxa"/>
              <w:end w:w="90" w:type="dxa"/>
            </w:tcMar>
            <w:vAlign w:val="top"/>
          </w:tcPr>
          <w:p>
            <w:pPr>
              <w:spacing w:after="30"/>
            </w:pPr>
            <w:r>
              <w:rPr>
                <w:rFonts w:ascii="Aptos" w:hAnsi="Aptos"/>
                <w:color w:val="232D38"/>
                <w:sz w:val="14"/>
              </w:rPr>
              <w:t>Asset/claim meeting eligibility and availability rules; an attestation alone is not enforceable control.</w:t>
            </w:r>
          </w:p>
        </w:tc>
      </w:tr>
      <w:tr>
        <w:trPr>
          <w:cantSplit/>
        </w:trPr>
        <w:tc>
          <w:tcPr>
            <w:tcW w:type="dxa" w:w="4997"/>
            <w:tcMar>
              <w:top w:w="80" w:type="dxa"/>
              <w:start w:w="90" w:type="dxa"/>
              <w:bottom w:w="80" w:type="dxa"/>
              <w:end w:w="90" w:type="dxa"/>
            </w:tcMar>
            <w:vAlign w:val="top"/>
            <w:shd w:fill="F7F9FB"/>
          </w:tcPr>
          <w:p>
            <w:pPr>
              <w:spacing w:after="30"/>
            </w:pPr>
            <w:r>
              <w:rPr>
                <w:rFonts w:ascii="Aptos" w:hAnsi="Aptos"/>
                <w:color w:val="232D38"/>
                <w:sz w:val="14"/>
              </w:rPr>
              <w:t>Control plane</w:t>
            </w:r>
          </w:p>
        </w:tc>
        <w:tc>
          <w:tcPr>
            <w:tcW w:type="dxa" w:w="4997"/>
            <w:tcMar>
              <w:top w:w="80" w:type="dxa"/>
              <w:start w:w="90" w:type="dxa"/>
              <w:bottom w:w="80" w:type="dxa"/>
              <w:end w:w="90" w:type="dxa"/>
            </w:tcMar>
            <w:vAlign w:val="top"/>
            <w:shd w:fill="F7F9FB"/>
          </w:tcPr>
          <w:p>
            <w:pPr>
              <w:spacing w:after="30"/>
            </w:pPr>
            <w:r>
              <w:rPr>
                <w:rFonts w:ascii="Aptos" w:hAnsi="Aptos"/>
                <w:color w:val="232D38"/>
                <w:sz w:val="14"/>
              </w:rPr>
              <w:t>Neutral orchestration/policy/evidence layer.</w:t>
            </w:r>
          </w:p>
        </w:tc>
      </w:tr>
      <w:tr>
        <w:trPr>
          <w:cantSplit/>
        </w:trPr>
        <w:tc>
          <w:tcPr>
            <w:tcW w:type="dxa" w:w="4997"/>
            <w:tcMar>
              <w:top w:w="80" w:type="dxa"/>
              <w:start w:w="90" w:type="dxa"/>
              <w:bottom w:w="80" w:type="dxa"/>
              <w:end w:w="90" w:type="dxa"/>
            </w:tcMar>
            <w:vAlign w:val="top"/>
          </w:tcPr>
          <w:p>
            <w:pPr>
              <w:spacing w:after="30"/>
            </w:pPr>
            <w:r>
              <w:rPr>
                <w:rFonts w:ascii="Aptos" w:hAnsi="Aptos"/>
                <w:color w:val="232D38"/>
                <w:sz w:val="14"/>
              </w:rPr>
              <w:t>Custody</w:t>
            </w:r>
          </w:p>
        </w:tc>
        <w:tc>
          <w:tcPr>
            <w:tcW w:type="dxa" w:w="4997"/>
            <w:tcMar>
              <w:top w:w="80" w:type="dxa"/>
              <w:start w:w="90" w:type="dxa"/>
              <w:bottom w:w="80" w:type="dxa"/>
              <w:end w:w="90" w:type="dxa"/>
            </w:tcMar>
            <w:vAlign w:val="top"/>
          </w:tcPr>
          <w:p>
            <w:pPr>
              <w:spacing w:after="30"/>
            </w:pPr>
            <w:r>
              <w:rPr>
                <w:rFonts w:ascii="Aptos" w:hAnsi="Aptos"/>
                <w:color w:val="232D38"/>
                <w:sz w:val="14"/>
              </w:rPr>
              <w:t>Role evidenced by actual account/assets and agreements; not inferred from dashboard/API label.</w:t>
            </w:r>
          </w:p>
        </w:tc>
      </w:tr>
      <w:tr>
        <w:trPr>
          <w:cantSplit/>
        </w:trPr>
        <w:tc>
          <w:tcPr>
            <w:tcW w:type="dxa" w:w="4997"/>
            <w:tcMar>
              <w:top w:w="80" w:type="dxa"/>
              <w:start w:w="90" w:type="dxa"/>
              <w:bottom w:w="80" w:type="dxa"/>
              <w:end w:w="90" w:type="dxa"/>
            </w:tcMar>
            <w:vAlign w:val="top"/>
            <w:shd w:fill="F7F9FB"/>
          </w:tcPr>
          <w:p>
            <w:pPr>
              <w:spacing w:after="30"/>
            </w:pPr>
            <w:r>
              <w:rPr>
                <w:rFonts w:ascii="Aptos" w:hAnsi="Aptos"/>
                <w:color w:val="232D38"/>
                <w:sz w:val="14"/>
              </w:rPr>
              <w:t>Evidence</w:t>
            </w:r>
          </w:p>
        </w:tc>
        <w:tc>
          <w:tcPr>
            <w:tcW w:type="dxa" w:w="4997"/>
            <w:tcMar>
              <w:top w:w="80" w:type="dxa"/>
              <w:start w:w="90" w:type="dxa"/>
              <w:bottom w:w="80" w:type="dxa"/>
              <w:end w:w="90" w:type="dxa"/>
            </w:tcMar>
            <w:vAlign w:val="top"/>
            <w:shd w:fill="F7F9FB"/>
          </w:tcPr>
          <w:p>
            <w:pPr>
              <w:spacing w:after="30"/>
            </w:pPr>
            <w:r>
              <w:rPr>
                <w:rFonts w:ascii="Aptos" w:hAnsi="Aptos"/>
                <w:color w:val="232D38"/>
                <w:sz w:val="14"/>
              </w:rPr>
              <w:t>Verifiable sourced scoped artifact/observation; generated summary is an index, not primary proof.</w:t>
            </w:r>
          </w:p>
        </w:tc>
      </w:tr>
      <w:tr>
        <w:trPr>
          <w:cantSplit/>
        </w:trPr>
        <w:tc>
          <w:tcPr>
            <w:tcW w:type="dxa" w:w="4997"/>
            <w:tcMar>
              <w:top w:w="80" w:type="dxa"/>
              <w:start w:w="90" w:type="dxa"/>
              <w:bottom w:w="80" w:type="dxa"/>
              <w:end w:w="90" w:type="dxa"/>
            </w:tcMar>
            <w:vAlign w:val="top"/>
          </w:tcPr>
          <w:p>
            <w:pPr>
              <w:spacing w:after="30"/>
            </w:pPr>
            <w:r>
              <w:rPr>
                <w:rFonts w:ascii="Aptos" w:hAnsi="Aptos"/>
                <w:color w:val="232D38"/>
                <w:sz w:val="14"/>
              </w:rPr>
              <w:t>Finality</w:t>
            </w:r>
          </w:p>
        </w:tc>
        <w:tc>
          <w:tcPr>
            <w:tcW w:type="dxa" w:w="4997"/>
            <w:tcMar>
              <w:top w:w="80" w:type="dxa"/>
              <w:start w:w="90" w:type="dxa"/>
              <w:bottom w:w="80" w:type="dxa"/>
              <w:end w:w="90" w:type="dxa"/>
            </w:tcMar>
            <w:vAlign w:val="top"/>
          </w:tcPr>
          <w:p>
            <w:pPr>
              <w:spacing w:after="30"/>
            </w:pPr>
            <w:r>
              <w:rPr>
                <w:rFonts w:ascii="Aptos" w:hAnsi="Aptos"/>
                <w:color w:val="232D38"/>
                <w:sz w:val="14"/>
              </w:rPr>
              <w:t>Qualify as technical, rail, contractual or legal, with exact domain and scope.</w:t>
            </w:r>
          </w:p>
        </w:tc>
      </w:tr>
      <w:tr>
        <w:trPr>
          <w:cantSplit/>
        </w:trPr>
        <w:tc>
          <w:tcPr>
            <w:tcW w:type="dxa" w:w="4997"/>
            <w:tcMar>
              <w:top w:w="80" w:type="dxa"/>
              <w:start w:w="90" w:type="dxa"/>
              <w:bottom w:w="80" w:type="dxa"/>
              <w:end w:w="90" w:type="dxa"/>
            </w:tcMar>
            <w:vAlign w:val="top"/>
            <w:shd w:fill="F7F9FB"/>
          </w:tcPr>
          <w:p>
            <w:pPr>
              <w:spacing w:after="30"/>
            </w:pPr>
            <w:r>
              <w:rPr>
                <w:rFonts w:ascii="Aptos" w:hAnsi="Aptos"/>
                <w:color w:val="232D38"/>
                <w:sz w:val="14"/>
              </w:rPr>
              <w:t>Idempotency</w:t>
            </w:r>
          </w:p>
        </w:tc>
        <w:tc>
          <w:tcPr>
            <w:tcW w:type="dxa" w:w="4997"/>
            <w:tcMar>
              <w:top w:w="80" w:type="dxa"/>
              <w:start w:w="90" w:type="dxa"/>
              <w:bottom w:w="80" w:type="dxa"/>
              <w:end w:w="90" w:type="dxa"/>
            </w:tcMar>
            <w:vAlign w:val="top"/>
            <w:shd w:fill="F7F9FB"/>
          </w:tcPr>
          <w:p>
            <w:pPr>
              <w:spacing w:after="30"/>
            </w:pPr>
            <w:r>
              <w:rPr>
                <w:rFonts w:ascii="Aptos" w:hAnsi="Aptos"/>
                <w:color w:val="232D38"/>
                <w:sz w:val="14"/>
              </w:rPr>
              <w:t>Repeat request with same key/payload cannot create duplicate business effect; conflicting payload reuse is rejected.</w:t>
            </w:r>
          </w:p>
        </w:tc>
      </w:tr>
      <w:tr>
        <w:trPr>
          <w:cantSplit/>
        </w:trPr>
        <w:tc>
          <w:tcPr>
            <w:tcW w:type="dxa" w:w="4997"/>
            <w:tcMar>
              <w:top w:w="80" w:type="dxa"/>
              <w:start w:w="90" w:type="dxa"/>
              <w:bottom w:w="80" w:type="dxa"/>
              <w:end w:w="90" w:type="dxa"/>
            </w:tcMar>
            <w:vAlign w:val="top"/>
          </w:tcPr>
          <w:p>
            <w:pPr>
              <w:spacing w:after="30"/>
            </w:pPr>
            <w:r>
              <w:rPr>
                <w:rFonts w:ascii="Aptos" w:hAnsi="Aptos"/>
                <w:color w:val="232D38"/>
                <w:sz w:val="14"/>
              </w:rPr>
              <w:t>Institutional validation</w:t>
            </w:r>
          </w:p>
        </w:tc>
        <w:tc>
          <w:tcPr>
            <w:tcW w:type="dxa" w:w="4997"/>
            <w:tcMar>
              <w:top w:w="80" w:type="dxa"/>
              <w:start w:w="90" w:type="dxa"/>
              <w:bottom w:w="80" w:type="dxa"/>
              <w:end w:w="90" w:type="dxa"/>
            </w:tcMar>
            <w:vAlign w:val="top"/>
          </w:tcPr>
          <w:p>
            <w:pPr>
              <w:spacing w:after="30"/>
            </w:pPr>
            <w:r>
              <w:rPr>
                <w:rFonts w:ascii="Aptos" w:hAnsi="Aptos"/>
                <w:color w:val="232D38"/>
                <w:sz w:val="14"/>
              </w:rPr>
              <w:t>External party/counsel/bank/custodian/assurance evidence for defined scope.</w:t>
            </w:r>
          </w:p>
        </w:tc>
      </w:tr>
      <w:tr>
        <w:trPr>
          <w:cantSplit/>
        </w:trPr>
        <w:tc>
          <w:tcPr>
            <w:tcW w:type="dxa" w:w="4997"/>
            <w:tcMar>
              <w:top w:w="80" w:type="dxa"/>
              <w:start w:w="90" w:type="dxa"/>
              <w:bottom w:w="80" w:type="dxa"/>
              <w:end w:w="90" w:type="dxa"/>
            </w:tcMar>
            <w:vAlign w:val="top"/>
            <w:shd w:fill="F7F9FB"/>
          </w:tcPr>
          <w:p>
            <w:pPr>
              <w:spacing w:after="30"/>
            </w:pPr>
            <w:r>
              <w:rPr>
                <w:rFonts w:ascii="Aptos" w:hAnsi="Aptos"/>
                <w:color w:val="232D38"/>
                <w:sz w:val="14"/>
              </w:rPr>
              <w:t>MTQ optional mode</w:t>
            </w:r>
          </w:p>
        </w:tc>
        <w:tc>
          <w:tcPr>
            <w:tcW w:type="dxa" w:w="4997"/>
            <w:tcMar>
              <w:top w:w="80" w:type="dxa"/>
              <w:start w:w="90" w:type="dxa"/>
              <w:bottom w:w="80" w:type="dxa"/>
              <w:end w:w="90" w:type="dxa"/>
            </w:tcMar>
            <w:vAlign w:val="top"/>
            <w:shd w:fill="F7F9FB"/>
          </w:tcPr>
          <w:p>
            <w:pPr>
              <w:spacing w:after="30"/>
            </w:pPr>
            <w:r>
              <w:rPr>
                <w:rFonts w:ascii="Aptos" w:hAnsi="Aptos"/>
                <w:color w:val="232D38"/>
                <w:sz w:val="14"/>
              </w:rPr>
              <w:t>Separable module that can be disabled without breaking the control plane.</w:t>
            </w:r>
          </w:p>
        </w:tc>
      </w:tr>
      <w:tr>
        <w:trPr>
          <w:cantSplit/>
        </w:trPr>
        <w:tc>
          <w:tcPr>
            <w:tcW w:type="dxa" w:w="4997"/>
            <w:tcMar>
              <w:top w:w="80" w:type="dxa"/>
              <w:start w:w="90" w:type="dxa"/>
              <w:bottom w:w="80" w:type="dxa"/>
              <w:end w:w="90" w:type="dxa"/>
            </w:tcMar>
            <w:vAlign w:val="top"/>
          </w:tcPr>
          <w:p>
            <w:pPr>
              <w:spacing w:after="30"/>
            </w:pPr>
            <w:r>
              <w:rPr>
                <w:rFonts w:ascii="Aptos" w:hAnsi="Aptos"/>
                <w:color w:val="232D38"/>
                <w:sz w:val="14"/>
              </w:rPr>
              <w:t>Obligor</w:t>
            </w:r>
          </w:p>
        </w:tc>
        <w:tc>
          <w:tcPr>
            <w:tcW w:type="dxa" w:w="4997"/>
            <w:tcMar>
              <w:top w:w="80" w:type="dxa"/>
              <w:start w:w="90" w:type="dxa"/>
              <w:bottom w:w="80" w:type="dxa"/>
              <w:end w:w="90" w:type="dxa"/>
            </w:tcMar>
            <w:vAlign w:val="top"/>
          </w:tcPr>
          <w:p>
            <w:pPr>
              <w:spacing w:after="30"/>
            </w:pPr>
            <w:r>
              <w:rPr>
                <w:rFonts w:ascii="Aptos" w:hAnsi="Aptos"/>
                <w:color w:val="232D38"/>
                <w:sz w:val="14"/>
              </w:rPr>
              <w:t>Legal entity that owes defined obligation; explicit and externally supportable.</w:t>
            </w:r>
          </w:p>
        </w:tc>
      </w:tr>
      <w:tr>
        <w:trPr>
          <w:cantSplit/>
        </w:trPr>
        <w:tc>
          <w:tcPr>
            <w:tcW w:type="dxa" w:w="4997"/>
            <w:tcMar>
              <w:top w:w="80" w:type="dxa"/>
              <w:start w:w="90" w:type="dxa"/>
              <w:bottom w:w="80" w:type="dxa"/>
              <w:end w:w="90" w:type="dxa"/>
            </w:tcMar>
            <w:vAlign w:val="top"/>
            <w:shd w:fill="F7F9FB"/>
          </w:tcPr>
          <w:p>
            <w:pPr>
              <w:spacing w:after="30"/>
            </w:pPr>
            <w:r>
              <w:rPr>
                <w:rFonts w:ascii="Aptos" w:hAnsi="Aptos"/>
                <w:color w:val="232D38"/>
                <w:sz w:val="14"/>
              </w:rPr>
              <w:t>PAR</w:t>
            </w:r>
          </w:p>
        </w:tc>
        <w:tc>
          <w:tcPr>
            <w:tcW w:type="dxa" w:w="4997"/>
            <w:tcMar>
              <w:top w:w="80" w:type="dxa"/>
              <w:start w:w="90" w:type="dxa"/>
              <w:bottom w:w="80" w:type="dxa"/>
              <w:end w:w="90" w:type="dxa"/>
            </w:tcMar>
            <w:vAlign w:val="top"/>
            <w:shd w:fill="F7F9FB"/>
          </w:tcPr>
          <w:p>
            <w:pPr>
              <w:spacing w:after="30"/>
            </w:pPr>
            <w:r>
              <w:rPr>
                <w:rFonts w:ascii="Aptos" w:hAnsi="Aptos"/>
                <w:color w:val="232D38"/>
                <w:sz w:val="14"/>
              </w:rPr>
              <w:t>Accounting reference only unless valid external terms expressly establish more.</w:t>
            </w:r>
          </w:p>
        </w:tc>
      </w:tr>
      <w:tr>
        <w:trPr>
          <w:cantSplit/>
        </w:trPr>
        <w:tc>
          <w:tcPr>
            <w:tcW w:type="dxa" w:w="4997"/>
            <w:tcMar>
              <w:top w:w="80" w:type="dxa"/>
              <w:start w:w="90" w:type="dxa"/>
              <w:bottom w:w="80" w:type="dxa"/>
              <w:end w:w="90" w:type="dxa"/>
            </w:tcMar>
            <w:vAlign w:val="top"/>
          </w:tcPr>
          <w:p>
            <w:pPr>
              <w:spacing w:after="30"/>
            </w:pPr>
            <w:r>
              <w:rPr>
                <w:rFonts w:ascii="Aptos" w:hAnsi="Aptos"/>
                <w:color w:val="232D38"/>
                <w:sz w:val="14"/>
              </w:rPr>
              <w:t>Pilot A</w:t>
            </w:r>
          </w:p>
        </w:tc>
        <w:tc>
          <w:tcPr>
            <w:tcW w:type="dxa" w:w="4997"/>
            <w:tcMar>
              <w:top w:w="80" w:type="dxa"/>
              <w:start w:w="90" w:type="dxa"/>
              <w:bottom w:w="80" w:type="dxa"/>
              <w:end w:w="90" w:type="dxa"/>
            </w:tcMar>
            <w:vAlign w:val="top"/>
          </w:tcPr>
          <w:p>
            <w:pPr>
              <w:spacing w:after="30"/>
            </w:pPr>
            <w:r>
              <w:rPr>
                <w:rFonts w:ascii="Aptos" w:hAnsi="Aptos"/>
                <w:color w:val="232D38"/>
                <w:sz w:val="14"/>
              </w:rPr>
              <w:t>Control-plane demonstration with MTQ disabled.</w:t>
            </w:r>
          </w:p>
        </w:tc>
      </w:tr>
      <w:tr>
        <w:trPr>
          <w:cantSplit/>
        </w:trPr>
        <w:tc>
          <w:tcPr>
            <w:tcW w:type="dxa" w:w="4997"/>
            <w:tcMar>
              <w:top w:w="80" w:type="dxa"/>
              <w:start w:w="90" w:type="dxa"/>
              <w:bottom w:w="80" w:type="dxa"/>
              <w:end w:w="90" w:type="dxa"/>
            </w:tcMar>
            <w:vAlign w:val="top"/>
            <w:shd w:fill="F7F9FB"/>
          </w:tcPr>
          <w:p>
            <w:pPr>
              <w:spacing w:after="30"/>
            </w:pPr>
            <w:r>
              <w:rPr>
                <w:rFonts w:ascii="Aptos" w:hAnsi="Aptos"/>
                <w:color w:val="232D38"/>
                <w:sz w:val="14"/>
              </w:rPr>
              <w:t>Pilot B</w:t>
            </w:r>
          </w:p>
        </w:tc>
        <w:tc>
          <w:tcPr>
            <w:tcW w:type="dxa" w:w="4997"/>
            <w:tcMar>
              <w:top w:w="80" w:type="dxa"/>
              <w:start w:w="90" w:type="dxa"/>
              <w:bottom w:w="80" w:type="dxa"/>
              <w:end w:w="90" w:type="dxa"/>
            </w:tcMar>
            <w:vAlign w:val="top"/>
            <w:shd w:fill="F7F9FB"/>
          </w:tcPr>
          <w:p>
            <w:pPr>
              <w:spacing w:after="30"/>
            </w:pPr>
            <w:r>
              <w:rPr>
                <w:rFonts w:ascii="Aptos" w:hAnsi="Aptos"/>
                <w:color w:val="232D38"/>
                <w:sz w:val="14"/>
              </w:rPr>
              <w:t>Potential MTQ-enabled extension after separate gates.</w:t>
            </w:r>
          </w:p>
        </w:tc>
      </w:tr>
      <w:tr>
        <w:trPr>
          <w:cantSplit/>
        </w:trPr>
        <w:tc>
          <w:tcPr>
            <w:tcW w:type="dxa" w:w="4997"/>
            <w:tcMar>
              <w:top w:w="80" w:type="dxa"/>
              <w:start w:w="90" w:type="dxa"/>
              <w:bottom w:w="80" w:type="dxa"/>
              <w:end w:w="90" w:type="dxa"/>
            </w:tcMar>
            <w:vAlign w:val="top"/>
          </w:tcPr>
          <w:p>
            <w:pPr>
              <w:spacing w:after="30"/>
            </w:pPr>
            <w:r>
              <w:rPr>
                <w:rFonts w:ascii="Aptos" w:hAnsi="Aptos"/>
                <w:color w:val="232D38"/>
                <w:sz w:val="14"/>
              </w:rPr>
              <w:t>PBC</w:t>
            </w:r>
          </w:p>
        </w:tc>
        <w:tc>
          <w:tcPr>
            <w:tcW w:type="dxa" w:w="4997"/>
            <w:tcMar>
              <w:top w:w="80" w:type="dxa"/>
              <w:start w:w="90" w:type="dxa"/>
              <w:bottom w:w="80" w:type="dxa"/>
              <w:end w:w="90" w:type="dxa"/>
            </w:tcMar>
            <w:vAlign w:val="top"/>
          </w:tcPr>
          <w:p>
            <w:pPr>
              <w:spacing w:after="30"/>
            </w:pPr>
            <w:r>
              <w:rPr>
                <w:rFonts w:ascii="Aptos" w:hAnsi="Aptos"/>
                <w:color w:val="232D38"/>
                <w:sz w:val="14"/>
              </w:rPr>
              <w:t>Protected backing cell with asset, legal control, liquidity, settlement availability and anti-double-count evidence.</w:t>
            </w:r>
          </w:p>
        </w:tc>
      </w:tr>
      <w:tr>
        <w:trPr>
          <w:cantSplit/>
        </w:trPr>
        <w:tc>
          <w:tcPr>
            <w:tcW w:type="dxa" w:w="4997"/>
            <w:tcMar>
              <w:top w:w="80" w:type="dxa"/>
              <w:start w:w="90" w:type="dxa"/>
              <w:bottom w:w="80" w:type="dxa"/>
              <w:end w:w="90" w:type="dxa"/>
            </w:tcMar>
            <w:vAlign w:val="top"/>
            <w:shd w:fill="F7F9FB"/>
          </w:tcPr>
          <w:p>
            <w:pPr>
              <w:spacing w:after="30"/>
            </w:pPr>
            <w:r>
              <w:rPr>
                <w:rFonts w:ascii="Aptos" w:hAnsi="Aptos"/>
                <w:color w:val="232D38"/>
                <w:sz w:val="14"/>
              </w:rPr>
              <w:t>Production authorization</w:t>
            </w:r>
          </w:p>
        </w:tc>
        <w:tc>
          <w:tcPr>
            <w:tcW w:type="dxa" w:w="4997"/>
            <w:tcMar>
              <w:top w:w="80" w:type="dxa"/>
              <w:start w:w="90" w:type="dxa"/>
              <w:bottom w:w="80" w:type="dxa"/>
              <w:end w:w="90" w:type="dxa"/>
            </w:tcMar>
            <w:vAlign w:val="top"/>
            <w:shd w:fill="F7F9FB"/>
          </w:tcPr>
          <w:p>
            <w:pPr>
              <w:spacing w:after="30"/>
            </w:pPr>
            <w:r>
              <w:rPr>
                <w:rFonts w:ascii="Aptos" w:hAnsi="Aptos"/>
                <w:color w:val="232D38"/>
                <w:sz w:val="14"/>
              </w:rPr>
              <w:t>Explicit governance decision for narrow scope, not implied by deployment or tests.</w:t>
            </w:r>
          </w:p>
        </w:tc>
      </w:tr>
      <w:tr>
        <w:trPr>
          <w:cantSplit/>
        </w:trPr>
        <w:tc>
          <w:tcPr>
            <w:tcW w:type="dxa" w:w="4997"/>
            <w:tcMar>
              <w:top w:w="80" w:type="dxa"/>
              <w:start w:w="90" w:type="dxa"/>
              <w:bottom w:w="80" w:type="dxa"/>
              <w:end w:w="90" w:type="dxa"/>
            </w:tcMar>
            <w:vAlign w:val="top"/>
          </w:tcPr>
          <w:p>
            <w:pPr>
              <w:spacing w:after="30"/>
            </w:pPr>
            <w:r>
              <w:rPr>
                <w:rFonts w:ascii="Aptos" w:hAnsi="Aptos"/>
                <w:color w:val="232D38"/>
                <w:sz w:val="14"/>
              </w:rPr>
              <w:t>Projection</w:t>
            </w:r>
          </w:p>
        </w:tc>
        <w:tc>
          <w:tcPr>
            <w:tcW w:type="dxa" w:w="4997"/>
            <w:tcMar>
              <w:top w:w="80" w:type="dxa"/>
              <w:start w:w="90" w:type="dxa"/>
              <w:bottom w:w="80" w:type="dxa"/>
              <w:end w:w="90" w:type="dxa"/>
            </w:tcMar>
            <w:vAlign w:val="top"/>
          </w:tcPr>
          <w:p>
            <w:pPr>
              <w:spacing w:after="30"/>
            </w:pPr>
            <w:r>
              <w:rPr>
                <w:rFonts w:ascii="Aptos" w:hAnsi="Aptos"/>
                <w:color w:val="232D38"/>
                <w:sz w:val="14"/>
              </w:rPr>
              <w:t>Rebuildable non-authoritative view such as a Turso read model.</w:t>
            </w:r>
          </w:p>
        </w:tc>
      </w:tr>
      <w:tr>
        <w:trPr>
          <w:cantSplit/>
        </w:trPr>
        <w:tc>
          <w:tcPr>
            <w:tcW w:type="dxa" w:w="4997"/>
            <w:tcMar>
              <w:top w:w="80" w:type="dxa"/>
              <w:start w:w="90" w:type="dxa"/>
              <w:bottom w:w="80" w:type="dxa"/>
              <w:end w:w="90" w:type="dxa"/>
            </w:tcMar>
            <w:vAlign w:val="top"/>
            <w:shd w:fill="F7F9FB"/>
          </w:tcPr>
          <w:p>
            <w:pPr>
              <w:spacing w:after="30"/>
            </w:pPr>
            <w:r>
              <w:rPr>
                <w:rFonts w:ascii="Aptos" w:hAnsi="Aptos"/>
                <w:color w:val="232D38"/>
                <w:sz w:val="14"/>
              </w:rPr>
              <w:t>Safe halt</w:t>
            </w:r>
          </w:p>
        </w:tc>
        <w:tc>
          <w:tcPr>
            <w:tcW w:type="dxa" w:w="4997"/>
            <w:tcMar>
              <w:top w:w="80" w:type="dxa"/>
              <w:start w:w="90" w:type="dxa"/>
              <w:bottom w:w="80" w:type="dxa"/>
              <w:end w:w="90" w:type="dxa"/>
            </w:tcMar>
            <w:vAlign w:val="top"/>
            <w:shd w:fill="F7F9FB"/>
          </w:tcPr>
          <w:p>
            <w:pPr>
              <w:spacing w:after="30"/>
            </w:pPr>
            <w:r>
              <w:rPr>
                <w:rFonts w:ascii="Aptos" w:hAnsi="Aptos"/>
                <w:color w:val="232D38"/>
                <w:sz w:val="14"/>
              </w:rPr>
              <w:t>Blocks affected new actions while preserving evidence and allowing authorized recovery.</w:t>
            </w:r>
          </w:p>
        </w:tc>
      </w:tr>
      <w:tr>
        <w:trPr>
          <w:cantSplit/>
        </w:trPr>
        <w:tc>
          <w:tcPr>
            <w:tcW w:type="dxa" w:w="4997"/>
            <w:tcMar>
              <w:top w:w="80" w:type="dxa"/>
              <w:start w:w="90" w:type="dxa"/>
              <w:bottom w:w="80" w:type="dxa"/>
              <w:end w:w="90" w:type="dxa"/>
            </w:tcMar>
            <w:vAlign w:val="top"/>
          </w:tcPr>
          <w:p>
            <w:pPr>
              <w:spacing w:after="30"/>
            </w:pPr>
            <w:r>
              <w:rPr>
                <w:rFonts w:ascii="Aptos" w:hAnsi="Aptos"/>
                <w:color w:val="232D38"/>
                <w:sz w:val="14"/>
              </w:rPr>
              <w:t>Source of truth</w:t>
            </w:r>
          </w:p>
        </w:tc>
        <w:tc>
          <w:tcPr>
            <w:tcW w:type="dxa" w:w="4997"/>
            <w:tcMar>
              <w:top w:w="80" w:type="dxa"/>
              <w:start w:w="90" w:type="dxa"/>
              <w:bottom w:w="80" w:type="dxa"/>
              <w:end w:w="90" w:type="dxa"/>
            </w:tcMar>
            <w:vAlign w:val="top"/>
          </w:tcPr>
          <w:p>
            <w:pPr>
              <w:spacing w:after="30"/>
            </w:pPr>
            <w:r>
              <w:rPr>
                <w:rFonts w:ascii="Aptos" w:hAnsi="Aptos"/>
                <w:color w:val="232D38"/>
                <w:sz w:val="14"/>
              </w:rPr>
              <w:t>Authority is defined per fact domain; no single document/database replaces law, contracts, runtime facts and approved design in all domains.</w:t>
            </w:r>
          </w:p>
        </w:tc>
      </w:tr>
      <w:tr>
        <w:trPr>
          <w:cantSplit/>
        </w:trPr>
        <w:tc>
          <w:tcPr>
            <w:tcW w:type="dxa" w:w="4997"/>
            <w:tcMar>
              <w:top w:w="80" w:type="dxa"/>
              <w:start w:w="90" w:type="dxa"/>
              <w:bottom w:w="80" w:type="dxa"/>
              <w:end w:w="90" w:type="dxa"/>
            </w:tcMar>
            <w:vAlign w:val="top"/>
            <w:shd w:fill="F7F9FB"/>
          </w:tcPr>
          <w:p>
            <w:pPr>
              <w:spacing w:after="30"/>
            </w:pPr>
            <w:r>
              <w:rPr>
                <w:rFonts w:ascii="Aptos" w:hAnsi="Aptos"/>
                <w:color w:val="232D38"/>
                <w:sz w:val="14"/>
              </w:rPr>
              <w:t>Unknown</w:t>
            </w:r>
          </w:p>
        </w:tc>
        <w:tc>
          <w:tcPr>
            <w:tcW w:type="dxa" w:w="4997"/>
            <w:tcMar>
              <w:top w:w="80" w:type="dxa"/>
              <w:start w:w="90" w:type="dxa"/>
              <w:bottom w:w="80" w:type="dxa"/>
              <w:end w:w="90" w:type="dxa"/>
            </w:tcMar>
            <w:vAlign w:val="top"/>
            <w:shd w:fill="F7F9FB"/>
          </w:tcPr>
          <w:p>
            <w:pPr>
              <w:spacing w:after="30"/>
            </w:pPr>
            <w:r>
              <w:rPr>
                <w:rFonts w:ascii="Aptos" w:hAnsi="Aptos"/>
                <w:color w:val="232D38"/>
                <w:sz w:val="14"/>
              </w:rPr>
              <w:t>Honest status requiring evidence; never default to pass.</w:t>
            </w:r>
          </w:p>
        </w:tc>
      </w:tr>
    </w:tbl>
    <w:p>
      <w:pPr>
        <w:spacing w:after="0"/>
      </w:pPr>
    </w:p>
    <w:p>
      <w:pPr>
        <w:pStyle w:val="Heading1"/>
      </w:pPr>
      <w:r>
        <w:t>Final Canonical Statement</w:t>
      </w:r>
    </w:p>
    <w:p>
      <w:r>
        <w:rPr>
          <w:i w:val="0"/>
        </w:rPr>
        <w:t>MITHQAL advances as a neutral, institution-first settlement control plane that proves value through existing settlement assets, explicit institutional responsibilities, enforceable legal boundaries, reliable technical workflows and auditable evidence. MTQ remains optional until its distinct legal and operational conditions pass. The AI platform builds what this blueprint specifies, proves what it claims and blocks what it cannot justify. The next milestone is not a larger feature list; it is the next valid external evidence and a reproducible MTQ-disabled demonstration that an institution can honestly evaluate.</w:t>
      </w:r>
    </w:p>
    <w:p>
      <w:pPr>
        <w:keepLines/>
        <w:spacing w:before="100" w:after="120"/>
        <w:ind w:left="144" w:right="144"/>
        <w:shd w:fill="EEF2F6"/>
        <w:ind w:left="120" w:right="120"/>
        <w:pBdr>
          <w:top w:val="single" w:sz="5" w:space="5" w:color="CCD5DF"/>
          <w:left w:val="single" w:sz="5" w:space="5" w:color="CCD5DF"/>
          <w:bottom w:val="single" w:sz="5" w:space="5" w:color="CCD5DF"/>
          <w:right w:val="single" w:sz="5" w:space="5" w:color="CCD5DF"/>
        </w:pBdr>
      </w:pPr>
      <w:r>
        <w:rPr>
          <w:b/>
          <w:color w:val="07111F"/>
          <w:sz w:val="20"/>
        </w:rPr>
        <w:t>CURRENT DEFAULTS</w:t>
        <w:br/>
      </w:r>
      <w:r>
        <w:rPr>
          <w:color w:val="334155"/>
          <w:sz w:val="18"/>
        </w:rPr>
        <w:t>productionAuthorized = false  |  institutionallyValidated = false until primary evidence says otherwise  |  MTQ module = disabled by default  |  jurisdiction = pending unless scoped approval is linked  |  claims = unverified until registered  |  conflicts = tracked, never silently resolved.</w:t>
      </w:r>
    </w:p>
    <w:sectPr w:rsidR="00FC693F" w:rsidRPr="0006063C" w:rsidSect="00034616">
      <w:headerReference w:type="default" r:id="rId9"/>
      <w:footerReference w:type="default" r:id="rId10"/>
      <w:pgSz w:w="12240" w:h="15840"/>
      <w:pgMar w:top="979" w:right="1123" w:bottom="979" w:left="1123"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26171"/>
        <w:sz w:val="15"/>
      </w:rPr>
      <w:t xml:space="preserve">INTERNAL WORKING SPECIFICATION • NOT PRODUCTION-AUTHORIZED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526171"/>
        <w:sz w:val="15"/>
      </w:rPr>
      <w:t>MITHQAL  |  CANONICAL MASTER BLUEPRINT  |  CONTROLLED DESIGN BASELINE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4" w:lineRule="auto"/>
    </w:pPr>
    <w:rPr>
      <w:rFonts w:ascii="Aptos" w:hAnsi="Aptos" w:eastAsia="Aptos"/>
      <w:color w:val="232D38"/>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Display" w:hAnsi="Aptos Display" w:eastAsia="Aptos Display"/>
      <w:b/>
      <w:bCs/>
      <w:color w:val="07111F"/>
      <w:sz w:val="3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eastAsia="Aptos Display"/>
      <w:b/>
      <w:bCs/>
      <w:color w:val="10243A"/>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ptos" w:hAnsi="Aptos" w:eastAsia="Aptos"/>
      <w:b/>
      <w:bCs/>
      <w:color w:val="C99B56"/>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ptos Display" w:hAnsi="Aptos Display" w:eastAsia="Aptos Display"/>
      <w:b/>
      <w:color w:val="07111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200" w:after="80"/>
    </w:pPr>
    <w:rPr>
      <w:rFonts w:asciiTheme="majorHAnsi" w:eastAsiaTheme="majorEastAsia" w:hAnsiTheme="majorHAnsi" w:cstheme="majorBidi" w:ascii="Aptos" w:hAnsi="Aptos" w:eastAsia="Aptos"/>
      <w:b w:val="0"/>
      <w:i/>
      <w:iCs/>
      <w:color w:val="526171"/>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MITHQAL Canonical Master Blueprint v26.0</dc:title>
  <dc:subject>Institutional settlement control plane, MTQ optional module, evidence-led development and governance</dc:subject>
  <dc:creator>MITHQAL — Controlled Working Specification</dc:creator>
  <cp:keywords>MITHQAL, institutional settlement, source of truth, MTQ, finality, evidence, control plane</cp:keywords>
  <dc:description>Consolidated from accessible project documents and retained conversation summaries. Not production-authorized.</dc:description>
  <cp:lastModifiedBy/>
  <cp:revision>1</cp:revision>
  <dcterms:created xsi:type="dcterms:W3CDTF">2013-12-23T23:15:00Z</dcterms:created>
  <dcterms:modified xsi:type="dcterms:W3CDTF">2013-12-23T23:15:00Z</dcterms:modified>
  <cp:category/>
</cp:coreProperties>
</file>