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A78"/>
          <w:sz w:val="34"/>
        </w:rPr>
        <w:t>MITHQAL  |  MTQ</w:t>
      </w:r>
    </w:p>
    <w:p>
      <w:pPr>
        <w:pStyle w:val="Title"/>
        <w:jc w:val="center"/>
      </w:pPr>
      <w:r>
        <w:t>Canonical Product, Financial, Technical and Institutional Blueprint</w:t>
      </w:r>
    </w:p>
    <w:p>
      <w:pPr>
        <w:jc w:val="center"/>
      </w:pPr>
      <w:r>
        <w:rPr>
          <w:sz w:val="22"/>
        </w:rPr>
        <w:t>Controlled design baseline for pre-deployment and pre-financing</w:t>
        <w:br/>
        <w:t>11 October 2026 · Draft v1.0</w:t>
      </w:r>
    </w:p>
    <w:p>
      <w:pPr>
        <w:jc w:val="center"/>
      </w:pPr>
      <w:r>
        <w:rPr>
          <w:b/>
          <w:color w:val="A03C2D"/>
        </w:rPr>
        <w:t>DESIGN-STAGE ONLY · PRODUCTION AUTHORIZED = FALSE · MTQ DISABLED</w:t>
      </w:r>
    </w:p>
    <w:p>
      <w:r>
        <w:br w:type="page"/>
      </w:r>
    </w:p>
    <w:p>
      <w:pPr>
        <w:pStyle w:val="Heading1"/>
      </w:pPr>
      <w:r>
        <w:t>How to use this blueprint</w:t>
      </w:r>
    </w:p>
    <w:p>
      <w:r>
        <w:t>This document incorporates the recommendations stated in the current chat. It does not claim to recover earlier files or code not present in this chat. Legal, market, financial and technical assertions remain hypotheses unless their evidence state supports them.</w:t>
      </w:r>
    </w:p>
    <w:p>
      <w:r>
        <w:t>The companion HTML/CSS/JavaScript package is a static synthetic-data demonstrator scaffold. It is not production software and is not connected to financial infrastructure.</w:t>
      </w:r>
    </w:p>
    <w:p>
      <w:pPr>
        <w:pStyle w:val="Heading1"/>
      </w:pPr>
      <w:r>
        <w:t>Contents</w:t>
      </w:r>
    </w:p>
    <w:p>
      <w:pPr>
        <w:pStyle w:val="ListNumber"/>
      </w:pPr>
      <w:r>
        <w:t>0. Document control and authority</w:t>
      </w:r>
    </w:p>
    <w:p>
      <w:pPr>
        <w:pStyle w:val="ListNumber"/>
      </w:pPr>
      <w:r>
        <w:t>1. Executive strategy</w:t>
      </w:r>
    </w:p>
    <w:p>
      <w:pPr>
        <w:pStyle w:val="ListNumber"/>
      </w:pPr>
      <w:r>
        <w:t>2. Phased product scope</w:t>
      </w:r>
    </w:p>
    <w:p>
      <w:pPr>
        <w:pStyle w:val="ListNumber"/>
      </w:pPr>
      <w:r>
        <w:t>3. Customer, market and geopolitical strategy</w:t>
      </w:r>
    </w:p>
    <w:p>
      <w:pPr>
        <w:pStyle w:val="ListNumber"/>
      </w:pPr>
      <w:r>
        <w:t>4. Value proposition and measurement</w:t>
      </w:r>
    </w:p>
    <w:p>
      <w:pPr>
        <w:pStyle w:val="ListNumber"/>
      </w:pPr>
      <w:r>
        <w:t>5. Out-of-the-box product hypotheses</w:t>
      </w:r>
    </w:p>
    <w:p>
      <w:pPr>
        <w:pStyle w:val="ListNumber"/>
      </w:pPr>
      <w:r>
        <w:t>6. MTQ legal and financial design boundary</w:t>
      </w:r>
    </w:p>
    <w:p>
      <w:pPr>
        <w:pStyle w:val="ListNumber"/>
      </w:pPr>
      <w:r>
        <w:t>7. Corporate and governance structure</w:t>
      </w:r>
    </w:p>
    <w:p>
      <w:pPr>
        <w:pStyle w:val="ListNumber"/>
      </w:pPr>
      <w:r>
        <w:t>8. Functional architecture</w:t>
      </w:r>
    </w:p>
    <w:p>
      <w:pPr>
        <w:pStyle w:val="ListNumber"/>
      </w:pPr>
      <w:r>
        <w:t>9. Runtime and data architecture</w:t>
      </w:r>
    </w:p>
    <w:p>
      <w:pPr>
        <w:pStyle w:val="ListNumber"/>
      </w:pPr>
      <w:r>
        <w:t>10. Security, privacy and resilience</w:t>
      </w:r>
    </w:p>
    <w:p>
      <w:pPr>
        <w:pStyle w:val="ListNumber"/>
      </w:pPr>
      <w:r>
        <w:t>11. Legal, regulatory, accounting and jurisdiction</w:t>
      </w:r>
    </w:p>
    <w:p>
      <w:pPr>
        <w:pStyle w:val="ListNumber"/>
      </w:pPr>
      <w:r>
        <w:t>12. Pricing and go-to-market</w:t>
      </w:r>
    </w:p>
    <w:p>
      <w:pPr>
        <w:pStyle w:val="ListNumber"/>
      </w:pPr>
      <w:r>
        <w:t>13. Financing and operating plan</w:t>
      </w:r>
    </w:p>
    <w:p>
      <w:pPr>
        <w:pStyle w:val="ListNumber"/>
      </w:pPr>
      <w:r>
        <w:t>14. Risk register and stop/pivot rules</w:t>
      </w:r>
    </w:p>
    <w:p>
      <w:pPr>
        <w:pStyle w:val="ListNumber"/>
      </w:pPr>
      <w:r>
        <w:t>15. AI developer implementation contract</w:t>
      </w:r>
    </w:p>
    <w:p>
      <w:pPr>
        <w:pStyle w:val="ListNumber"/>
      </w:pPr>
      <w:r>
        <w:t>16. HTML/CSS/JavaScript demonstrator specification</w:t>
      </w:r>
    </w:p>
    <w:p>
      <w:pPr>
        <w:pStyle w:val="ListNumber"/>
      </w:pPr>
      <w:r>
        <w:t>17. Final canonical statement</w:t>
      </w:r>
    </w:p>
    <w:p>
      <w:r>
        <w:br w:type="page"/>
      </w:r>
    </w:p>
    <w:p>
      <w:pPr>
        <w:pStyle w:val="Heading1"/>
      </w:pPr>
      <w:r>
        <w:t>0. Document control and authority</w:t>
      </w:r>
    </w:p>
    <w:p>
      <w:pPr>
        <w:pStyle w:val="Heading2"/>
      </w:pPr>
      <w:r>
        <w:t>Purpose and scope</w:t>
      </w:r>
    </w:p>
    <w:p>
      <w:r>
        <w:t>This is the proposed single design baseline for MITHQAL and MTQ, using only the recommendations stated in the current chat. It is a development brief for a pre-deployment, pre-financing project. It is not legal advice, a regulatory approval, a bank commitment, a custody agreement, an accounting opinion, a security certification, or proof that any feature is implemented.</w:t>
      </w:r>
    </w:p>
    <w:p>
      <w:pPr>
        <w:pStyle w:val="Heading2"/>
      </w:pPr>
      <w:r>
        <w:t>Normative status</w:t>
      </w:r>
    </w:p>
    <w:p>
      <w:r>
        <w:t>This document becomes the active source of truth only after the project owner formally approves it, assigns an immutable version and hash, places it in the authoritative repository, and marks earlier drafts as superseded or historical. A title such as canonical or master does not itself establish authority.</w:t>
      </w:r>
    </w:p>
    <w:p>
      <w:pPr>
        <w:pStyle w:val="Heading2"/>
      </w:pPr>
      <w:r>
        <w:t>Authority by domain</w:t>
      </w:r>
    </w:p>
    <w:p>
      <w:r>
        <w:t>The approved blueprint governs intended behavior. Source code and deployment configuration show implemented behavior. Automated tests show tested behavior within stated coverage. Runtime traces show bounded observations. Executed contracts establish contractual rights. Qualified counsel and regulators establish their respective legal or regulatory conclusions. Bank, custodian and provider evidence proves only claims within its scope. Conflicts must be recorded and resolved by the accountable owner; never silently overwritten.</w:t>
      </w:r>
    </w:p>
    <w:p>
      <w:pPr>
        <w:pStyle w:val="Heading2"/>
      </w:pPr>
      <w:r>
        <w:t>Truth states</w:t>
      </w:r>
    </w:p>
    <w:p>
      <w:r>
        <w:t>Use VERIFIED_PRIMARY_DOCUMENT, EXECUTED_EXTERNAL_DOCUMENT, EXTERNAL_SOURCE, OBSERVED_RUNTIME, TESTED, INTERNAL_DESIGN, ASSUMED, PENDING_PRIMARY_DOCUMENT, PENDING_LEGAL_REVIEW, UNKNOWN, EXPIRED, REVOKED, CONTRADICTORY, UNAVAILABLE and NOT_APPLICABLE. Each material claim records source, scope, owner, timestamp, expiry/review date and what it does not prove.</w:t>
      </w:r>
    </w:p>
    <w:p>
      <w:pPr>
        <w:pStyle w:val="Heading2"/>
      </w:pPr>
      <w:r>
        <w:t>Current status</w:t>
      </w:r>
    </w:p>
    <w:p>
      <w:r>
        <w:t>DESIGN_STAGE=TRUE; PRE_PILOT=TRUE; PRE_FINANCING=TRUE; PRODUCTION_AUTHORIZED=FALSE; LIVE_BANK_INTEGRATION=FALSE; REAL_VALUE_SETTLEMENT=FALSE; MTQ_ENABLED=FALSE; LIVE_BACKING=FALSE; EXTERNAL_LEGAL_VALIDATION=PENDING; COMMERCIAL_DEMAND=UNPROVEN.</w:t>
      </w:r>
    </w:p>
    <w:p>
      <w:pPr>
        <w:pStyle w:val="Heading1"/>
      </w:pPr>
      <w:r>
        <w:t>1. Executive strategy</w:t>
      </w:r>
    </w:p>
    <w:p>
      <w:pPr>
        <w:pStyle w:val="Heading2"/>
      </w:pPr>
      <w:r>
        <w:t>Canonical product statement</w:t>
      </w:r>
    </w:p>
    <w:p>
      <w:r>
        <w:t>MITHQAL is a proposed institutional settlement evidence, exception-control and orchestration workbench. It helps an institution understand, coordinate, explain and reconcile payment-related events across existing providers and systems. Initial value is operational control, evidence provenance, exception handling and reproducible replay—not issuing a new form of money.</w:t>
      </w:r>
    </w:p>
    <w:p>
      <w:pPr>
        <w:pStyle w:val="Heading2"/>
      </w:pPr>
      <w:r>
        <w:t>MTQ positioning</w:t>
      </w:r>
    </w:p>
    <w:p>
      <w:r>
        <w:t>MTQ is a proposed optional, permissioned, closed-loop institutional settlement module. It is not the core product, is not required for MITHQAL to function, and remains disabled by default. Do not expand MTQ features until a specific use case proves recognized settlement assets or existing networks cannot adequately solve a defined problem and external review establishes a viable legal and operating path.</w:t>
      </w:r>
    </w:p>
    <w:p>
      <w:pPr>
        <w:pStyle w:val="Heading2"/>
      </w:pPr>
      <w:r>
        <w:t>Strategic thesis</w:t>
      </w:r>
    </w:p>
    <w:p>
      <w:r>
        <w:t>The world has a real cross-border payments coordination problem, but that does not prove MITHQAL specifically is needed or MTQ is needed. Establish a specific buyer problem, measure the baseline, demonstrate improvement in a controlled environment, compare alternatives and prove a credible purchasing path.</w:t>
      </w:r>
    </w:p>
    <w:p>
      <w:pPr>
        <w:pStyle w:val="Heading2"/>
      </w:pPr>
      <w:r>
        <w:t>Initial product wedge</w:t>
      </w:r>
    </w:p>
    <w:p>
      <w:r>
        <w:t>Cross-Border Payment Evidence and Exception Control Workbench: a controlled application for viewing instruction timelines, provider-reported events, evidence provenance, route rationale, exceptions, reconciliation breaks, policy versions and reproducible audit packages. Initially it does not initiate production payments, custody assets, certify compliance, issue MTQ or assert legal finality.</w:t>
      </w:r>
    </w:p>
    <w:p>
      <w:pPr>
        <w:pStyle w:val="Heading2"/>
      </w:pPr>
      <w:r>
        <w:t>Boundaries</w:t>
      </w:r>
    </w:p>
    <w:p>
      <w:r>
        <w:t>MITHQAL is not a bank, central bank, regulator, payment rail, sovereign currency, universal settlement network, legal certifier, custody provider, guarantee provider or substitute for contractual and regulatory permissions.</w:t>
      </w:r>
    </w:p>
    <w:p>
      <w:pPr>
        <w:pStyle w:val="Heading1"/>
      </w:pPr>
      <w:r>
        <w:t>2. Phased product scope</w:t>
      </w:r>
    </w:p>
    <w:p>
      <w:pPr>
        <w:pStyle w:val="Heading2"/>
      </w:pPr>
      <w:r>
        <w:t>Pilot A — MTQ-disabled workbench</w:t>
      </w:r>
    </w:p>
    <w:p>
      <w:r>
        <w:t>Use synthetic data or properly authorized historical data. Demonstrate instruction intake, validation, deterministic policy decisions, evidence collection, status transitions, exception handling, reconciliation, replay, safe halt and controlled recovery. Any action that could issue, transfer or redeem MTQ is unavailable or deterministically denied.</w:t>
      </w:r>
    </w:p>
    <w:p>
      <w:pPr>
        <w:pStyle w:val="Heading2"/>
      </w:pPr>
      <w:r>
        <w:t>Pilot A acceptance</w:t>
      </w:r>
    </w:p>
    <w:p>
      <w:r>
        <w:t>Every input has provenance; decisions are reproducible; policy version and reason codes are recorded; failures are visible and safe; duplicate events do not create duplicate state transitions; reconciliation discrepancies are surfaced; exports distinguish synthetic from observed data; reviewers can reconstruct why a decision occurred; and scenario runs can be repeated from a clean environment.</w:t>
      </w:r>
    </w:p>
    <w:p>
      <w:pPr>
        <w:pStyle w:val="Heading2"/>
      </w:pPr>
      <w:r>
        <w:t>Pilot A exclusions</w:t>
      </w:r>
    </w:p>
    <w:p>
      <w:r>
        <w:t>No real-value payments, production rail connections, participant funds, MTQ issuance/redemption, custody/reserve management, live FX execution, autonomous AI decisions, legal/regulatory certification, unauthorized personal or financial data, or claims of real savings, finality, compliance or settlement speed.</w:t>
      </w:r>
    </w:p>
    <w:p>
      <w:pPr>
        <w:pStyle w:val="Heading2"/>
      </w:pPr>
      <w:r>
        <w:t>Pilot B — conditional MTQ evaluation</w:t>
      </w:r>
    </w:p>
    <w:p>
      <w:r>
        <w:t>Pilot B is not automatically authorized by Pilot A. It requires a specific corridor and incremental use case; qualified legal review; established obligor, holder rights, redemption and insolvency treatment; evidenced custody/backing control; accounting/prudential/tax review; counterparty interest; security/assurance; and documented approvals. Until then, MTQ remains disabled.</w:t>
      </w:r>
    </w:p>
    <w:p>
      <w:pPr>
        <w:pStyle w:val="Heading2"/>
      </w:pPr>
      <w:r>
        <w:t>Stages</w:t>
      </w:r>
    </w:p>
    <w:p>
      <w:r>
        <w:t>Stage 0 discovery and baseline; Stage 1 synthetic demonstrator; Stage 2 independent technical challenge; Stage 3 pre-financing evidence pack; Stage 4 non-binding design-partner discussion; Stage 5 controlled pilot proposal; Stage 6 separately approved pilot; Stage 7 repeatability and commercial validation. Passing a stage does not automatically authorize the next.</w:t>
      </w:r>
    </w:p>
    <w:p>
      <w:pPr>
        <w:pStyle w:val="Heading1"/>
      </w:pPr>
      <w:r>
        <w:t>3. Customer, market and geopolitical strategy</w:t>
      </w:r>
    </w:p>
    <w:p>
      <w:pPr>
        <w:pStyle w:val="Heading2"/>
      </w:pPr>
      <w:r>
        <w:t>Market reality</w:t>
      </w:r>
    </w:p>
    <w:p>
      <w:r>
        <w:t>Institutional payments are pluralistic: bank accounts, correspondent banking, domestic instant-payment systems, RTGS, tokenized deposits, stablecoins, wholesale CBDC initiatives and other arrangements may coexist. Rails have different access rules, legal finality, data rights, currency, liquidity, operating hours and jurisdictional limits.</w:t>
      </w:r>
    </w:p>
    <w:p>
      <w:pPr>
        <w:pStyle w:val="Heading2"/>
      </w:pPr>
      <w:r>
        <w:t>Competitive stance</w:t>
      </w:r>
    </w:p>
    <w:p>
      <w:r>
        <w:t>Do not claim that no existing product offers evidence, orchestration, reconciliation or replay. Compare MITHQAL with treasury systems, payment operations platforms, correspondent-bank services, reconciliation tools, orchestration vendors, bank-built systems and shared networks. Differentiation must be evidenced, not asserted.</w:t>
      </w:r>
    </w:p>
    <w:p>
      <w:pPr>
        <w:pStyle w:val="Heading2"/>
      </w:pPr>
      <w:r>
        <w:t>Target customer hypothesis</w:t>
      </w:r>
    </w:p>
    <w:p>
      <w:r>
        <w:t>Investigate institutions and payment operations teams with recurring cross-border exception, reconciliation, traceability, FX/fee transparency or visibility problems. Mid-tier banks and specialized payment institutions are hypotheses, not proven ideal customers. Select buyers by pain, data access, budget ownership, authority and feasibility.</w:t>
      </w:r>
    </w:p>
    <w:p>
      <w:pPr>
        <w:pStyle w:val="Heading2"/>
      </w:pPr>
      <w:r>
        <w:t>Corridor selection</w:t>
      </w:r>
    </w:p>
    <w:p>
      <w:r>
        <w:t>Assess flow volume, all-in cost, FX transparency, timing distribution, failure/repair rate, working-capital impact, legal constraints, sanctions exposure, provider availability, integration burden, data access, buyer urgency and alternatives. Separate measured facts from estimates and assumptions.</w:t>
      </w:r>
    </w:p>
    <w:p>
      <w:pPr>
        <w:pStyle w:val="Heading2"/>
      </w:pPr>
      <w:r>
        <w:t>Priority heuristic</w:t>
      </w:r>
    </w:p>
    <w:p>
      <w:r>
        <w:t>Priority Score = (Addressable Pain × Recoverable Value × Buyer Urgency × Repeatability) / (Integration Cost × Legal Complexity × Data Barriers × Competitive Pressure). This is an internal heuristic, not a validated financial formula. Score on a documented scale, assign confidence and run sensitivity analysis.</w:t>
      </w:r>
    </w:p>
    <w:p>
      <w:pPr>
        <w:pStyle w:val="Heading2"/>
      </w:pPr>
      <w:r>
        <w:t>Discovery target</w:t>
      </w:r>
    </w:p>
    <w:p>
      <w:r>
        <w:t>As an initial experiment, aim for 15–20 structured stakeholder interviews across treasury, payments operations, reconciliation, risk/compliance and technology. This is a practical target, not an industry benchmark. Seek repeated confirmation of one painful workflow and authorized, anonymized or synthetic data adequate to test economics.</w:t>
      </w:r>
    </w:p>
    <w:p>
      <w:pPr>
        <w:pStyle w:val="Heading1"/>
      </w:pPr>
      <w:r>
        <w:t>4. Value proposition and measurement</w:t>
      </w:r>
    </w:p>
    <w:p>
      <w:pPr>
        <w:pStyle w:val="Heading2"/>
      </w:pPr>
      <w:r>
        <w:t>Value hypotheses</w:t>
      </w:r>
    </w:p>
    <w:p>
      <w:r>
        <w:t>Potential benefits include fewer manual investigation steps, faster exception resolution, fewer unreconciled records, improved provider-event visibility, lower evidence-collection effort, better audit reconstruction, reduced operational rework and improved fee/FX transparency. None may be advertised as achieved until measured against a valid baseline.</w:t>
      </w:r>
    </w:p>
    <w:p>
      <w:pPr>
        <w:pStyle w:val="Heading2"/>
      </w:pPr>
      <w:r>
        <w:t>Baseline protocol</w:t>
      </w:r>
    </w:p>
    <w:p>
      <w:r>
        <w:t>Define sample window, population, transaction/exception categories, data completeness, exclusions, timestamps and measurement owners. Record the existing process and costs before demonstrating MITHQAL. Separate measured changes from modeled potential savings.</w:t>
      </w:r>
    </w:p>
    <w:p>
      <w:pPr>
        <w:pStyle w:val="Heading2"/>
      </w:pPr>
      <w:r>
        <w:t>Core metrics</w:t>
      </w:r>
    </w:p>
    <w:p>
      <w:r>
        <w:t>Time to identify and resolve exceptions; evidence completeness; reconciliation break rate; manual touches per case; duplicate-event handling accuracy; reproducibility rate; evidence-package preparation time; deterministic-rule false positives/negatives; safe-halt success; recovery time in tested scenarios; and cost per case under stated assumptions.</w:t>
      </w:r>
    </w:p>
    <w:p>
      <w:pPr>
        <w:pStyle w:val="Heading2"/>
      </w:pPr>
      <w:r>
        <w:t>Bank ROI</w:t>
      </w:r>
    </w:p>
    <w:p>
      <w:r>
        <w:t>Bank ROI = measured FX savings + measured operating savings + measured liquidity benefits + substantiated new revenue − integration cost − ongoing compliance cost − risk/capital cost − maintenance/support cost. Include only categories with a buyer-specific baseline and documented calculation.</w:t>
      </w:r>
    </w:p>
    <w:p>
      <w:pPr>
        <w:pStyle w:val="Heading2"/>
      </w:pPr>
      <w:r>
        <w:t>MITHQAL contribution margin</w:t>
      </w:r>
    </w:p>
    <w:p>
      <w:r>
        <w:t>Contribution margin = MITHQAL revenue − bank/provider costs − FX costs − liquidity costs − compliance costs − infrastructure costs − support costs − risk/insurance costs. Separate recurring software revenue, integration fees, provider pass-throughs and support. Do not rely on MTQ issuance or speculative demand.</w:t>
      </w:r>
    </w:p>
    <w:p>
      <w:pPr>
        <w:pStyle w:val="Heading1"/>
      </w:pPr>
      <w:r>
        <w:t>5. Out-of-the-box product hypotheses</w:t>
      </w:r>
    </w:p>
    <w:p>
      <w:pPr>
        <w:pStyle w:val="Heading2"/>
      </w:pPr>
      <w:r>
        <w:t>A. Payment Evidence Passport</w:t>
      </w:r>
    </w:p>
    <w:p>
      <w:r>
        <w:t>For each instruction, provide an access-controlled evidence bundle: event timeline; source and provenance; source/observed timestamps; policy version; route rationale; authorized fee/FX references; exception history; reconciliation status; and finality-domain status only where supported. Distinguish provider-reported, MITHQAL-observed, tested, independently verified and legally established facts. Minimize sensitive data.</w:t>
      </w:r>
    </w:p>
    <w:p>
      <w:pPr>
        <w:pStyle w:val="Heading2"/>
      </w:pPr>
      <w:r>
        <w:t>B. Corridor Digital Twin</w:t>
      </w:r>
    </w:p>
    <w:p>
      <w:r>
        <w:t>Replay synthetic or authorized historical scenarios for a defined corridor. Compare route, fee, timing, liquidity and exception assumptions; simulate provider outage, delayed evidence, duplicates, mismatches and policy changes. Record dataset, assumptions, model version, scenario, limitations and uncertainty. Never present synthetic results as actual bank savings or settlement.</w:t>
      </w:r>
    </w:p>
    <w:p>
      <w:pPr>
        <w:pStyle w:val="Heading2"/>
      </w:pPr>
      <w:r>
        <w:t>C. Exception Resolution Network</w:t>
      </w:r>
    </w:p>
    <w:p>
      <w:r>
        <w:t>Future consent-based workflow for structured exception cases: missing item, responsible party, required evidence, applicable clock and resulting state. Begin within one organization or a simulated environment. Multi-institution use requires data-sharing agreements, access control, privacy safeguards, identity and governance.</w:t>
      </w:r>
    </w:p>
    <w:p>
      <w:pPr>
        <w:pStyle w:val="Heading2"/>
      </w:pPr>
      <w:r>
        <w:t>D. Corridor Readiness and Cost Diagnostic</w:t>
      </w:r>
    </w:p>
    <w:p>
      <w:r>
        <w:t>Evaluate corridor costs, failure/repair rates, FX transparency, timing, liquidity use, providers, data availability, integration and legal constraints. This is decision support, not certification or guarantee.</w:t>
      </w:r>
    </w:p>
    <w:p>
      <w:pPr>
        <w:pStyle w:val="Heading2"/>
      </w:pPr>
      <w:r>
        <w:t>Open schema option</w:t>
      </w:r>
    </w:p>
    <w:p>
      <w:r>
        <w:t>Consider publishing a vendor-neutral schema for evidence and exception events while retaining proprietary orchestration, analytics and workflow software. Assess standards maintenance, adoption burden, governance, IP, security and risk of adoption without purchase.</w:t>
      </w:r>
    </w:p>
    <w:p>
      <w:pPr>
        <w:pStyle w:val="Heading2"/>
      </w:pPr>
      <w:r>
        <w:t>Priority</w:t>
      </w:r>
    </w:p>
    <w:p>
      <w:r>
        <w:t>Validate Payment Evidence Passport first; use the Corridor Digital Twin as its demonstration environment; use the Corridor Readiness Diagnostic to choose the use case; defer multi-institution exception exchange until a concrete data-sharing model exists.</w:t>
      </w:r>
    </w:p>
    <w:p>
      <w:pPr>
        <w:pStyle w:val="Heading1"/>
      </w:pPr>
      <w:r>
        <w:t>6. MTQ legal and financial design boundary</w:t>
      </w:r>
    </w:p>
    <w:p>
      <w:pPr>
        <w:pStyle w:val="Heading2"/>
      </w:pPr>
      <w:r>
        <w:t>Definition</w:t>
      </w:r>
    </w:p>
    <w:p>
      <w:r>
        <w:t>MTQ is a proposed permissioned, closed-loop institutional settlement module, optional and disabled by default. Its legal classification, issuer/obligor, holder rights, transferability, redemption, insolvency, accounting, prudential, tax and jurisdictional treatment remain unresolved until supported by qualified external review and executed agreements.</w:t>
      </w:r>
    </w:p>
    <w:p>
      <w:pPr>
        <w:pStyle w:val="Heading2"/>
      </w:pPr>
      <w:r>
        <w:t>Design intent is not legal classification</w:t>
      </w:r>
    </w:p>
    <w:p>
      <w:r>
        <w:t>The design intent is not to present MTQ as sovereign money, central-bank reserves, a bank deposit, public stablecoin, bearer instrument, security, investment, yield instrument, guaranteed USD peg, retail cryptocurrency, CBDC, exchange-traded instrument, financial guarantee or speculative asset. Actual legal classification depends on applicable law and actual rights; labels alone do not decide it.</w:t>
      </w:r>
    </w:p>
    <w:p>
      <w:pPr>
        <w:pStyle w:val="Heading2"/>
      </w:pPr>
      <w:r>
        <w:t>Obligor truth rule</w:t>
      </w:r>
    </w:p>
    <w:p>
      <w:r>
        <w:t>Never assert that an issuing bank is the obligor until the proposed legal structure and executed terms establish it. Distinguish intended role, proposed role, contractually defined role and externally validated role. If the obligor is unknown, absent, disputed or unsupported, deny MTQ actions.</w:t>
      </w:r>
    </w:p>
    <w:p>
      <w:pPr>
        <w:pStyle w:val="Heading2"/>
      </w:pPr>
      <w:r>
        <w:t>PAR</w:t>
      </w:r>
    </w:p>
    <w:p>
      <w:r>
        <w:t>PAR=1.00 may be used only as an accounting reference under the approved model. It does not itself imply a USD peg, guaranteed redemption price, market value, collateral value or enforceable holder right. Quarantine contradictory legacy language. Any different treatment requires external legal/accounting support and approved terms.</w:t>
      </w:r>
    </w:p>
    <w:p>
      <w:pPr>
        <w:pStyle w:val="Heading2"/>
      </w:pPr>
      <w:r>
        <w:t>Activation prerequisites</w:t>
      </w:r>
    </w:p>
    <w:p>
      <w:r>
        <w:t>Before any MTQ action: verified institution; authorized jurisdiction/corridor; approved legal instrument and obligor; established holder rights/transferability; defined redemption/acceptance conditions; eligible backing and legal control where required; evidenced custody/control and segregation/perfection; settlement liquidity; eligible finality domain; current policy/permissions; accounting/prudential/tax review; security and independent assurance; required approvals; controlled test and rollback plan. Missing, expired, revoked, contradictory or unverifiable evidence causes deterministic denial and an audit event.</w:t>
      </w:r>
    </w:p>
    <w:p>
      <w:pPr>
        <w:pStyle w:val="Heading2"/>
      </w:pPr>
      <w:r>
        <w:t>Prohibited triggers</w:t>
      </w:r>
    </w:p>
    <w:p>
      <w:r>
        <w:t>Bank funding events, HTTP acknowledgements, internal ledger inserts, revenue/utilization targets, price signals, AI recommendations and operator convenience cannot alone authorize issuance. No best-effort minting.</w:t>
      </w:r>
    </w:p>
    <w:p>
      <w:pPr>
        <w:pStyle w:val="Heading2"/>
      </w:pPr>
      <w:r>
        <w:t>Mint workflow</w:t>
      </w:r>
    </w:p>
    <w:p>
      <w:r>
        <w:t>BM-15 Monetary Authorization evaluates permission but cannot mint or prove external finality. BM-16A Finality Verification checks evidence bound to transaction, rail/domain, rule, source, timestamp and policy. BM-16B Mint Execution acts only after all required proofs and approvals; it remains disabled until a separate MTQ approval gate passes.</w:t>
      </w:r>
    </w:p>
    <w:p>
      <w:pPr>
        <w:pStyle w:val="Heading2"/>
      </w:pPr>
      <w:r>
        <w:t>Backing</w:t>
      </w:r>
    </w:p>
    <w:p>
      <w:r>
        <w:t>EligibleBacking = MIN(EconomicBacking, LegalBacking, LiquidBacking, SettlementAvailableBacking). Attestation alone does not establish legal control, availability or insolvency protection. Track value, legal ownership/control, liquidity, settlement availability, encumbrance, freeze status, reuse prohibition, evidence expiry and source reliability.</w:t>
      </w:r>
    </w:p>
    <w:p>
      <w:pPr>
        <w:pStyle w:val="Heading2"/>
      </w:pPr>
      <w:r>
        <w:t>Coverage and assets</w:t>
      </w:r>
    </w:p>
    <w:p>
      <w:r>
        <w:t>Do not treat 130% as a universal legal or prudential rule. Any buffer is a candidate parameter requiring risk rationale, asset-liability model, jurisdictional analysis, liquidity analysis and governance approval. Separate strategic resilience reserves from settlement liquidity and direct-matched obligations. Pilot A has no MTQ and no real backing assets. Any later MTQ evaluation should initially exclude gold and digital assets unless a separately approved case establishes suitability. USDT or other external instruments are not approved backing merely because technically accessible.</w:t>
      </w:r>
    </w:p>
    <w:p>
      <w:pPr>
        <w:pStyle w:val="Heading2"/>
      </w:pPr>
      <w:r>
        <w:t>Finality</w:t>
      </w:r>
    </w:p>
    <w:p>
      <w:r>
        <w:t>Technical finality is not legal finality. Model event states and evidence. Claim atomicity only within a common legally supported finality domain or enforceable coordinated arrangement. Elsewhere use finality coordination and explicit risk states; do not claim that MITHQAL eliminates Herstatt risk.</w:t>
      </w:r>
    </w:p>
    <w:p>
      <w:pPr>
        <w:pStyle w:val="Heading1"/>
      </w:pPr>
      <w:r>
        <w:t>7. Corporate and governance structure</w:t>
      </w:r>
    </w:p>
    <w:p>
      <w:pPr>
        <w:pStyle w:val="Heading2"/>
      </w:pPr>
      <w:r>
        <w:t>Target, not fact</w:t>
      </w:r>
    </w:p>
    <w:p>
      <w:r>
        <w:t>A five-entity arrangement may be a target: Founder Shareholders; Holding Company; Operating Company; Technology Company; Foundation/governance entity. Do not claim an entity is formed, independent, nonprofit, owns IP or holds reserved powers until corporate records and qualified counsel verify it. Minimum viable structure may differ.</w:t>
      </w:r>
    </w:p>
    <w:p>
      <w:pPr>
        <w:pStyle w:val="Heading2"/>
      </w:pPr>
      <w:r>
        <w:t>Accountable counterparty</w:t>
      </w:r>
    </w:p>
    <w:p>
      <w:r>
        <w:t>A future institutional contract may use one accountable contracting entity with clear scope, liability, support, data responsibilities, subcontractors, escalation, termination and continuity. Whether the Operating Company is authorized and suitable is a legal/corporate decision, not an assumption.</w:t>
      </w:r>
    </w:p>
    <w:p>
      <w:pPr>
        <w:pStyle w:val="Heading2"/>
      </w:pPr>
      <w:r>
        <w:t>Role separation</w:t>
      </w:r>
    </w:p>
    <w:p>
      <w:r>
        <w:t>Separate software operations from any financial obligation, custody, reserve management or regulated activity. MITHQAL should not custody participant assets by default and should not act as guarantor unless an expressly reviewed legal structure changes the design. Distinguish MITHQAL from issuer, obligor, bank, custodian, rail and regulated intermediary.</w:t>
      </w:r>
    </w:p>
    <w:p>
      <w:pPr>
        <w:pStyle w:val="Heading2"/>
      </w:pPr>
      <w:r>
        <w:t>Reserved principles</w:t>
      </w:r>
    </w:p>
    <w:p>
      <w:r>
        <w:t>Candidate protections: no discretionary minting; no issuance without supported obligor; no double-counted backing; PAR does not imply redemption; no sanctions circumvention; no override of truth-state discipline; no unapproved custody; production authorization only after required gates; and defined redemption before any live MTQ obligation. Voting thresholds and legal enforceability require counsel and governance documents.</w:t>
      </w:r>
    </w:p>
    <w:p>
      <w:pPr>
        <w:pStyle w:val="Heading2"/>
      </w:pPr>
      <w:r>
        <w:t>Conflict handling</w:t>
      </w:r>
    </w:p>
    <w:p>
      <w:r>
        <w:t>Maintain entity/ownership register, control graph, signatory matrix, IP record, contract register, intercompany agreement register, liability matrix and conflict log. Conflicts mark CONTRADICTORY and block dependent actions until authorized resolution.</w:t>
      </w:r>
    </w:p>
    <w:p>
      <w:pPr>
        <w:pStyle w:val="Heading1"/>
      </w:pPr>
      <w:r>
        <w:t>8. Functional architecture</w:t>
      </w:r>
    </w:p>
    <w:p>
      <w:pPr>
        <w:pStyle w:val="Heading2"/>
      </w:pPr>
      <w:r>
        <w:t>Intake</w:t>
      </w:r>
    </w:p>
    <w:p>
      <w:r>
        <w:t>Receive synthetic or authorized instructions. Validate schema, source identity, idempotency key, timestamp, currency/amount formats, required fields and data authorization. Reject malformed or unauthorized inputs with stable reason codes.</w:t>
      </w:r>
    </w:p>
    <w:p>
      <w:pPr>
        <w:pStyle w:val="Heading2"/>
      </w:pPr>
      <w:r>
        <w:t>Identity and eligibility</w:t>
      </w:r>
    </w:p>
    <w:p>
      <w:r>
        <w:t>Check institution status, corridor eligibility, permitted activity, data permissions and current policy. Pilot A uses test identities only. Production identity claims require external evidence and approved onboarding.</w:t>
      </w:r>
    </w:p>
    <w:p>
      <w:pPr>
        <w:pStyle w:val="Heading2"/>
      </w:pPr>
      <w:r>
        <w:t>Policy and routing</w:t>
      </w:r>
    </w:p>
    <w:p>
      <w:r>
        <w:t>Use deterministic, versioned rules initially. Explain every allowed, denied or proposed route with reason codes and input references. A route proposal is not a payment instruction or guarantee of availability.</w:t>
      </w:r>
    </w:p>
    <w:p>
      <w:pPr>
        <w:pStyle w:val="Heading2"/>
      </w:pPr>
      <w:r>
        <w:t>Evidence fabric</w:t>
      </w:r>
    </w:p>
    <w:p>
      <w:r>
        <w:t>Record evidence references, source, type, scope, timestamp, trust state, expiry, integrity hash where appropriate, policy version, actor and limitations. Use append-only or immutable records where appropriate; corrections become linked events rather than silent edits.</w:t>
      </w:r>
    </w:p>
    <w:p>
      <w:pPr>
        <w:pStyle w:val="Heading2"/>
      </w:pPr>
      <w:r>
        <w:t>State model</w:t>
      </w:r>
    </w:p>
    <w:p>
      <w:r>
        <w:t>Example states: RECEIVED, VALIDATED, REJECTED, ROUTE_PROPOSED, PROVIDER_REPORTED, MITHQAL_OBSERVED, RECONCILIATION_PENDING, EXCEPTION, SAFE_HALTED, RECOVERED and CLOSED. Do not label SETTLED or LEGALLY_FINAL unless defined evidence and legal-domain conditions support the precise claim.</w:t>
      </w:r>
    </w:p>
    <w:p>
      <w:pPr>
        <w:pStyle w:val="Heading2"/>
      </w:pPr>
      <w:r>
        <w:t>Reconciliation</w:t>
      </w:r>
    </w:p>
    <w:p>
      <w:r>
        <w:t>Match records using defined keys and classes. Set tolerances by reconciliation class, not one universal tolerance. Report mismatch, duplicate, missing record, stale evidence, amount/currency discrepancy and timing discrepancy separately. Never silently normalize a material mismatch.</w:t>
      </w:r>
    </w:p>
    <w:p>
      <w:pPr>
        <w:pStyle w:val="Heading2"/>
      </w:pPr>
      <w:r>
        <w:t>Exception handling</w:t>
      </w:r>
    </w:p>
    <w:p>
      <w:r>
        <w:t>Each exception has stable code, owner, severity, required evidence, clock, allowed transitions, escalation and closure reason. Closed cases retain the history and evidence that justified closure.</w:t>
      </w:r>
    </w:p>
    <w:p>
      <w:pPr>
        <w:pStyle w:val="Heading2"/>
      </w:pPr>
      <w:r>
        <w:t>Replay/export</w:t>
      </w:r>
    </w:p>
    <w:p>
      <w:r>
        <w:t>Replay recorded inputs under the same policy/version and verify reproducibility. Policy changes produce a comparison; history is not overwritten. Export scoped evidence with classification, provenance, assumptions and limitations.</w:t>
      </w:r>
    </w:p>
    <w:p>
      <w:pPr>
        <w:pStyle w:val="Heading2"/>
      </w:pPr>
      <w:r>
        <w:t>Safe halt/recovery</w:t>
      </w:r>
    </w:p>
    <w:p>
      <w:r>
        <w:t>Stop deterministically on policy contradiction, corrupted state, unauthorized action, provider uncertainty, evidence expiry, reconciliation mismatch or privilege compromise. Recovery requires checks, actor identity, reason, new evidence and traceable transition.</w:t>
      </w:r>
    </w:p>
    <w:p>
      <w:pPr>
        <w:pStyle w:val="Heading2"/>
      </w:pPr>
      <w:r>
        <w:t>AI/ML</w:t>
      </w:r>
    </w:p>
    <w:p>
      <w:r>
        <w:t>No AI/ML is required for Pilot A. Later models may recommend routes or detect patterns only within approved policy. They cannot override legal rules, permissions, segregation, finality or governance and cannot authorize MTQ. Any later model needs versioning, evaluation, explainability, drift monitoring, reproducibility and rollback.</w:t>
      </w:r>
    </w:p>
    <w:p>
      <w:pPr>
        <w:pStyle w:val="Heading1"/>
      </w:pPr>
      <w:r>
        <w:t>9. Runtime and data architecture</w:t>
      </w:r>
    </w:p>
    <w:p>
      <w:pPr>
        <w:pStyle w:val="Heading2"/>
      </w:pPr>
      <w:r>
        <w:t>Pilot A topology</w:t>
      </w:r>
    </w:p>
    <w:p>
      <w:r>
        <w:t>Use one authoritative database and one controlled write path. PostgreSQL through Neon is a proposed choice if available and suitable; this is not a claim that any existing deployment is correctly configured. Defer Turso until a specific read-model, edge/local or resilience need is demonstrated.</w:t>
      </w:r>
    </w:p>
    <w:p>
      <w:pPr>
        <w:pStyle w:val="Heading2"/>
      </w:pPr>
      <w:r>
        <w:t>Second database rule</w:t>
      </w:r>
    </w:p>
    <w:p>
      <w:r>
        <w:t>If Turso or another secondary store is added, it is a derived projection, not a competing authoritative writer for financial/settlement state. Publish from the authoritative transaction using a transactional outbox or equivalent. Record event ID, aggregate/version, schema version, creation time, projection status and retry count. Consumers are idempotent and replayable.</w:t>
      </w:r>
    </w:p>
    <w:p>
      <w:pPr>
        <w:pStyle w:val="Heading2"/>
      </w:pPr>
      <w:r>
        <w:t>Background jobs</w:t>
      </w:r>
    </w:p>
    <w:p>
      <w:r>
        <w:t>Use Inngest or another job system only where asynchronous retries, scheduling or long-running tasks are required. Define idempotency, retry policy, maximum attempts, failed-event/dead-letter handling, replay authorization and operator visibility. Job success is not proof of an external financial event.</w:t>
      </w:r>
    </w:p>
    <w:p>
      <w:pPr>
        <w:pStyle w:val="Heading2"/>
      </w:pPr>
      <w:r>
        <w:t>Application runtime</w:t>
      </w:r>
    </w:p>
    <w:p>
      <w:r>
        <w:t>Vercel or another host is a delivery mechanism, not the system of record. Validate environment configuration, preview/production isolation, access control, secret handling, build provenance, rollback and observability. Deployment success does not imply legal or production authorization.</w:t>
      </w:r>
    </w:p>
    <w:p>
      <w:pPr>
        <w:pStyle w:val="Heading2"/>
      </w:pPr>
      <w:r>
        <w:t>Git/release governance</w:t>
      </w:r>
    </w:p>
    <w:p>
      <w:r>
        <w:t>Version source, migrations, schemas, policies, fixtures and docs. Require reviewed changes, automated checks, release manifest, migration plan, rollback plan and evidence of the tested commit. Never store secrets in source, frontend bundles, docs, logs or commits.</w:t>
      </w:r>
    </w:p>
    <w:p>
      <w:pPr>
        <w:pStyle w:val="Heading2"/>
      </w:pPr>
      <w:r>
        <w:t>Consistency</w:t>
      </w:r>
    </w:p>
    <w:p>
      <w:r>
        <w:t>One authoritative writer per state domain; explicit table/event ownership; stable IDs; idempotent commands; transaction boundaries; concurrency control; versioned schemas; provenance; replay safety; no silent dual writes; tested backup/restore; and documented degraded-mode behavior.</w:t>
      </w:r>
    </w:p>
    <w:p>
      <w:pPr>
        <w:pStyle w:val="Heading2"/>
      </w:pPr>
      <w:r>
        <w:t>Provider harmony</w:t>
      </w:r>
    </w:p>
    <w:p>
      <w:r>
        <w:t>Credentials alone do not prove integration. Require separate evidence for configuration, authentication, deployment, schema/migrations, workflow execution, end-to-end tests, failure/retry, recovery and cost/limit review. Missing credentials are BLOCKED or UNVERIFIABLE, never inferred as success.</w:t>
      </w:r>
    </w:p>
    <w:p>
      <w:pPr>
        <w:pStyle w:val="Heading2"/>
      </w:pPr>
      <w:r>
        <w:t>Cost firewall</w:t>
      </w:r>
    </w:p>
    <w:p>
      <w:r>
        <w:t>Keep the demonstrator within an owner-approved cost ceiling. Free tiers may be limited or change. No paid service, billing commitment, production resource or vendor contract without explicit owner approval. Track usage, quotas, alerts and shutdown steps.</w:t>
      </w:r>
    </w:p>
    <w:p>
      <w:pPr>
        <w:pStyle w:val="Heading1"/>
      </w:pPr>
      <w:r>
        <w:t>10. Security, privacy and resilience</w:t>
      </w:r>
    </w:p>
    <w:p>
      <w:pPr>
        <w:pStyle w:val="Heading2"/>
      </w:pPr>
      <w:r>
        <w:t>Security baseline</w:t>
      </w:r>
    </w:p>
    <w:p>
      <w:r>
        <w:t>Least privilege; separated dev/test/prod; secure secret storage; MFA for administrators; restricted service identities; audit logs; dependency/static analysis; protected branches; protected backups; and incident response. Treat exposed credentials as compromised and rotate them. Never place secrets in this blueprint.</w:t>
      </w:r>
    </w:p>
    <w:p>
      <w:pPr>
        <w:pStyle w:val="Heading2"/>
      </w:pPr>
      <w:r>
        <w:t>Threat model</w:t>
      </w:r>
    </w:p>
    <w:p>
      <w:r>
        <w:t>Cover unauthorized access, account takeover, privilege escalation, secret leakage, replay/duplicate attacks, event tampering, provider outage, corruption, insider threat, supply-chain compromise, denial of service, ransomware, backup compromise, privacy leakage and operator error.</w:t>
      </w:r>
    </w:p>
    <w:p>
      <w:pPr>
        <w:pStyle w:val="Heading2"/>
      </w:pPr>
      <w:r>
        <w:t>Data governance</w:t>
      </w:r>
    </w:p>
    <w:p>
      <w:r>
        <w:t>Classify public/internal/confidential/restricted/regulated data. Define purpose, minimization, retention, access, export, correction, deletion, residency, subprocessors and incident notification. Use synthetic data by default; no sensitive customer/payment data without authorization and controls.</w:t>
      </w:r>
    </w:p>
    <w:p>
      <w:pPr>
        <w:pStyle w:val="Heading2"/>
      </w:pPr>
      <w:r>
        <w:t>Resilience</w:t>
      </w:r>
    </w:p>
    <w:p>
      <w:r>
        <w:t>Document dependencies, failure modes, recovery objectives, backups, restore, account/key succession, incident escalation, communication, continuity and wind-down. Test recovery and record scope, result, failure and remediation.</w:t>
      </w:r>
    </w:p>
    <w:p>
      <w:pPr>
        <w:pStyle w:val="Heading2"/>
      </w:pPr>
      <w:r>
        <w:t>Independent assurance</w:t>
      </w:r>
    </w:p>
    <w:p>
      <w:r>
        <w:t>Before real-value or regulated activity, commission scoped independent security/control review: application testing, infrastructure/configuration, access control, dependency risks, incident response, recovery and relevant integrations. Self-assessment is not independent assurance.</w:t>
      </w:r>
    </w:p>
    <w:p>
      <w:pPr>
        <w:pStyle w:val="Heading1"/>
      </w:pPr>
      <w:r>
        <w:t>11. Legal, regulatory, accounting and jurisdiction</w:t>
      </w:r>
    </w:p>
    <w:p>
      <w:pPr>
        <w:pStyle w:val="Heading2"/>
      </w:pPr>
      <w:r>
        <w:t>Control-plane perimeter</w:t>
      </w:r>
    </w:p>
    <w:p>
      <w:r>
        <w:t>Qualified counsel must assess actual activities, contracting entity, data flows, payment instructions, routing role, outsourcing, agency/arranging, payment services, financial promotion, custody, data protection and relevant jurisdictional rules. Calling the product software does not resolve its regulatory perimeter.</w:t>
      </w:r>
    </w:p>
    <w:p>
      <w:pPr>
        <w:pStyle w:val="Heading2"/>
      </w:pPr>
      <w:r>
        <w:t>MTQ perimeter</w:t>
      </w:r>
    </w:p>
    <w:p>
      <w:r>
        <w:t>Separate legal analysis is required for classification, issuer/obligor, holder rights, transferability, redemption, insolvency, custody, backing, safeguarding/segregation, capital/liquidity, accounting, tax, sanctions/AML, scope, marketing and licensing/notification.</w:t>
      </w:r>
    </w:p>
    <w:p>
      <w:pPr>
        <w:pStyle w:val="Heading2"/>
      </w:pPr>
      <w:r>
        <w:t>Jurisdiction states</w:t>
      </w:r>
    </w:p>
    <w:p>
      <w:r>
        <w:t>Each jurisdiction must be UNKNOWN, RESEARCHED, COUNSEL_REVIEW_PENDING, COUNSEL_REVIEWED, REGULATOR_ENGAGED, AUTHORIZED_FOR_DEFINED_SCOPE, RESTRICTED or PROHIBITED, with source, date, activity scope and review trigger. Public research and AI analysis are triage only.</w:t>
      </w:r>
    </w:p>
    <w:p>
      <w:pPr>
        <w:pStyle w:val="Heading2"/>
      </w:pPr>
      <w:r>
        <w:t>Financial crime</w:t>
      </w:r>
    </w:p>
    <w:p>
      <w:r>
        <w:t>Compliance orchestration captures evidence and executes approved policies; it does not guarantee compliance. Define source data, screening responsibility, escalation, false-positive handling, audit evidence, update frequency and responsibility allocation. No bypass of mandatory restrictions.</w:t>
      </w:r>
    </w:p>
    <w:p>
      <w:pPr>
        <w:pStyle w:val="Heading2"/>
      </w:pPr>
      <w:r>
        <w:t>Accounting/prudential/tax</w:t>
      </w:r>
    </w:p>
    <w:p>
      <w:r>
        <w:t>Qualified analysis must cover software revenue, agency/outsourcing, MTQ asset/liability, holder position, backing recognition, redemption obligation, liquidity, capital/RWA, tax, valuation and financial statements. No accounting label or reserve ratio is authoritative without relevant review.</w:t>
      </w:r>
    </w:p>
    <w:p>
      <w:pPr>
        <w:pStyle w:val="Heading2"/>
      </w:pPr>
      <w:r>
        <w:t>Sharia where relevant</w:t>
      </w:r>
    </w:p>
    <w:p>
      <w:r>
        <w:t>Where customers/corridors require Sharia governance, obtain qualified independent review of actual product, contracts, fees, assets and practices. Do not claim certification before it exists.</w:t>
      </w:r>
    </w:p>
    <w:p>
      <w:pPr>
        <w:pStyle w:val="Heading1"/>
      </w:pPr>
      <w:r>
        <w:t>12. Pricing and go-to-market</w:t>
      </w:r>
    </w:p>
    <w:p>
      <w:pPr>
        <w:pStyle w:val="Heading2"/>
      </w:pPr>
      <w:r>
        <w:t>Possible revenue</w:t>
      </w:r>
    </w:p>
    <w:p>
      <w:r>
        <w:t>Platform access; evidence/exception workflow; implementation/integration; reporting/export; support/SLA; corridor diagnostic; controlled sandbox/simulation. These are hypotheses requiring buyer and procurement validation.</w:t>
      </w:r>
    </w:p>
    <w:p>
      <w:pPr>
        <w:pStyle w:val="Heading2"/>
      </w:pPr>
      <w:r>
        <w:t>Pricing rules</w:t>
      </w:r>
    </w:p>
    <w:p>
      <w:r>
        <w:t>Separate MITHQAL fees from bank/provider charges and FX economics. State basis and scope. Avoid savings-share pricing before baseline and method are agreed. Counsel reviews fees where they touch regulated activity.</w:t>
      </w:r>
    </w:p>
    <w:p>
      <w:pPr>
        <w:pStyle w:val="Heading2"/>
      </w:pPr>
      <w:r>
        <w:t>Go-to-market</w:t>
      </w:r>
    </w:p>
    <w:p>
      <w:r>
        <w:t>Begin with discovery and one use case. Identify buyer, operational champion, budget owner, security/compliance reviewers, procurement path and decision criteria. Use a no-value demo and measured business case. A sandbox is one possible route, not a substitute for demand or legal analysis.</w:t>
      </w:r>
    </w:p>
    <w:p>
      <w:pPr>
        <w:pStyle w:val="Heading2"/>
      </w:pPr>
      <w:r>
        <w:t>Partnerships</w:t>
      </w:r>
    </w:p>
    <w:p>
      <w:r>
        <w:t>Potential partners include payment providers, treasury/core banking vendors, reconciliation platforms, screening/identity providers and existing networks. Build adapters only when a real use case, documented interface and authorization justify them.</w:t>
      </w:r>
    </w:p>
    <w:p>
      <w:pPr>
        <w:pStyle w:val="Heading2"/>
      </w:pPr>
      <w:r>
        <w:t>Competitive analysis</w:t>
      </w:r>
    </w:p>
    <w:p>
      <w:r>
        <w:t>For each alternative record target buyer, use case, rails, integration model, evidence/audit capability, implementation burden, security, pricing evidence, geography, limitations and source date. Separate fact from interpretation.</w:t>
      </w:r>
    </w:p>
    <w:p>
      <w:pPr>
        <w:pStyle w:val="Heading1"/>
      </w:pPr>
      <w:r>
        <w:t>13. Financing and operating plan</w:t>
      </w:r>
    </w:p>
    <w:p>
      <w:pPr>
        <w:pStyle w:val="Heading2"/>
      </w:pPr>
      <w:r>
        <w:t>Funding discipline</w:t>
      </w:r>
    </w:p>
    <w:p>
      <w:r>
        <w:t>Do not select a financing ask from an old headline figure. Build a bottom-up 18-month plan for team, legal/accounting, product, infrastructure, security assurance, integrations, governance, insurance, discovery, contingency and wind-down. Separate immediate needs from future conditional costs.</w:t>
      </w:r>
    </w:p>
    <w:p>
      <w:pPr>
        <w:pStyle w:val="Heading2"/>
      </w:pPr>
      <w:r>
        <w:t>Evidence-linked tranches</w:t>
      </w:r>
    </w:p>
    <w:p>
      <w:r>
        <w:t>Tranche 1: validate buyer problem and scope. Tranche 2: reproducible demonstrator and tests. Tranche 3: independent technical challenge and legal-perimeter work. Tranche 4: credible design-partner path and pilot economics. Later tranches require separate approval for controlled pilot and regulated activity.</w:t>
      </w:r>
    </w:p>
    <w:p>
      <w:pPr>
        <w:pStyle w:val="Heading2"/>
      </w:pPr>
      <w:r>
        <w:t>Team</w:t>
      </w:r>
    </w:p>
    <w:p>
      <w:r>
        <w:t>Name accountable owners for product, software architecture, security, payments operations, legal/regulatory, accounting/prudential, data governance and commercial discovery. Do not claim capability is staffed until a named person/provider accepts the role and scope.</w:t>
      </w:r>
    </w:p>
    <w:p>
      <w:pPr>
        <w:pStyle w:val="Heading2"/>
      </w:pPr>
      <w:r>
        <w:t>Data room</w:t>
      </w:r>
    </w:p>
    <w:p>
      <w:r>
        <w:t>Approved blueprint and release hash; entity/IP records; scope; architecture/data flows; reproducible demo; test results; threat model; data governance; competitive analysis; buyer-discovery record; baseline/ROI method; legal issue map; budget; milestone plan; risk register; open issues and truth-state register.</w:t>
      </w:r>
    </w:p>
    <w:p>
      <w:pPr>
        <w:pStyle w:val="Heading2"/>
      </w:pPr>
      <w:r>
        <w:t>Investor claims</w:t>
      </w:r>
    </w:p>
    <w:p>
      <w:r>
        <w:t>No claims of uniqueness, bankability, guaranteed savings, regulatory approval, legal finality, production readiness or adoption probabilities without evidence. Explain problem, hypothesis, proof completed, open risks and next evidence milestone.</w:t>
      </w:r>
    </w:p>
    <w:p>
      <w:pPr>
        <w:pStyle w:val="Heading1"/>
      </w:pPr>
      <w:r>
        <w:t>14. Risk register and stop/pivot rules</w:t>
      </w:r>
    </w:p>
    <w:p>
      <w:pPr>
        <w:pStyle w:val="Heading2"/>
      </w:pPr>
      <w:r>
        <w:t>No buyer urgency</w:t>
      </w:r>
    </w:p>
    <w:p>
      <w:r>
        <w:t>If interviews do not reveal a repeated budget-relevant workflow, narrow to one exception class, change buyer or stop the current wedge.</w:t>
      </w:r>
    </w:p>
    <w:p>
      <w:pPr>
        <w:pStyle w:val="Heading2"/>
      </w:pPr>
      <w:r>
        <w:t>No data access</w:t>
      </w:r>
    </w:p>
    <w:p>
      <w:r>
        <w:t>If authorized/anonymized or representative data is unavailable, use synthetic data for software validation but do not claim buyer ROI; seek another validation path.</w:t>
      </w:r>
    </w:p>
    <w:p>
      <w:pPr>
        <w:pStyle w:val="Heading2"/>
      </w:pPr>
      <w:r>
        <w:t>Alternatives are good enough</w:t>
      </w:r>
    </w:p>
    <w:p>
      <w:r>
        <w:t>If a current provider/internal system solves the problem at lower total cost/risk, integrate or partner if justified, reposition or stop competing in that area.</w:t>
      </w:r>
    </w:p>
    <w:p>
      <w:pPr>
        <w:pStyle w:val="Heading2"/>
      </w:pPr>
      <w:r>
        <w:t>Legal perimeter disproportionate</w:t>
      </w:r>
    </w:p>
    <w:p>
      <w:r>
        <w:t>If activity requires licensing, capital, liability or supervision inconsistent with the model, narrow functionality, consider an appropriately authorized partner where lawful, or stop. A partner does not automatically remove all obligations.</w:t>
      </w:r>
    </w:p>
    <w:p>
      <w:pPr>
        <w:pStyle w:val="Heading2"/>
      </w:pPr>
      <w:r>
        <w:t>MTQ adds no value</w:t>
      </w:r>
    </w:p>
    <w:p>
      <w:r>
        <w:t>If recognized assets solve the problem or MTQ's burden exceeds its incremental benefit, keep MTQ disabled indefinitely. That is not failure of the control plane.</w:t>
      </w:r>
    </w:p>
    <w:p>
      <w:pPr>
        <w:pStyle w:val="Heading2"/>
      </w:pPr>
      <w:r>
        <w:t>Complexity outpaces proof</w:t>
      </w:r>
    </w:p>
    <w:p>
      <w:r>
        <w:t>If components are added without demonstrated need or coherent state cannot be tested, simplify and prioritize reproducibility.</w:t>
      </w:r>
    </w:p>
    <w:p>
      <w:pPr>
        <w:pStyle w:val="Heading2"/>
      </w:pPr>
      <w:r>
        <w:t>Financing gap</w:t>
      </w:r>
    </w:p>
    <w:p>
      <w:r>
        <w:t>If runway cannot reach the next evidence milestone within budget, reduce scope, stop new features, preserve artifacts and decide continue/pivot/stop.</w:t>
      </w:r>
    </w:p>
    <w:p>
      <w:pPr>
        <w:pStyle w:val="Heading2"/>
      </w:pPr>
      <w:r>
        <w:t>Gate discipline</w:t>
      </w:r>
    </w:p>
    <w:p>
      <w:r>
        <w:t>Every milestone needs entry and acceptance criteria, evidence links, owner, open risks, cost incurred, cost to next milestone and a signed decision. Never pass a gate because of effort or sunk cost.</w:t>
      </w:r>
    </w:p>
    <w:p>
      <w:pPr>
        <w:pStyle w:val="Heading1"/>
      </w:pPr>
      <w:r>
        <w:t>15. AI developer implementation contract</w:t>
      </w:r>
    </w:p>
    <w:p>
      <w:pPr>
        <w:pStyle w:val="Heading2"/>
      </w:pPr>
      <w:r>
        <w:t>Mandate</w:t>
      </w:r>
    </w:p>
    <w:p>
      <w:r>
        <w:t>Implement only approved scope. Do not infer legal facts, invent providers/contracts, claim integrations without runtime evidence, add live payment functions, enable MTQ, create paid resources, expose secrets or change authority without approved change request.</w:t>
      </w:r>
    </w:p>
    <w:p>
      <w:pPr>
        <w:pStyle w:val="Heading2"/>
      </w:pPr>
      <w:r>
        <w:t>Traceability</w:t>
      </w:r>
    </w:p>
    <w:p>
      <w:r>
        <w:t>Assign stable IDs to every requirement. Link each to design, code, schema/config, tests, evidence, acceptance criteria, owner, status and rollback. Missing links block completion claims.</w:t>
      </w:r>
    </w:p>
    <w:p>
      <w:pPr>
        <w:pStyle w:val="Heading2"/>
      </w:pPr>
      <w:r>
        <w:t>Change control</w:t>
      </w:r>
    </w:p>
    <w:p>
      <w:r>
        <w:t>Change request → rationale/impact → security/legal/commercial review where relevant → owner approval → versioned implementation → tests → evidence → release manifest → rollback. Preserve historical decisions.</w:t>
      </w:r>
    </w:p>
    <w:p>
      <w:pPr>
        <w:pStyle w:val="Heading2"/>
      </w:pPr>
      <w:r>
        <w:t>Acceptance</w:t>
      </w:r>
    </w:p>
    <w:p>
      <w:r>
        <w:t>Accept only when defined tests pass, evidence is attached, limitations are recorded and owner accepts. Built, configured, deployed, tested, externally reviewed and authorized are different states.</w:t>
      </w:r>
    </w:p>
    <w:p>
      <w:pPr>
        <w:pStyle w:val="Heading2"/>
      </w:pPr>
      <w:r>
        <w:t>Required artifacts</w:t>
      </w:r>
    </w:p>
    <w:p>
      <w:r>
        <w:t>README/status; requirement register; architecture diagram; data dictionary; interface contracts; policy registry; event/state model; threat model; test plan/results; scenario fixtures; evidence schema; cost plan; risk register; legal issue map; competitive evidence register; demo runbook; release manifest; rollback/recovery runbook.</w:t>
      </w:r>
    </w:p>
    <w:p>
      <w:pPr>
        <w:pStyle w:val="Heading2"/>
      </w:pPr>
      <w:r>
        <w:t>No automatic phase transition</w:t>
      </w:r>
    </w:p>
    <w:p>
      <w:r>
        <w:t>Completion of this blueprint does not authorize Pilot B, bank integration, live settlement, MTQ, paid services or production deployment. Each requires a new explicit decision and evidence review.</w:t>
      </w:r>
    </w:p>
    <w:p>
      <w:pPr>
        <w:pStyle w:val="Heading1"/>
      </w:pPr>
      <w:r>
        <w:t>16. HTML/CSS/JavaScript demonstrator specification</w:t>
      </w:r>
    </w:p>
    <w:p>
      <w:pPr>
        <w:pStyle w:val="Heading2"/>
      </w:pPr>
      <w:r>
        <w:t>Purpose</w:t>
      </w:r>
    </w:p>
    <w:p>
      <w:r>
        <w:t>The accompanying static HTML/CSS/JavaScript is a no-value demonstration interface for the Evidence and Exception Control Workbench. It is not a production financial application and is not connected to a bank, rail, database, MTQ issuer or custodian. All records are synthetic.</w:t>
      </w:r>
    </w:p>
    <w:p>
      <w:pPr>
        <w:pStyle w:val="Heading2"/>
      </w:pPr>
      <w:r>
        <w:t>Screens</w:t>
      </w:r>
    </w:p>
    <w:p>
      <w:r>
        <w:t>Overview; instruction/event timeline; evidence passport; exception queue; reconciliation; scenario replay; policy/version viewer; truth states; safe-halt control and recovery checklist; export summary. Every view labels demo data and distinguishes observed, reported, tested, assumed and unknown states.</w:t>
      </w:r>
    </w:p>
    <w:p>
      <w:pPr>
        <w:pStyle w:val="Heading2"/>
      </w:pPr>
      <w:r>
        <w:t>Accessibility</w:t>
      </w:r>
    </w:p>
    <w:p>
      <w:r>
        <w:t>Responsive layout, semantic HTML, keyboard navigation, visible focus, sufficient contrast, no status communicated by color alone, clear errors, no misleading green settled state, and functional local demo controls.</w:t>
      </w:r>
    </w:p>
    <w:p>
      <w:pPr>
        <w:pStyle w:val="Heading2"/>
      </w:pPr>
      <w:r>
        <w:t>Security boundary</w:t>
      </w:r>
    </w:p>
    <w:p>
      <w:r>
        <w:t>No credentials, private keys, connection strings or production API calls in the frontend. Do not store real customer/payment data in local storage. Demo state is in browser memory and resets on refresh.</w:t>
      </w:r>
    </w:p>
    <w:p>
      <w:pPr>
        <w:pStyle w:val="Heading1"/>
      </w:pPr>
      <w:r>
        <w:t>17. Final canonical statement</w:t>
      </w:r>
    </w:p>
    <w:p>
      <w:pPr>
        <w:pStyle w:val="Heading2"/>
      </w:pPr>
      <w:r>
        <w:t>Canonical statement</w:t>
      </w:r>
    </w:p>
    <w:p>
      <w:r>
        <w:t>MITHQAL is a proposed institutional settlement evidence, exception-control and orchestration workbench designed to coordinate and explain payment-related events across existing providers and systems. It begins with a reproducible, no-value, MTQ-disabled demonstrator. MTQ is an optional, permissioned, closed-loop institutional settlement module that remains disabled unless a specific incremental use case, legal structure, obligor, holder rights, redemption mechanism, backing/custody controls, accounting/prudential treatment, counterparties and required approvals are externally supported. MITHQAL does not replace sovereign currencies, set monetary policy, itself establish legal finality, or require customers to adopt MTQ to receive control-plane value.</w:t>
      </w:r>
    </w:p>
    <w:p>
      <w:pPr>
        <w:pStyle w:val="Heading2"/>
      </w:pPr>
      <w:r>
        <w:t>Next milestone</w:t>
      </w:r>
    </w:p>
    <w:p>
      <w:r>
        <w:t>Validate one buyer problem, produce one reproducible MTQ-disabled demonstration, measure the workflow against a documented baseline where authorized data exists, obtain independent challenge, and prepare an evidence-based financing and legal-perimeter pack. No bank implementation is implied or authorized.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MITHQAL / MTQ · Design-stage baseline · Production authorized: FALSE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A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