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946B2D"/>
          <w:sz w:val="32"/>
        </w:rPr>
        <w:t>MITHQAL</w:t>
      </w:r>
    </w:p>
    <w:p>
      <w:pPr>
        <w:pStyle w:val="Title"/>
        <w:jc w:val="center"/>
      </w:pPr>
      <w:r>
        <w:t>Prompts 1–77</w:t>
      </w:r>
    </w:p>
    <w:p>
      <w:pPr>
        <w:jc w:val="center"/>
      </w:pPr>
      <w:r>
        <w:rPr>
          <w:b/>
          <w:color w:val="102E4A"/>
          <w:sz w:val="34"/>
        </w:rPr>
        <w:t>Recovered &amp; Reconstructed Working Edition</w:t>
      </w:r>
    </w:p>
    <w:p>
      <w:pPr>
        <w:jc w:val="center"/>
      </w:pPr>
      <w:r>
        <w:rPr>
          <w:color w:val="56606C"/>
          <w:sz w:val="20"/>
        </w:rPr>
        <w:t>Institutional settlement control plane • Controlled remediation • Evidence-led institutionalization</w:t>
      </w:r>
    </w:p>
    <w:p/>
    <w:tbl>
      <w:tblPr>
        <w:tblW w:type="auto" w:w="0"/>
        <w:tblLayout w:type="autofit"/>
        <w:tblLook w:firstColumn="1" w:firstRow="1" w:lastColumn="0" w:lastRow="0" w:noHBand="0" w:noVBand="1" w:val="04A0"/>
      </w:tblPr>
      <w:tblGrid>
        <w:gridCol w:w="9878"/>
      </w:tblGrid>
      <w:tr>
        <w:tc>
          <w:tcPr>
            <w:tcW w:type="dxa" w:w="9878"/>
            <w:shd w:fill="F3EBDD"/>
          </w:tcPr>
          <w:p>
            <w:r>
              <w:rPr>
                <w:b/>
                <w:color w:val="714C18"/>
                <w:sz w:val="22"/>
              </w:rPr>
              <w:t>RECOVERY STATUS: RECONSTRUCTED — NOT VERBATIM</w:t>
            </w:r>
          </w:p>
        </w:tc>
      </w:tr>
    </w:tbl>
    <w:p>
      <w:pPr/>
      <w:r>
        <w:t>This edition is the best-effort recovery of the 77-prompt sequence using the retained conversation context, project summaries and accessible file library. The original exact wording for most prompts was not present in the available archive. No reconstructed wording is represented as a verbatim original.</w:t>
      </w:r>
    </w:p>
    <w:p>
      <w:pPr>
        <w:pStyle w:val="SourceNote"/>
      </w:pPr>
      <w:r>
        <w:t>Prepared: 10 October 2026</w:t>
      </w:r>
    </w:p>
    <w:p>
      <w:r>
        <w:br w:type="page"/>
      </w:r>
    </w:p>
    <w:p>
      <w:pPr>
        <w:pStyle w:val="Heading1"/>
      </w:pPr>
      <w:r>
        <w:t>Recovery note and limitations</w:t>
      </w:r>
    </w:p>
    <w:p>
      <w:r>
        <w:t>I searched accessible current-conversation files and the persistent file library for the exact institutional Prompt 1–77 archive, including queries around Prompts 62–69, Prompt 76 forensic recovery and Prompt 77 credential quarantine. The available files included the MITHQAL v25.3.1 blueprint, three pasted audit/reconciliation files, an unrelated MITHQAL website-page prompt pack and other project files. No complete verbatim Prompt 1–77 transcript was found.</w:t>
      </w:r>
    </w:p>
    <w:p>
      <w:r>
        <w:t>The wording below is therefore a copy-ready reconstruction grounded in the retained sequence and scope summaries. The status note under each heading indicates the quality of recovery. Prompts 1–65 follow the retained titles/scopes closely; Prompts 66–75 are more inferential because only sequence hints and checkpoint references survived; Prompts 76–77 are reconstructed from their reported outcomes/descriptions. Before treating this as the historical source of truth, compare it with any developer-platform prompt archive that can still be exported.</w:t>
      </w:r>
    </w:p>
    <w:p>
      <w:r>
        <w:t>Security note: a separate file in the accessible library contained credential values for other projects. It has been excluded from this document. Any credentials previously pasted into chats or stored in plaintext should be treated as compromised and revoked/rotated if they may still be active. No secret values are reproduced here.</w:t>
      </w:r>
    </w:p>
    <w:p>
      <w:pPr>
        <w:pStyle w:val="Heading2"/>
      </w:pPr>
      <w:r>
        <w:t>How to use this document</w:t>
      </w:r>
    </w:p>
    <w:p>
      <w:r>
        <w:t>Each prompt is written as a standalone instruction. Copy the specific prompt into the AI platform developer and attach the relevant source documents or evidence. The shared execution guardrails are included at the end of every prompt. Do not send all prompts at once if the developer environment cannot preserve ordering and evidence; execute in sequence, verify the result, and maintain a gate ledger.</w:t>
      </w:r>
    </w:p>
    <w:p>
      <w:pPr>
        <w:pStyle w:val="Heading1"/>
      </w:pPr>
      <w:r>
        <w:t>Prompt index</w:t>
      </w:r>
    </w:p>
    <w:p>
      <w:pPr>
        <w:spacing w:after="40"/>
      </w:pPr>
      <w:r>
        <w:rPr>
          <w:b/>
          <w:color w:val="102E4A"/>
        </w:rPr>
        <w:t>01. Create Controlled Remediation Release v25.3.2</w:t>
      </w:r>
    </w:p>
    <w:p>
      <w:pPr>
        <w:spacing w:after="40"/>
      </w:pPr>
      <w:r>
        <w:rPr>
          <w:b/>
          <w:color w:val="102E4A"/>
        </w:rPr>
        <w:t>02. Establish One Canonical Authority Model</w:t>
      </w:r>
    </w:p>
    <w:p>
      <w:pPr>
        <w:spacing w:after="40"/>
      </w:pPr>
      <w:r>
        <w:rPr>
          <w:b/>
          <w:color w:val="102E4A"/>
        </w:rPr>
        <w:t>03. Resolve BM-15 / BM-16 Workflow Identity</w:t>
      </w:r>
    </w:p>
    <w:p>
      <w:pPr>
        <w:spacing w:after="40"/>
      </w:pPr>
      <w:r>
        <w:rPr>
          <w:b/>
          <w:color w:val="102E4A"/>
        </w:rPr>
        <w:t>04. Decouple the MITHQAL Control Plane from MTQ</w:t>
      </w:r>
    </w:p>
    <w:p>
      <w:pPr>
        <w:spacing w:after="40"/>
      </w:pPr>
      <w:r>
        <w:rPr>
          <w:b/>
          <w:color w:val="102E4A"/>
        </w:rPr>
        <w:t>05. Normalize MTQ Economic and Legal Definition</w:t>
      </w:r>
    </w:p>
    <w:p>
      <w:pPr>
        <w:spacing w:after="40"/>
      </w:pPr>
      <w:r>
        <w:rPr>
          <w:b/>
          <w:color w:val="102E4A"/>
        </w:rPr>
        <w:t>06. Replace Universal 130% Reserve Language with Direct Backing plus Risk Buffer</w:t>
      </w:r>
    </w:p>
    <w:p>
      <w:pPr>
        <w:spacing w:after="40"/>
      </w:pPr>
      <w:r>
        <w:rPr>
          <w:b/>
          <w:color w:val="102E4A"/>
        </w:rPr>
        <w:t>07. Separate Settlement Liquidity from Strategic Resilience Reserve</w:t>
      </w:r>
    </w:p>
    <w:p>
      <w:pPr>
        <w:spacing w:after="40"/>
      </w:pPr>
      <w:r>
        <w:rPr>
          <w:b/>
          <w:color w:val="102E4A"/>
        </w:rPr>
        <w:t>08. Remove Gold and Digital Assets from Pilot 1</w:t>
      </w:r>
    </w:p>
    <w:p>
      <w:pPr>
        <w:spacing w:after="40"/>
      </w:pPr>
      <w:r>
        <w:rPr>
          <w:b/>
          <w:color w:val="102E4A"/>
        </w:rPr>
        <w:t>09. Define One Bank-Facing Contracting Counterparty with Internal Separation</w:t>
      </w:r>
    </w:p>
    <w:p>
      <w:pPr>
        <w:spacing w:after="40"/>
      </w:pPr>
      <w:r>
        <w:rPr>
          <w:b/>
          <w:color w:val="102E4A"/>
        </w:rPr>
        <w:t>10. Model Three Trust Domains Explicitly</w:t>
      </w:r>
    </w:p>
    <w:p>
      <w:pPr>
        <w:spacing w:after="40"/>
      </w:pPr>
      <w:r>
        <w:rPr>
          <w:b/>
          <w:color w:val="102E4A"/>
        </w:rPr>
        <w:t>11. Canonical F0–F7 Finality State Machine</w:t>
      </w:r>
    </w:p>
    <w:p>
      <w:pPr>
        <w:spacing w:after="40"/>
      </w:pPr>
      <w:r>
        <w:rPr>
          <w:b/>
          <w:color w:val="102E4A"/>
        </w:rPr>
        <w:t>12. Build the Institutional Evidence Fabric</w:t>
      </w:r>
    </w:p>
    <w:p>
      <w:pPr>
        <w:spacing w:after="40"/>
      </w:pPr>
      <w:r>
        <w:rPr>
          <w:b/>
          <w:color w:val="102E4A"/>
        </w:rPr>
        <w:t>13. Create the Institutional Settlement Obligation Registry</w:t>
      </w:r>
    </w:p>
    <w:p>
      <w:pPr>
        <w:spacing w:after="40"/>
      </w:pPr>
      <w:r>
        <w:rPr>
          <w:b/>
          <w:color w:val="102E4A"/>
        </w:rPr>
        <w:t>14. Reconciliation by Tolerance Class</w:t>
      </w:r>
    </w:p>
    <w:p>
      <w:pPr>
        <w:spacing w:after="40"/>
      </w:pPr>
      <w:r>
        <w:rPr>
          <w:b/>
          <w:color w:val="102E4A"/>
        </w:rPr>
        <w:t>15. Operationalize the Corridor Pain Index</w:t>
      </w:r>
    </w:p>
    <w:p>
      <w:pPr>
        <w:spacing w:after="40"/>
      </w:pPr>
      <w:r>
        <w:rPr>
          <w:b/>
          <w:color w:val="102E4A"/>
        </w:rPr>
        <w:t>16. Separate Pilot A Control-Plane Mode from Pilot B MTQ Mode</w:t>
      </w:r>
    </w:p>
    <w:p>
      <w:pPr>
        <w:spacing w:after="40"/>
      </w:pPr>
      <w:r>
        <w:rPr>
          <w:b/>
          <w:color w:val="102E4A"/>
        </w:rPr>
        <w:t>17. Create a Bank ROI Engine</w:t>
      </w:r>
    </w:p>
    <w:p>
      <w:pPr>
        <w:spacing w:after="40"/>
      </w:pPr>
      <w:r>
        <w:rPr>
          <w:b/>
          <w:color w:val="102E4A"/>
        </w:rPr>
        <w:t>18. Create an Institutional Pilot Evidence Gate Framework</w:t>
      </w:r>
    </w:p>
    <w:p>
      <w:pPr>
        <w:spacing w:after="40"/>
      </w:pPr>
      <w:r>
        <w:rPr>
          <w:b/>
          <w:color w:val="102E4A"/>
        </w:rPr>
        <w:t>19. Package Bank-Facing Documentation</w:t>
      </w:r>
    </w:p>
    <w:p>
      <w:pPr>
        <w:spacing w:after="40"/>
      </w:pPr>
      <w:r>
        <w:rPr>
          <w:b/>
          <w:color w:val="102E4A"/>
        </w:rPr>
        <w:t>20. Build a Regulatory Replay Engine</w:t>
      </w:r>
    </w:p>
    <w:p>
      <w:pPr>
        <w:spacing w:after="40"/>
      </w:pPr>
      <w:r>
        <w:rPr>
          <w:b/>
          <w:color w:val="102E4A"/>
        </w:rPr>
        <w:t>21. Create the Settlement Continuity Fabric</w:t>
      </w:r>
    </w:p>
    <w:p>
      <w:pPr>
        <w:spacing w:after="40"/>
      </w:pPr>
      <w:r>
        <w:rPr>
          <w:b/>
          <w:color w:val="102E4A"/>
        </w:rPr>
        <w:t>22. Run the Final Architecture Contradiction Sweep</w:t>
      </w:r>
    </w:p>
    <w:p>
      <w:pPr>
        <w:spacing w:after="40"/>
      </w:pPr>
      <w:r>
        <w:rPr>
          <w:b/>
          <w:color w:val="102E4A"/>
        </w:rPr>
        <w:t>23. Run Adversarial Invariant and Failure Tests</w:t>
      </w:r>
    </w:p>
    <w:p>
      <w:pPr>
        <w:spacing w:after="40"/>
      </w:pPr>
      <w:r>
        <w:rPr>
          <w:b/>
          <w:color w:val="102E4A"/>
        </w:rPr>
        <w:t>24. Freeze Architecture and Enforce Change Control</w:t>
      </w:r>
    </w:p>
    <w:p>
      <w:pPr>
        <w:spacing w:after="40"/>
      </w:pPr>
      <w:r>
        <w:rPr>
          <w:b/>
          <w:color w:val="102E4A"/>
        </w:rPr>
        <w:t>25. Accounting, Prudential and Tax Truth</w:t>
      </w:r>
    </w:p>
    <w:p>
      <w:pPr>
        <w:spacing w:after="40"/>
      </w:pPr>
      <w:r>
        <w:rPr>
          <w:b/>
          <w:color w:val="102E4A"/>
        </w:rPr>
        <w:t>26. Protected Backing and Emergency Capacity Enforceability</w:t>
      </w:r>
    </w:p>
    <w:p>
      <w:pPr>
        <w:spacing w:after="40"/>
      </w:pPr>
      <w:r>
        <w:rPr>
          <w:b/>
          <w:color w:val="102E4A"/>
        </w:rPr>
        <w:t>27. Failure, Default and Resolution Legal Conditionality</w:t>
      </w:r>
    </w:p>
    <w:p>
      <w:pPr>
        <w:spacing w:after="40"/>
      </w:pPr>
      <w:r>
        <w:rPr>
          <w:b/>
          <w:color w:val="102E4A"/>
        </w:rPr>
        <w:t>28. Bank Master Agreement, SLA and Liability Package</w:t>
      </w:r>
    </w:p>
    <w:p>
      <w:pPr>
        <w:spacing w:after="40"/>
      </w:pPr>
      <w:r>
        <w:rPr>
          <w:b/>
          <w:color w:val="102E4A"/>
        </w:rPr>
        <w:t>29. Institutional External Identity and Contact Transition</w:t>
      </w:r>
    </w:p>
    <w:p>
      <w:pPr>
        <w:spacing w:after="40"/>
      </w:pPr>
      <w:r>
        <w:rPr>
          <w:b/>
          <w:color w:val="102E4A"/>
        </w:rPr>
        <w:t>30. Enterprise Risk Register</w:t>
      </w:r>
    </w:p>
    <w:p>
      <w:pPr>
        <w:spacing w:after="40"/>
      </w:pPr>
      <w:r>
        <w:rPr>
          <w:b/>
          <w:color w:val="102E4A"/>
        </w:rPr>
        <w:t>31. Insurance and Risk Transfer Assessment</w:t>
      </w:r>
    </w:p>
    <w:p>
      <w:pPr>
        <w:spacing w:after="40"/>
      </w:pPr>
      <w:r>
        <w:rPr>
          <w:b/>
          <w:color w:val="102E4A"/>
        </w:rPr>
        <w:t>32. Data Governance and Evidence Governance</w:t>
      </w:r>
    </w:p>
    <w:p>
      <w:pPr>
        <w:spacing w:after="40"/>
      </w:pPr>
      <w:r>
        <w:rPr>
          <w:b/>
          <w:color w:val="102E4A"/>
        </w:rPr>
        <w:t>33. Dispute and Exception Management</w:t>
      </w:r>
    </w:p>
    <w:p>
      <w:pPr>
        <w:spacing w:after="40"/>
      </w:pPr>
      <w:r>
        <w:rPr>
          <w:b/>
          <w:color w:val="102E4A"/>
        </w:rPr>
        <w:t>34. Competitive and Incumbent Compatibility</w:t>
      </w:r>
    </w:p>
    <w:p>
      <w:pPr>
        <w:spacing w:after="40"/>
      </w:pPr>
      <w:r>
        <w:rPr>
          <w:b/>
          <w:color w:val="102E4A"/>
        </w:rPr>
        <w:t>35. Pricing and Commercial Model</w:t>
      </w:r>
    </w:p>
    <w:p>
      <w:pPr>
        <w:spacing w:after="40"/>
      </w:pPr>
      <w:r>
        <w:rPr>
          <w:b/>
          <w:color w:val="102E4A"/>
        </w:rPr>
        <w:t>36. Go-to-Market, Design Partner and Regulatory Engagement</w:t>
      </w:r>
    </w:p>
    <w:p>
      <w:pPr>
        <w:spacing w:after="40"/>
      </w:pPr>
      <w:r>
        <w:rPr>
          <w:b/>
          <w:color w:val="102E4A"/>
        </w:rPr>
        <w:t>37. Team, Funding and Evidence-Gated Operating Plan</w:t>
      </w:r>
    </w:p>
    <w:p>
      <w:pPr>
        <w:spacing w:after="40"/>
      </w:pPr>
      <w:r>
        <w:rPr>
          <w:b/>
          <w:color w:val="102E4A"/>
        </w:rPr>
        <w:t>38. Bank Onboarding and MITHQAL Academy</w:t>
      </w:r>
    </w:p>
    <w:p>
      <w:pPr>
        <w:spacing w:after="40"/>
      </w:pPr>
      <w:r>
        <w:rPr>
          <w:b/>
          <w:color w:val="102E4A"/>
        </w:rPr>
        <w:t>39. Final Adversarial, Quantitative and Document-Control Sweep</w:t>
      </w:r>
    </w:p>
    <w:p>
      <w:pPr>
        <w:spacing w:after="40"/>
      </w:pPr>
      <w:r>
        <w:rPr>
          <w:b/>
          <w:color w:val="102E4A"/>
        </w:rPr>
        <w:t>40. Sharia and AAOIFI Governance Boundary</w:t>
      </w:r>
    </w:p>
    <w:p>
      <w:pPr>
        <w:spacing w:after="40"/>
      </w:pPr>
      <w:r>
        <w:rPr>
          <w:b/>
          <w:color w:val="102E4A"/>
        </w:rPr>
        <w:t>41. Jurisdiction Truth Model and CNY/CNH Treatment</w:t>
      </w:r>
    </w:p>
    <w:p>
      <w:pPr>
        <w:spacing w:after="40"/>
      </w:pPr>
      <w:r>
        <w:rPr>
          <w:b/>
          <w:color w:val="102E4A"/>
        </w:rPr>
        <w:t>42. Technical Evidence Semantics: HTTP 200 Is Not Validation</w:t>
      </w:r>
    </w:p>
    <w:p>
      <w:pPr>
        <w:spacing w:after="40"/>
      </w:pPr>
      <w:r>
        <w:rPr>
          <w:b/>
          <w:color w:val="102E4A"/>
        </w:rPr>
        <w:t>43. MTQ Redemption and Value Consistency</w:t>
      </w:r>
    </w:p>
    <w:p>
      <w:pPr>
        <w:spacing w:after="40"/>
      </w:pPr>
      <w:r>
        <w:rPr>
          <w:b/>
          <w:color w:val="102E4A"/>
        </w:rPr>
        <w:t>44. Bank Economic Incentive Model</w:t>
      </w:r>
    </w:p>
    <w:p>
      <w:pPr>
        <w:spacing w:after="40"/>
      </w:pPr>
      <w:r>
        <w:rPr>
          <w:b/>
          <w:color w:val="102E4A"/>
        </w:rPr>
        <w:t>45. External Claim and Market-Evidence Register</w:t>
      </w:r>
    </w:p>
    <w:p>
      <w:pPr>
        <w:spacing w:after="40"/>
      </w:pPr>
      <w:r>
        <w:rPr>
          <w:b/>
          <w:color w:val="102E4A"/>
        </w:rPr>
        <w:t>46. Pilot Outcome and Moat Validation Engine</w:t>
      </w:r>
    </w:p>
    <w:p>
      <w:pPr>
        <w:spacing w:after="40"/>
      </w:pPr>
      <w:r>
        <w:rPr>
          <w:b/>
          <w:color w:val="102E4A"/>
        </w:rPr>
        <w:t>47. Canonical Document Packaging and Structural Normalization</w:t>
      </w:r>
    </w:p>
    <w:p>
      <w:pPr>
        <w:spacing w:after="40"/>
      </w:pPr>
      <w:r>
        <w:rPr>
          <w:b/>
          <w:color w:val="102E4A"/>
        </w:rPr>
        <w:t>48. Implementation Closure Audit Against Prompts 1–47</w:t>
      </w:r>
    </w:p>
    <w:p>
      <w:pPr>
        <w:spacing w:after="40"/>
      </w:pPr>
      <w:r>
        <w:rPr>
          <w:b/>
          <w:color w:val="102E4A"/>
        </w:rPr>
        <w:t>49. Establish v25.3.2 Controlled Baseline and Release Manifest</w:t>
      </w:r>
    </w:p>
    <w:p>
      <w:pPr>
        <w:spacing w:after="40"/>
      </w:pPr>
      <w:r>
        <w:rPr>
          <w:b/>
          <w:color w:val="102E4A"/>
        </w:rPr>
        <w:t>50. Build the Institutionalization Control Tower</w:t>
      </w:r>
    </w:p>
    <w:p>
      <w:pPr>
        <w:spacing w:after="40"/>
      </w:pPr>
      <w:r>
        <w:rPr>
          <w:b/>
          <w:color w:val="102E4A"/>
        </w:rPr>
        <w:t>51. Authority and Trust Truth Model</w:t>
      </w:r>
    </w:p>
    <w:p>
      <w:pPr>
        <w:spacing w:after="40"/>
      </w:pPr>
      <w:r>
        <w:rPr>
          <w:b/>
          <w:color w:val="102E4A"/>
        </w:rPr>
        <w:t>52. Demonstrate Pilot A with MTQ Disabled</w:t>
      </w:r>
    </w:p>
    <w:p>
      <w:pPr>
        <w:spacing w:after="40"/>
      </w:pPr>
      <w:r>
        <w:rPr>
          <w:b/>
          <w:color w:val="102E4A"/>
        </w:rPr>
        <w:t>53. Define MTQ Extension Gates for Pilot B</w:t>
      </w:r>
    </w:p>
    <w:p>
      <w:pPr>
        <w:spacing w:after="40"/>
      </w:pPr>
      <w:r>
        <w:rPr>
          <w:b/>
          <w:color w:val="102E4A"/>
        </w:rPr>
        <w:t>54. Bank Value Proof and Measurement Engine</w:t>
      </w:r>
    </w:p>
    <w:p>
      <w:pPr>
        <w:spacing w:after="40"/>
      </w:pPr>
      <w:r>
        <w:rPr>
          <w:b/>
          <w:color w:val="102E4A"/>
        </w:rPr>
        <w:t>55. Operationalize Corridor Pain Index in the Product</w:t>
      </w:r>
    </w:p>
    <w:p>
      <w:pPr>
        <w:spacing w:after="40"/>
      </w:pPr>
      <w:r>
        <w:rPr>
          <w:b/>
          <w:color w:val="102E4A"/>
        </w:rPr>
        <w:t>56. Produce the Bank Engagement Pack</w:t>
      </w:r>
    </w:p>
    <w:p>
      <w:pPr>
        <w:spacing w:after="40"/>
      </w:pPr>
      <w:r>
        <w:rPr>
          <w:b/>
          <w:color w:val="102E4A"/>
        </w:rPr>
        <w:t>57. Govern Runtime Stack Governance: GitHub, Vercel, Inngest, Turso and Neon</w:t>
      </w:r>
    </w:p>
    <w:p>
      <w:pPr>
        <w:spacing w:after="40"/>
      </w:pPr>
      <w:r>
        <w:rPr>
          <w:b/>
          <w:color w:val="102E4A"/>
        </w:rPr>
        <w:t>58. Institutional Critical Path and Gate Order</w:t>
      </w:r>
    </w:p>
    <w:p>
      <w:pPr>
        <w:spacing w:after="40"/>
      </w:pPr>
      <w:r>
        <w:rPr>
          <w:b/>
          <w:color w:val="102E4A"/>
        </w:rPr>
        <w:t>59. Create the v25.3.2 Evidence Dossier for Prompts 1–58</w:t>
      </w:r>
    </w:p>
    <w:p>
      <w:pPr>
        <w:spacing w:after="40"/>
      </w:pPr>
      <w:r>
        <w:rPr>
          <w:b/>
          <w:color w:val="102E4A"/>
        </w:rPr>
        <w:t>60. Build the Reproducible Institutional Demonstration Environment</w:t>
      </w:r>
    </w:p>
    <w:p>
      <w:pPr>
        <w:spacing w:after="40"/>
      </w:pPr>
      <w:r>
        <w:rPr>
          <w:b/>
          <w:color w:val="102E4A"/>
        </w:rPr>
        <w:t>61. Generate the First Bank Institutional Evaluation Pack</w:t>
      </w:r>
    </w:p>
    <w:p>
      <w:pPr>
        <w:spacing w:after="40"/>
      </w:pPr>
      <w:r>
        <w:rPr>
          <w:b/>
          <w:color w:val="102E4A"/>
        </w:rPr>
        <w:t>62. G0 Institutional Entry Gate: Corporate and Contractual Integrity</w:t>
      </w:r>
    </w:p>
    <w:p>
      <w:pPr>
        <w:spacing w:after="40"/>
      </w:pPr>
      <w:r>
        <w:rPr>
          <w:b/>
          <w:color w:val="102E4A"/>
        </w:rPr>
        <w:t>63. G1 Pilot-Jurisdiction Legal Pack</w:t>
      </w:r>
    </w:p>
    <w:p>
      <w:pPr>
        <w:spacing w:after="40"/>
      </w:pPr>
      <w:r>
        <w:rPr>
          <w:b/>
          <w:color w:val="102E4A"/>
        </w:rPr>
        <w:t>64. Choose the First Corridor with Evidence, Not Intuition</w:t>
      </w:r>
    </w:p>
    <w:p>
      <w:pPr>
        <w:spacing w:after="40"/>
      </w:pPr>
      <w:r>
        <w:rPr>
          <w:b/>
          <w:color w:val="102E4A"/>
        </w:rPr>
        <w:t>65. Create the Design-Partner Bank Pipeline</w:t>
      </w:r>
    </w:p>
    <w:p>
      <w:pPr>
        <w:spacing w:after="40"/>
      </w:pPr>
      <w:r>
        <w:rPr>
          <w:b/>
          <w:color w:val="102E4A"/>
        </w:rPr>
        <w:t>66. Prepare the External Legal Counsel Briefing</w:t>
      </w:r>
    </w:p>
    <w:p>
      <w:pPr>
        <w:spacing w:after="40"/>
      </w:pPr>
      <w:r>
        <w:rPr>
          <w:b/>
          <w:color w:val="102E4A"/>
        </w:rPr>
        <w:t>67. Prepare the Bank Executive Evaluation Package</w:t>
      </w:r>
    </w:p>
    <w:p>
      <w:pPr>
        <w:spacing w:after="40"/>
      </w:pPr>
      <w:r>
        <w:rPr>
          <w:b/>
          <w:color w:val="102E4A"/>
        </w:rPr>
        <w:t>68. Run a Technical Bank Workshop</w:t>
      </w:r>
    </w:p>
    <w:p>
      <w:pPr>
        <w:spacing w:after="40"/>
      </w:pPr>
      <w:r>
        <w:rPr>
          <w:b/>
          <w:color w:val="102E4A"/>
        </w:rPr>
        <w:t>69. Draft a Controlled Pilot Term Sheet</w:t>
      </w:r>
    </w:p>
    <w:p>
      <w:pPr>
        <w:spacing w:after="40"/>
      </w:pPr>
      <w:r>
        <w:rPr>
          <w:b/>
          <w:color w:val="102E4A"/>
        </w:rPr>
        <w:t>70. Define Independent Assurance Scope</w:t>
      </w:r>
    </w:p>
    <w:p>
      <w:pPr>
        <w:spacing w:after="40"/>
      </w:pPr>
      <w:r>
        <w:rPr>
          <w:b/>
          <w:color w:val="102E4A"/>
        </w:rPr>
        <w:t>71. Execute Pilot A as a Controlled Demonstration</w:t>
      </w:r>
    </w:p>
    <w:p>
      <w:pPr>
        <w:spacing w:after="40"/>
      </w:pPr>
      <w:r>
        <w:rPr>
          <w:b/>
          <w:color w:val="102E4A"/>
        </w:rPr>
        <w:t>72. Measure Pilot Outcomes and Decide the Next Gate</w:t>
      </w:r>
    </w:p>
    <w:p>
      <w:pPr>
        <w:spacing w:after="40"/>
      </w:pPr>
      <w:r>
        <w:rPr>
          <w:b/>
          <w:color w:val="102E4A"/>
        </w:rPr>
        <w:t>73. Reconcile G0 Evidence and Institutional Readiness</w:t>
      </w:r>
    </w:p>
    <w:p>
      <w:pPr>
        <w:spacing w:after="40"/>
      </w:pPr>
      <w:r>
        <w:rPr>
          <w:b/>
          <w:color w:val="102E4A"/>
        </w:rPr>
        <w:t>74. Reconcile External Evidence, Secrets and Provider Readiness</w:t>
      </w:r>
    </w:p>
    <w:p>
      <w:pPr>
        <w:spacing w:after="40"/>
      </w:pPr>
      <w:r>
        <w:rPr>
          <w:b/>
          <w:color w:val="102E4A"/>
        </w:rPr>
        <w:t>75. Issue the Pre-Forensic Readiness and Continuity Checkpoint</w:t>
      </w:r>
    </w:p>
    <w:p>
      <w:pPr>
        <w:spacing w:after="40"/>
      </w:pPr>
      <w:r>
        <w:rPr>
          <w:b/>
          <w:color w:val="102E4A"/>
        </w:rPr>
        <w:t>76. Forensic Recovery and Integration Certification</w:t>
      </w:r>
    </w:p>
    <w:p>
      <w:pPr>
        <w:spacing w:after="40"/>
      </w:pPr>
      <w:r>
        <w:rPr>
          <w:b/>
          <w:color w:val="102E4A"/>
        </w:rPr>
        <w:t>77. Credential Quarantine, Prompt Recovery and Provider Restoration</w:t>
      </w:r>
    </w:p>
    <w:p>
      <w:r>
        <w:br w:type="page"/>
      </w:r>
    </w:p>
    <w:p>
      <w:pPr>
        <w:pStyle w:val="Heading1"/>
      </w:pPr>
      <w:r>
        <w:t>PROMPT 01 — Create Controlled Remediation Release v25.3.2</w:t>
      </w:r>
    </w:p>
    <w:p>
      <w:pPr>
        <w:pStyle w:val="SourceNote"/>
      </w:pPr>
      <w:r>
        <w:rPr>
          <w:b/>
        </w:rPr>
        <w:t xml:space="preserve">Recovery status: </w:t>
      </w:r>
      <w:r>
        <w:t>Reconstructed from the retained sequence summary</w:t>
      </w:r>
    </w:p>
    <w:p>
      <w:pPr>
        <w:pStyle w:val="Heading2"/>
      </w:pPr>
      <w:r>
        <w:t>Copy-ready developer prompt</w:t>
      </w:r>
    </w:p>
    <w:p>
      <w:r>
        <w:t>Act as MITHQAL’s COO, CTO, chief risk officer and release manager. Inspect the existing repository and v25.3.1 blueprint before changing anything. Establish a controlled remediation release called v25.3.2. This is a stabilization and institutional-evidence release, not a feature expansion. Preserve the original release, history and audit trails; do not silently overwrite historical material. Identify current canonical files, stale copies, conflicting specifications, code/config mismatches and tests that actually run. Build a remediation register with severity, owner, dependency, required evidence and release gate. Implement only changes that are supported by the repository and approved architecture. Add a contradiction scanner and tests, but state precisely which paths and file types it scans; never claim repository-wide coverage if it only examines a subset. Keep production authorization false until external gates are independently evidenced.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02 — Establish One Canonical Authority Model</w:t>
      </w:r>
    </w:p>
    <w:p>
      <w:pPr>
        <w:pStyle w:val="SourceNote"/>
      </w:pPr>
      <w:r>
        <w:rPr>
          <w:b/>
        </w:rPr>
        <w:t xml:space="preserve">Recovery status: </w:t>
      </w:r>
      <w:r>
        <w:t>Reconstructed from the retained sequence summary</w:t>
      </w:r>
    </w:p>
    <w:p>
      <w:pPr>
        <w:pStyle w:val="Heading2"/>
      </w:pPr>
      <w:r>
        <w:t>Copy-ready developer prompt</w:t>
      </w:r>
    </w:p>
    <w:p>
      <w:r>
        <w:t>Create a single explicit authority and precedence model for specifications, policies, runtime configuration, code, external agreements and historical documents. Separate normative authority from evidence of what is actually deployed. Define how conflicts are detected, who can resolve them, what approval is required, and how the decision is recorded. Use the controlled v25.3.2 release as the current design baseline only after validating its identity and approval status. No historical section, code comment, simulation or example may silently override a controlling invariant. Where legal agreements, signed instruments or runtime behavior conflict with the blueprint, report the conflict and preserve both records pending an authorized decision. Implement version, effective date, approver, hash, provenance and rollback metadata in the policy registry. Add tests proving stale material cannot become active policy simply because it appears later in a file or code path.</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03 — Resolve BM-15 / BM-16 Workflow Identity</w:t>
      </w:r>
    </w:p>
    <w:p>
      <w:pPr>
        <w:pStyle w:val="SourceNote"/>
      </w:pPr>
      <w:r>
        <w:rPr>
          <w:b/>
        </w:rPr>
        <w:t xml:space="preserve">Recovery status: </w:t>
      </w:r>
      <w:r>
        <w:t>Reconstructed from the retained sequence summary</w:t>
      </w:r>
    </w:p>
    <w:p>
      <w:pPr>
        <w:pStyle w:val="Heading2"/>
      </w:pPr>
      <w:r>
        <w:t>Copy-ready developer prompt</w:t>
      </w:r>
    </w:p>
    <w:p>
      <w:r>
        <w:t>Normalize the monetary workflow identifiers without changing business meaning by accident. Establish BM-15 as Monetary Authorization, BM-16A as Finality Verification, and BM-16B as Mint Execution. Search all code, schemas, workflows, diagrams, API contracts, policy files, documents, tests and generated outputs for the previous competing definitions. Produce a complete reference map and safe migration plan. Update canonical references and compatibility adapters only where evidence supports the mapping. Do not allow a call to mint merely because authorization was issued: the required finality verification, legal backing state, current policy version and all required controls must pass independently. Add regression tests for stale authorization, duplicate requests, incorrect ordering, missing obligor, missing backing and replay. Label any code or document not scanned as unverified.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04 — Decouple the MITHQAL Control Plane from MTQ</w:t>
      </w:r>
    </w:p>
    <w:p>
      <w:pPr>
        <w:pStyle w:val="SourceNote"/>
      </w:pPr>
      <w:r>
        <w:rPr>
          <w:b/>
        </w:rPr>
        <w:t xml:space="preserve">Recovery status: </w:t>
      </w:r>
      <w:r>
        <w:t>Reconstructed from the retained sequence summary</w:t>
      </w:r>
    </w:p>
    <w:p>
      <w:pPr>
        <w:pStyle w:val="Heading2"/>
      </w:pPr>
      <w:r>
        <w:t>Copy-ready developer prompt</w:t>
      </w:r>
    </w:p>
    <w:p>
      <w:r>
        <w:t>Refactor the product boundary so the MITHQAL institutional settlement control plane remains useful when MTQ is disabled. The control plane should orchestrate policy, routing, eligibility, liquidity checks, evidence, reconciliation, exceptions, failure handling and reporting across recognized settlement assets. MTQ must be an optional, permissioned module and never a prerequisite for the control-plane demonstration. Define clean interfaces, capability flags, feature isolation and explicit asset adapters. Demonstrate a complete Pilot A workflow with MTQ unavailable and confirm no hidden mint, redemption or token dependency is triggered. Keep MTQ-specific policy and ledgers separate from common orchestration state. Add architecture diagrams and automated tests for both MTQ-disabled and MTQ-enabled modes. Do not claim neutrality merely from an interface; demonstrate it with reproducible behavior and clear legal/operational boundaries.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05 — Normalize MTQ Economic and Legal Definition</w:t>
      </w:r>
    </w:p>
    <w:p>
      <w:pPr>
        <w:pStyle w:val="SourceNote"/>
      </w:pPr>
      <w:r>
        <w:rPr>
          <w:b/>
        </w:rPr>
        <w:t xml:space="preserve">Recovery status: </w:t>
      </w:r>
      <w:r>
        <w:t>Reconstructed from the retained sequence summary</w:t>
      </w:r>
    </w:p>
    <w:p>
      <w:pPr>
        <w:pStyle w:val="Heading2"/>
      </w:pPr>
      <w:r>
        <w:t>Copy-ready developer prompt</w:t>
      </w:r>
    </w:p>
    <w:p>
      <w:r>
        <w:t>Create one consistent canonical definition of MTQ as a proposed permissioned wholesale institutional settlement unit, subject to legal classification and authorization. Do not describe it as sovereign currency, a bank deposit, central-bank reserve, public stablecoin, bearer instrument or investment unless an authoritative legal opinion supports that description. Define the obligor, holder, redemption institution, eligible participant, transfer rules, backing cell and governing-law fields as mandatory data where applicable. Resolve the conflict between legacy “1:1 USD peg” language and the controlling principle that PAR is an accounting reference only and not a guaranteed redemption promise. Search every active and historical document and label superseded wording. Do not silently erase the historical record. Require legal, accounting, tax, prudential and regulatory validation before claims about liability, value, redemption or capital treatment are used externally.</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06 — Replace Universal 130% Reserve Language with Direct Backing plus Risk Buffer</w:t>
      </w:r>
    </w:p>
    <w:p>
      <w:pPr>
        <w:pStyle w:val="SourceNote"/>
      </w:pPr>
      <w:r>
        <w:rPr>
          <w:b/>
        </w:rPr>
        <w:t xml:space="preserve">Recovery status: </w:t>
      </w:r>
      <w:r>
        <w:t>Reconstructed from the retained sequence summary</w:t>
      </w:r>
    </w:p>
    <w:p>
      <w:pPr>
        <w:pStyle w:val="Heading2"/>
      </w:pPr>
      <w:r>
        <w:t>Copy-ready developer prompt</w:t>
      </w:r>
    </w:p>
    <w:p>
      <w:r>
        <w:t>Separate the minimum backing required for each outstanding obligation from any additional risk or resilience buffer. Define eligible backing as the minimum of economic backing, legally controlled backing, liquid backing and backing actually available for settlement. Do not apply a universal 130% reserve ratio as though it were a legal requirement or a proven capital rule. Preserve 130% only as a candidate strategic target if clearly labelled as a design assumption that requires evidence and approval. Explain separately whether any excess asset is collateral, liquidity, an encumbered asset, a reserve buffer or regulatory capital; do not equate them without analysis. Model stressed redemption, haircuts, settlement timing and legally unavailable assets. Add formulas and tests that identify under-backed states and prevent duplicate counting. All ratios remain design-time until external accounting/prudential review validates them.</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07 — Separate Settlement Liquidity from Strategic Resilience Reserve</w:t>
      </w:r>
    </w:p>
    <w:p>
      <w:pPr>
        <w:pStyle w:val="SourceNote"/>
      </w:pPr>
      <w:r>
        <w:rPr>
          <w:b/>
        </w:rPr>
        <w:t xml:space="preserve">Recovery status: </w:t>
      </w:r>
      <w:r>
        <w:t>Reconstructed from the retained sequence summary</w:t>
      </w:r>
    </w:p>
    <w:p>
      <w:pPr>
        <w:pStyle w:val="Heading2"/>
      </w:pPr>
      <w:r>
        <w:t>Copy-ready developer prompt</w:t>
      </w:r>
    </w:p>
    <w:p>
      <w:r>
        <w:t>Create distinct models, accounts and reporting for operational settlement liquidity and long-horizon strategic resilience reserves. Settlement liquidity must be available in the appropriate currency, jurisdiction, legal entity and time window to complete a due settlement or redemption. Strategic resilience assets serve continuity or stress purposes and may not be assumed liquid or legally available for routine settlement. Define eligibility, location, ownership, custody, encumbrance, haircut, transfer time, stress availability and replenishment rules for each category. Prevent the same asset from being counted simultaneously as backing, settlement liquidity, emergency capacity and strategic reserve unless explicitly permitted by validated accounting and legal rules. Add reconciliation, dashboards and adverse scenarios. Gold or other slow-to-monetize assets must not be represented as same-day cash without documented conversion arrangements and tested settlement access.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08 — Remove Gold and Digital Assets from Pilot 1</w:t>
      </w:r>
    </w:p>
    <w:p>
      <w:pPr>
        <w:pStyle w:val="SourceNote"/>
      </w:pPr>
      <w:r>
        <w:rPr>
          <w:b/>
        </w:rPr>
        <w:t xml:space="preserve">Recovery status: </w:t>
      </w:r>
      <w:r>
        <w:t>Reconstructed from the retained sequence summary</w:t>
      </w:r>
    </w:p>
    <w:p>
      <w:pPr>
        <w:pStyle w:val="Heading2"/>
      </w:pPr>
      <w:r>
        <w:t>Copy-ready developer prompt</w:t>
      </w:r>
    </w:p>
    <w:p>
      <w:r>
        <w:t>Scope the first controlled institutional pilot to the simplest legally recognized settlement asset path. Set gold and digital-asset reserve allocations to zero for Pilot 1 unless the relevant external legal, custody, valuation, liquidity, accounting and risk prerequisites have actually been satisfied and approved. Preserve future architecture hooks without making unsupported asset classes part of the initial proof. Ensure examples, diagrams, configuration, tests, collateral reports and marketing claims agree. Do not infer that an asset is suitable because it is technically integrable. Report exclusions as deliberate pilot controls, not a permanent rejection of future options. Test that a digital asset or bullion position cannot enter eligible backing through a default, fallback, stale configuration or manually edited record.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09 — Define One Bank-Facing Contracting Counterparty with Internal Separation</w:t>
      </w:r>
    </w:p>
    <w:p>
      <w:pPr>
        <w:pStyle w:val="SourceNote"/>
      </w:pPr>
      <w:r>
        <w:rPr>
          <w:b/>
        </w:rPr>
        <w:t xml:space="preserve">Recovery status: </w:t>
      </w:r>
      <w:r>
        <w:t>Reconstructed from the retained sequence summary</w:t>
      </w:r>
    </w:p>
    <w:p>
      <w:pPr>
        <w:pStyle w:val="Heading2"/>
      </w:pPr>
      <w:r>
        <w:t>Copy-ready developer prompt</w:t>
      </w:r>
    </w:p>
    <w:p>
      <w:r>
        <w:t>Create a target operating model with one clearly accountable bank-facing contracting counterparty while preserving legally and operationally necessary internal separation of foundation, holding, operating, technology, reserve-control or other entities. Do not invent legal names, incorporation details, ownership, authority, status or signed agreements. Reconcile every known executed instrument against the current entity diagram and identify contradictions as pending primary-document and legal verification. Produce a responsibility matrix for service delivery, MTQ obligation, redemption, reserve ownership, custody, data processing, IP, liability, indemnity, escalation and termination. Distinguish the intended target structure from the structure that exists today. No entity may be described as authorized to sign or bind another without documentary authority. Block institutional claims until the controlling executed documents and counsel review confirm the model.</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10 — Model Three Trust Domains Explicitly</w:t>
      </w:r>
    </w:p>
    <w:p>
      <w:pPr>
        <w:pStyle w:val="SourceNote"/>
      </w:pPr>
      <w:r>
        <w:rPr>
          <w:b/>
        </w:rPr>
        <w:t xml:space="preserve">Recovery status: </w:t>
      </w:r>
      <w:r>
        <w:t>Reconstructed from the retained sequence summary</w:t>
      </w:r>
    </w:p>
    <w:p>
      <w:pPr>
        <w:pStyle w:val="Heading2"/>
      </w:pPr>
      <w:r>
        <w:t>Copy-ready developer prompt</w:t>
      </w:r>
    </w:p>
    <w:p>
      <w:r>
        <w:t>Map MITHQAL into three explicit trust domains: institutional/legal authority, asset and settlement control, and technical execution/evidence. Preserve useful technical layers, but do not claim that multiple software services constitute independent institutional controls when they share credentials, operators, cloud accounts or the same administrative trust domain. For each domain record trust boundaries, identities, privileges, dependencies, failure modes and independent assurance evidence. Show which actor can authorize, execute, observe, alter, halt and recover each critical operation. Add controls for separation of duties, privileged access, emergency access, key compromise and audit-log integrity. Update diagrams and the threat model to reflect real deployment rather than intended design. Identify all independence claims that need third-party verification.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11 — Canonical F0–F7 Finality State Machine</w:t>
      </w:r>
    </w:p>
    <w:p>
      <w:pPr>
        <w:pStyle w:val="SourceNote"/>
      </w:pPr>
      <w:r>
        <w:rPr>
          <w:b/>
        </w:rPr>
        <w:t xml:space="preserve">Recovery status: </w:t>
      </w:r>
      <w:r>
        <w:t>Reconstructed from the retained sequence summary</w:t>
      </w:r>
    </w:p>
    <w:p>
      <w:pPr>
        <w:pStyle w:val="Heading2"/>
      </w:pPr>
      <w:r>
        <w:t>Copy-ready developer prompt</w:t>
      </w:r>
    </w:p>
    <w:p>
      <w:r>
        <w:t>Implement and document the canonical finality states: F0 instruction accepted; F1 bank funding final; F2 legally controlled backing confirmed; F3 MITHQAL authorization final; F4 MITHQAL ledger final; F5 receiving institution accepted; F6 external rail final; F7 legal settlement final. Define authoritative evidence for each transition, allowed actor, timeout, retry, reversal/compensation rule and fail-closed response. Technical acknowledgement, HTTP success, message delivery or an internal ledger commit must not be equated with legal settlement finality. Permit atomic settlement only within a legally recognized common finality domain or enforceable coordinated arrangement; otherwise implement finality-coordinated sequencing with explicit intermediate risk states. Add tests that block state skips, stale proofs, missing external confirmations and conflicting finality evidence.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12 — Build the Institutional Evidence Fabric</w:t>
      </w:r>
    </w:p>
    <w:p>
      <w:pPr>
        <w:pStyle w:val="SourceNote"/>
      </w:pPr>
      <w:r>
        <w:rPr>
          <w:b/>
        </w:rPr>
        <w:t xml:space="preserve">Recovery status: </w:t>
      </w:r>
      <w:r>
        <w:t>Reconstructed from the retained sequence summary</w:t>
      </w:r>
    </w:p>
    <w:p>
      <w:pPr>
        <w:pStyle w:val="Heading2"/>
      </w:pPr>
      <w:r>
        <w:t>Copy-ready developer prompt</w:t>
      </w:r>
    </w:p>
    <w:p>
      <w:r>
        <w:t>Create an evidence fabric that links every important design claim and operational decision to a source, timestamp, owner, version, validation state and reproducible test. Evidence objects should distinguish internal design, simulation, automated test, runtime observation, external-source evidence, executed contract, legal opinion, independent assurance and institutional approval. Define freshness, provenance, cryptographic integrity, retention, access and revocation rules. The system must show what is known, unknown, assumed, stale, failed or pending without converting unknowns into green status. Link evidence to the gate, control, corridor, entity, asset, policy version and release it supports. Produce an evidence dossier export and test that all production-critical claims with missing evidence stay blocked.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13 — Create the Institutional Settlement Obligation Registry</w:t>
      </w:r>
    </w:p>
    <w:p>
      <w:pPr>
        <w:pStyle w:val="SourceNote"/>
      </w:pPr>
      <w:r>
        <w:rPr>
          <w:b/>
        </w:rPr>
        <w:t xml:space="preserve">Recovery status: </w:t>
      </w:r>
      <w:r>
        <w:t>Reconstructed from the retained sequence summary</w:t>
      </w:r>
    </w:p>
    <w:p>
      <w:pPr>
        <w:pStyle w:val="Heading2"/>
      </w:pPr>
      <w:r>
        <w:t>Copy-ready developer prompt</w:t>
      </w:r>
    </w:p>
    <w:p>
      <w:r>
        <w:t>Design a canonical registry for each obligation and its lifecycle. Include stable identifiers for instruction, participant institutions, legal obligor, redemption institution, backing cell, currency, jurisdiction, legal-finality domain, policy version, acceptance/redemption/resolution status, source evidence and timestamps. Model the distinction between an economic claim, accounting position, legally owned asset and settlement position. Enforce “no obligor, no MTQ” and reject records with missing or conflicting legal responsibility. Make obligation state replayable and auditable. Prevent a record from appearing backed merely because a reserve attestation exists; legal control, segregation, perfection, availability and settlement liquidity must be checked as applicable. Add migration, retention and deletion rules that preserve legally required audit evidence.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14 — Reconciliation by Tolerance Class</w:t>
      </w:r>
    </w:p>
    <w:p>
      <w:pPr>
        <w:pStyle w:val="SourceNote"/>
      </w:pPr>
      <w:r>
        <w:rPr>
          <w:b/>
        </w:rPr>
        <w:t xml:space="preserve">Recovery status: </w:t>
      </w:r>
      <w:r>
        <w:t>Reconstructed from the retained sequence summary</w:t>
      </w:r>
    </w:p>
    <w:p>
      <w:pPr>
        <w:pStyle w:val="Heading2"/>
      </w:pPr>
      <w:r>
        <w:t>Copy-ready developer prompt</w:t>
      </w:r>
    </w:p>
    <w:p>
      <w:r>
        <w:t>Replace a universal reconciliation tolerance with policy-controlled tolerance classes tied to the nature, currency, unit, timing and legal materiality of the reconciled item. Define exact-match controls for identifiers and state transitions, amount tolerances for numerical records, timing windows for asynchronous rails, valuation tolerances for market-priced assets and hard-zero tolerance for double-counting or authorization bypass. Reconcile across the canonical ledger, bank MTQ subledger, participant position, reserve ledger, proof of liabilities and legal obligation register. Classify outcomes with explicit states such as VERIFIED, WARNING, MISMATCH, CRITICAL, EXPIRED, UNAVAILABLE and LOCKED. Do not let an average tolerance hide a critical single-record failure. Store thresholds as approved versioned policy and test boundary conditions.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15 — Operationalize the Corridor Pain Index</w:t>
      </w:r>
    </w:p>
    <w:p>
      <w:pPr>
        <w:pStyle w:val="SourceNote"/>
      </w:pPr>
      <w:r>
        <w:rPr>
          <w:b/>
        </w:rPr>
        <w:t xml:space="preserve">Recovery status: </w:t>
      </w:r>
      <w:r>
        <w:t>Reconstructed from the retained sequence summary</w:t>
      </w:r>
    </w:p>
    <w:p>
      <w:pPr>
        <w:pStyle w:val="Heading2"/>
      </w:pPr>
      <w:r>
        <w:t>Copy-ready developer prompt</w:t>
      </w:r>
    </w:p>
    <w:p>
      <w:r>
        <w:t>Turn the Corridor Pain Index into a measurable corridor-selection instrument. Define components such as observed cost, settlement time, cutoff friction, failure rate, FX transparency, liquidity burden, compliance effort, dispute frequency and data availability. For every input record whether it is MEASURED, EXTERNAL_SOURCE, ASSUMED or UNKNOWN, with date, source, sample size and confidence. Separate customer-reported pain from independently measured performance. Document weights and sensitivity rather than presenting a subjective score as objective truth. Compare three to five candidate corridors using common assumptions and expose missing data. Produce a decision memo that can conclude “insufficient evidence” instead of forcing a winner. Do not claim savings or superiority before a baseline and counterfactual are agreed with a real design partner.</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16 — Separate Pilot A Control-Plane Mode from Pilot B MTQ Mode</w:t>
      </w:r>
    </w:p>
    <w:p>
      <w:pPr>
        <w:pStyle w:val="SourceNote"/>
      </w:pPr>
      <w:r>
        <w:rPr>
          <w:b/>
        </w:rPr>
        <w:t xml:space="preserve">Recovery status: </w:t>
      </w:r>
      <w:r>
        <w:t>Reconstructed from the retained sequence summary</w:t>
      </w:r>
    </w:p>
    <w:p>
      <w:pPr>
        <w:pStyle w:val="Heading2"/>
      </w:pPr>
      <w:r>
        <w:t>Copy-ready developer prompt</w:t>
      </w:r>
    </w:p>
    <w:p>
      <w:r>
        <w:t>Define Pilot A as a non-value or otherwise contractually approved control-plane demonstration with MTQ disabled. It should exercise institution/routing policy, eligibility, compliance orchestration, evidence, reconciliation, exceptions, replay and failure management using synthetic or explicitly authorized test data. Define Pilot B as an optional MTQ extension that cannot begin until legal classification, obligor and redemption responsibility, backing control, custody, accounting, regulatory and bank-contract prerequisites are evidenced. Make the mode visible in config, logs, UI, test reports and external materials. Pilot A must not mint, transfer or imply real MTQ value. Pilot B must not inherit approval merely because Pilot A passed. Add tests proving all MTQ routes remain unreachable while disabled.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17 — Create a Bank ROI Engine</w:t>
      </w:r>
    </w:p>
    <w:p>
      <w:pPr>
        <w:pStyle w:val="SourceNote"/>
      </w:pPr>
      <w:r>
        <w:rPr>
          <w:b/>
        </w:rPr>
        <w:t xml:space="preserve">Recovery status: </w:t>
      </w:r>
      <w:r>
        <w:t>Reconstructed from the retained sequence summary</w:t>
      </w:r>
    </w:p>
    <w:p>
      <w:pPr>
        <w:pStyle w:val="Heading2"/>
      </w:pPr>
      <w:r>
        <w:t>Copy-ready developer prompt</w:t>
      </w:r>
    </w:p>
    <w:p>
      <w:r>
        <w:t>Build a transparent ROI/TCO model using bank-confirmed baselines where available. Calculate potential benefits from FX cost, operational effort, exception reduction, reconciliation, settlement predictability, liquidity usage and new services, then subtract integration, compliance, risk capital, legal, ongoing maintenance, support, connectivity and any liquidity cost. Keep each input labelled as measured, externally sourced, assumed or unknown. Include sensitivity analysis, confidence intervals where appropriate, switching costs and downside scenarios. Do not double-count the same benefit across FX, treasury and operations. Never let revenue targets influence MTQ issuance, reserve treatment or a compliance decision. Treat all illustrative basis-point savings or seconds-to-settle numbers as simulated until reproduced on an agreed pilot dataset.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18 — Create an Institutional Pilot Evidence Gate Framework</w:t>
      </w:r>
    </w:p>
    <w:p>
      <w:pPr>
        <w:pStyle w:val="SourceNote"/>
      </w:pPr>
      <w:r>
        <w:rPr>
          <w:b/>
        </w:rPr>
        <w:t xml:space="preserve">Recovery status: </w:t>
      </w:r>
      <w:r>
        <w:t>Reconstructed from the retained sequence summary</w:t>
      </w:r>
    </w:p>
    <w:p>
      <w:pPr>
        <w:pStyle w:val="Heading2"/>
      </w:pPr>
      <w:r>
        <w:t>Copy-ready developer prompt</w:t>
      </w:r>
    </w:p>
    <w:p>
      <w:r>
        <w:t>Define entry, continuation, pause and exit gates for each pilot stage. A gate must specify the control objective, accountable owner, evidence required, pass criteria, failure behavior, approver and audit artefact. Distinguish internally testable controls from gates requiring counsel, regulators, banks, custodians, auditors or other external parties. A simulation cannot satisfy an executed-contract or legal-opinion gate. Define Pilot 0 for legal/accounting/risk design, Pilot 1 for one bank/one jurisdiction/one controlled corridor, and later phases only after measurable success. Add kill criteria, incident escalation, rollback, participant protection and evidence retention. Use PASS, CONDITIONAL, FAIL or NOT_ASSESSED with no inferred pass from missing data.</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19 — Package Bank-Facing Documentation</w:t>
      </w:r>
    </w:p>
    <w:p>
      <w:pPr>
        <w:pStyle w:val="SourceNote"/>
      </w:pPr>
      <w:r>
        <w:rPr>
          <w:b/>
        </w:rPr>
        <w:t xml:space="preserve">Recovery status: </w:t>
      </w:r>
      <w:r>
        <w:t>Reconstructed from the retained sequence summary</w:t>
      </w:r>
    </w:p>
    <w:p>
      <w:pPr>
        <w:pStyle w:val="Heading2"/>
      </w:pPr>
      <w:r>
        <w:t>Copy-ready developer prompt</w:t>
      </w:r>
    </w:p>
    <w:p>
      <w:r>
        <w:t>Generate a coherent documentation suite from the same canonical source: a two-page institutional thesis; approximately twenty-page product brief; a forty-to-sixty-page pilot specification; technical integration appendix; legal/regulatory question pack; accounting/prudential/tax pack; risk/security/resilience pack; ROI/TCO model; and evidence/open-issues register. Use audience-specific detail without changing core definitions or evidence status. Every quantitative performance, legal, adoption, regulatory or reserve claim must trace to its source and status. Clearly separate target architecture, simulation, internal test, live operation and external validation. Remove unsupported superlatives and do not imply endorsements. Add version, owner, approval state, release reference and change history to each artefact. Run a cross-document contradiction check before release.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20 — Build a Regulatory Replay Engine</w:t>
      </w:r>
    </w:p>
    <w:p>
      <w:pPr>
        <w:pStyle w:val="SourceNote"/>
      </w:pPr>
      <w:r>
        <w:rPr>
          <w:b/>
        </w:rPr>
        <w:t xml:space="preserve">Recovery status: </w:t>
      </w:r>
      <w:r>
        <w:t>Reconstructed from the retained sequence summary</w:t>
      </w:r>
    </w:p>
    <w:p>
      <w:pPr>
        <w:pStyle w:val="Heading2"/>
      </w:pPr>
      <w:r>
        <w:t>Copy-ready developer prompt</w:t>
      </w:r>
    </w:p>
    <w:p>
      <w:r>
        <w:t>Implement a reproducible replay capability for a selected settlement event or scenario. Capture the instruction, participants, policy version, jurisdiction state, asset eligibility, liquidity inputs, authorization, evidence references, external confirmations, reconciliation results and finality transitions. Replay must reproduce the decision based on the historical policy and data snapshot without silently applying current policy or changing the original record. Keep re-simulation distinct from authoritative production processing. Provide an auditor-readable trace of what was known at each decision point and why the operation passed, failed or halted. Protect confidential data with role-based access and redaction. Test policy changes, revoked jurisdiction permission, expired authorization, stale source evidence and nondeterministic dependency handling.</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21 — Create the Settlement Continuity Fabric</w:t>
      </w:r>
    </w:p>
    <w:p>
      <w:pPr>
        <w:pStyle w:val="SourceNote"/>
      </w:pPr>
      <w:r>
        <w:rPr>
          <w:b/>
        </w:rPr>
        <w:t xml:space="preserve">Recovery status: </w:t>
      </w:r>
      <w:r>
        <w:t>Reconstructed from the retained sequence summary</w:t>
      </w:r>
    </w:p>
    <w:p>
      <w:pPr>
        <w:pStyle w:val="Heading2"/>
      </w:pPr>
      <w:r>
        <w:t>Copy-ready developer prompt</w:t>
      </w:r>
    </w:p>
    <w:p>
      <w:r>
        <w:t>Design safe continuity behavior for bank, custodian, rail, provider, database, key, network and regional failures. Define which operations can pause, which can retry, which can be compensated and which require institution/counsel intervention. Preserve instruction identity and idempotency through outages. Do not assume an alternate rail is legally equivalent to the primary one. A route switch requires approved policy, participant eligibility, liquidity and finality checks. Define degraded mode, read-only mode, safe halt, recovery ordering and reconciliation after recovery. Record recovery-point and recovery-time objectives as proposed until tested. Run tabletop and automated chaos scenarios; report observed behavior rather than planned behavior. Never use a continuity fallback to bypass sanctions, finality, legal control or production gates.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22 — Run the Final Architecture Contradiction Sweep</w:t>
      </w:r>
    </w:p>
    <w:p>
      <w:pPr>
        <w:pStyle w:val="SourceNote"/>
      </w:pPr>
      <w:r>
        <w:rPr>
          <w:b/>
        </w:rPr>
        <w:t xml:space="preserve">Recovery status: </w:t>
      </w:r>
      <w:r>
        <w:t>Reconstructed from the retained sequence summary</w:t>
      </w:r>
    </w:p>
    <w:p>
      <w:pPr>
        <w:pStyle w:val="Heading2"/>
      </w:pPr>
      <w:r>
        <w:t>Copy-ready developer prompt</w:t>
      </w:r>
    </w:p>
    <w:p>
      <w:r>
        <w:t>Run a documented, bounded contradiction review over source code, database schema, migrations, runtime configuration, environment templates, policies, tests, generated output, diagrams and all active documents. Check version authority, BM-15/BM-16 identifiers, PAR versus USD-peg language, reserve ratios, gold/digital allocations, gate counts, liquidity definitions, jurisdiction state, production status, accounting treatment and finality claims. Report scan scope, files skipped, parser failures and false-negative risks. A scan limited to selected source directories must never be called comprehensive. Classify each finding by severity, authority and evidence, then resolve it or preserve it as an explicit blocker. Produce a signed-off report and tests preventing regressions.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23 — Run Adversarial Invariant and Failure Tests</w:t>
      </w:r>
    </w:p>
    <w:p>
      <w:pPr>
        <w:pStyle w:val="SourceNote"/>
      </w:pPr>
      <w:r>
        <w:rPr>
          <w:b/>
        </w:rPr>
        <w:t xml:space="preserve">Recovery status: </w:t>
      </w:r>
      <w:r>
        <w:t>Reconstructed from the retained sequence summary</w:t>
      </w:r>
    </w:p>
    <w:p>
      <w:pPr>
        <w:pStyle w:val="Heading2"/>
      </w:pPr>
      <w:r>
        <w:t>Copy-ready developer prompt</w:t>
      </w:r>
    </w:p>
    <w:p>
      <w:r>
        <w:t>Build an adversarial suite for unauthorized mint, MTQ-disabled routing, duplicate instructions, replayed events, stale authorization, missing obligor, unavailable or encumbered backing, duplicate backing, custody/bank/rail failure, mismatched reconciliation, jurisdiction/policy changes, compromised privilege, incomplete external finality, missing evidence and recovery after partial execution. Include property-based tests and state-machine invariants where feasible. Every scenario must state expected safe behavior, actual observed result, logs and evidence. Tests must fail when the system proceeds with an unknown or invalid critical prerequisite. Simulations must be labelled. Do not report success merely because a test file exists: execute it and capture the command, exit code, environment and commit. Any untested critical bypass remains an open risk.</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24 — Freeze Architecture and Enforce Change Control</w:t>
      </w:r>
    </w:p>
    <w:p>
      <w:pPr>
        <w:pStyle w:val="SourceNote"/>
      </w:pPr>
      <w:r>
        <w:rPr>
          <w:b/>
        </w:rPr>
        <w:t xml:space="preserve">Recovery status: </w:t>
      </w:r>
      <w:r>
        <w:t>Reconstructed from the retained sequence summary</w:t>
      </w:r>
    </w:p>
    <w:p>
      <w:pPr>
        <w:pStyle w:val="Heading2"/>
      </w:pPr>
      <w:r>
        <w:t>Copy-ready developer prompt</w:t>
      </w:r>
    </w:p>
    <w:p>
      <w:r>
        <w:t>Once remediation is complete, establish a controlled architecture baseline. Every change must have a request, rationale, affected invariants, dependency and evidence impact, risk review, owner, approval, version increment, regression tests, release notes and rollback plan. Separate emergency changes from ordinary changes and review emergency use after the fact. Prevent undocumented direct edits to canonical policy. Maintain the prior known-good release and prove rollback in a non-production environment. Do not freeze known dangerous defects as accepted design; mark them as blockers. State explicitly which changes remain blocked pending outside counsel, bank, regulator, custodian or independent assurance. Architecture freeze means controlled evolution, not production readiness.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25 — Accounting, Prudential and Tax Truth</w:t>
      </w:r>
    </w:p>
    <w:p>
      <w:pPr>
        <w:pStyle w:val="SourceNote"/>
      </w:pPr>
      <w:r>
        <w:rPr>
          <w:b/>
        </w:rPr>
        <w:t xml:space="preserve">Recovery status: </w:t>
      </w:r>
      <w:r>
        <w:t>Reconstructed from the retained sequence summary</w:t>
      </w:r>
    </w:p>
    <w:p>
      <w:pPr>
        <w:pStyle w:val="Heading2"/>
      </w:pPr>
      <w:r>
        <w:t>Copy-ready developer prompt</w:t>
      </w:r>
    </w:p>
    <w:p>
      <w:r>
        <w:t>Prepare a structured accounting/prudential/tax assessment of the proposed arrangement. Examine MTQ classification, who records an asset or liability, when recognition occurs, how backing is recognized, whether client/participant assets are segregated, how settlement exposure is treated, whether capital or risk-weighted assets arise, tax characterization, revenue recognition and treatment in insolvency. Present alternative treatments as questions for qualified professionals, not conclusions. Link each conclusion to applicable jurisdiction and actual contracts. Model gross and net exposure, liquidity, collateral encumbrance and operational risk separately. Maintain PENDING_EXTERNAL_VALIDATION until written, appropriately scoped professional advice supports a claim. Do not use a dashboard, code model or blueprint statement as a substitute for professional accounting, prudential or tax advice.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26 — Protected Backing and Emergency Capacity Enforceability</w:t>
      </w:r>
    </w:p>
    <w:p>
      <w:pPr>
        <w:pStyle w:val="SourceNote"/>
      </w:pPr>
      <w:r>
        <w:rPr>
          <w:b/>
        </w:rPr>
        <w:t xml:space="preserve">Recovery status: </w:t>
      </w:r>
      <w:r>
        <w:t>Reconstructed from the retained sequence summary</w:t>
      </w:r>
    </w:p>
    <w:p>
      <w:pPr>
        <w:pStyle w:val="Heading2"/>
      </w:pPr>
      <w:r>
        <w:t>Copy-ready developer prompt</w:t>
      </w:r>
    </w:p>
    <w:p>
      <w:r>
        <w:t>Define the exact legal and operational requirements for protected backing and emergency capacity. Record legal owner, account holder, custodian, beneficiary, account-control rights, segregation agreement, pledge/perfection status, reuse prohibition, freeze status, bankruptcy-remoteness status, jurisdiction, withdrawal conditions, haircut and settlement availability. Distinguish an attestation from enforceable control. Define what happens if the custodian refuses, an account is frozen, a lien arises, a bank fails or the account is inaccessible. Do not count an asset in eligible backing or emergency capacity unless all required legal and operational attributes are evidenced. Identify documents and independent confirmations required. Keep all unverified cells ineligible and state that zero live protected backing cells means the system is not ready for real-value MTQ operations.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27 — Failure, Default and Resolution Legal Conditionality</w:t>
      </w:r>
    </w:p>
    <w:p>
      <w:pPr>
        <w:pStyle w:val="SourceNote"/>
      </w:pPr>
      <w:r>
        <w:rPr>
          <w:b/>
        </w:rPr>
        <w:t xml:space="preserve">Recovery status: </w:t>
      </w:r>
      <w:r>
        <w:t>Reconstructed from the retained sequence summary</w:t>
      </w:r>
    </w:p>
    <w:p>
      <w:pPr>
        <w:pStyle w:val="Heading2"/>
      </w:pPr>
      <w:r>
        <w:t>Copy-ready developer prompt</w:t>
      </w:r>
    </w:p>
    <w:p>
      <w:r>
        <w:t>Map insolvency, default, redemption failure, bank resolution, custodian insolvency, operational outage, sanctions freeze, disputed transfer, lost keys and wind-down scenarios. For each scenario define the affected obligation, legal obligor, applicable law, ranking, who may halt activity, participant notification, asset access, evidence preservation and recovery authority. Do not assume bankruptcy remoteness, priority or enforceability from design language alone. Use jurisdiction-specific legal questions and maintain PENDING_COUNSEL_REVIEW until counsel confirms. Distinguish ordinary service failure from insolvency and distinguish technical reversal/compensation from legal unwind. Build a default waterfall only where contracts and law support it. Include a controlled wind-down and third-party continuity plan without promising guaranteed recovery or redemption beyond validated obligations.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28 — Bank Master Agreement, SLA and Liability Package</w:t>
      </w:r>
    </w:p>
    <w:p>
      <w:pPr>
        <w:pStyle w:val="SourceNote"/>
      </w:pPr>
      <w:r>
        <w:rPr>
          <w:b/>
        </w:rPr>
        <w:t xml:space="preserve">Recovery status: </w:t>
      </w:r>
      <w:r>
        <w:t>Reconstructed from the retained sequence summary</w:t>
      </w:r>
    </w:p>
    <w:p>
      <w:pPr>
        <w:pStyle w:val="Heading2"/>
      </w:pPr>
      <w:r>
        <w:t>Copy-ready developer prompt</w:t>
      </w:r>
    </w:p>
    <w:p>
      <w:r>
        <w:t>Draft a non-executed negotiation pack covering scope, permitted use, participants, assets, instruction authentication, cutoffs, settlement/finality evidence, service levels, incident response, outages, changes, audit rights, data, cyber controls, liability, indemnities, limits, exclusions, disputes, suspension, termination, transition and wind-down. Explicitly separate proposed commercial terms from negotiated or executed terms. Map service obligations to the correct legal entity and avoid an ambiguous liability gap between technology, operations, redemption and custody. Include schedules for API, business continuity, security, data processing, pricing and jurisdiction. Do not claim that an SLA creates legal settlement finality or overrides mandatory law. Route drafts for qualified counsel; mark them DRAFT / NOT EXECUTED until evidence proves otherwise.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29 — Institutional External Identity and Contact Transition</w:t>
      </w:r>
    </w:p>
    <w:p>
      <w:pPr>
        <w:pStyle w:val="SourceNote"/>
      </w:pPr>
      <w:r>
        <w:rPr>
          <w:b/>
        </w:rPr>
        <w:t xml:space="preserve">Recovery status: </w:t>
      </w:r>
      <w:r>
        <w:t>Reconstructed from the retained sequence summary</w:t>
      </w:r>
    </w:p>
    <w:p>
      <w:pPr>
        <w:pStyle w:val="Heading2"/>
      </w:pPr>
      <w:r>
        <w:t>Copy-ready developer prompt</w:t>
      </w:r>
    </w:p>
    <w:p>
      <w:r>
        <w:t>Review how MITHQAL presents its institutional identity, domain, contact channel, contracting entity and corporate affiliations. Preserve current facts and records; do not fabricate a company, office, regulated status, named executive or authorized contact. Create a staged transition plan from legacy personal-contact or generic hosted-site presentation toward institutional-grade channels only when verified assets exist. Define ownership, administration, privacy, security, uptime and change controls for the domain, email, repository and public claims. Ensure public contact details and legal notices do not imply unverified corporate authority. Add status labels for pending items and a controlled update checklist. Keep the public website separate from confidential partner material and prevent disclosure of credentials, private banking information or sensitive internal diagrams.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30 — Enterprise Risk Register</w:t>
      </w:r>
    </w:p>
    <w:p>
      <w:pPr>
        <w:pStyle w:val="SourceNote"/>
      </w:pPr>
      <w:r>
        <w:rPr>
          <w:b/>
        </w:rPr>
        <w:t xml:space="preserve">Recovery status: </w:t>
      </w:r>
      <w:r>
        <w:t>Reconstructed from the retained sequence summary</w:t>
      </w:r>
    </w:p>
    <w:p>
      <w:pPr>
        <w:pStyle w:val="Heading2"/>
      </w:pPr>
      <w:r>
        <w:t>Copy-ready developer prompt</w:t>
      </w:r>
    </w:p>
    <w:p>
      <w:r>
        <w:t>Create a living enterprise risk register spanning legal, regulatory, counterparty, settlement, liquidity, backing, custody, market, FX, operational, cyber, data, vendor, governance, conduct, Sharia where relevant, reputational, concentration, model, business continuity and commercial risks. Each risk needs an owner, cause, event, impact, likelihood basis, inherent score, controls, residual score, early-warning indicator, treatment, deadline, evidence and escalation threshold. Do not present numeric scoring as actuarially calibrated without data. Link high risks to pilot gates and architecture invariants. Include risk appetite and explicit stop conditions. Review contradictions between this register and the code, sales material, insurance assumptions and pilot plan. Maintain UNKNOWN or NOT_ASSESSED where evidence is absent.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31 — Insurance and Risk Transfer Assessment</w:t>
      </w:r>
    </w:p>
    <w:p>
      <w:pPr>
        <w:pStyle w:val="SourceNote"/>
      </w:pPr>
      <w:r>
        <w:rPr>
          <w:b/>
        </w:rPr>
        <w:t xml:space="preserve">Recovery status: </w:t>
      </w:r>
      <w:r>
        <w:t>Reconstructed from the retained sequence summary</w:t>
      </w:r>
    </w:p>
    <w:p>
      <w:pPr>
        <w:pStyle w:val="Heading2"/>
      </w:pPr>
      <w:r>
        <w:t>Copy-ready developer prompt</w:t>
      </w:r>
    </w:p>
    <w:p>
      <w:r>
        <w:t>Assess which risks may be insured, contractually allocated, mitigated operationally or remain retained. Consider cyber, professional indemnity/errors and omissions, crime/fidelity, directors and officers, custody, specie where applicable, business interruption and other relevant cover only after broker/legal review. Do not claim that insurance exists until a current policy, insured parties, limits, exclusions, jurisdiction, deductibles and claims conditions are verified. Compare risk transfer with prevention, capital/liquidity requirements and contractual caps. Identify exclusions that could neutralize apparent coverage. Add renewal, notification and evidence controls. Any lack of insurance is an explicitly managed gap, not silently treated as covered by a counterparty or infrastructure provider.</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32 — Data Governance and Evidence Governance</w:t>
      </w:r>
    </w:p>
    <w:p>
      <w:pPr>
        <w:pStyle w:val="SourceNote"/>
      </w:pPr>
      <w:r>
        <w:rPr>
          <w:b/>
        </w:rPr>
        <w:t xml:space="preserve">Recovery status: </w:t>
      </w:r>
      <w:r>
        <w:t>Reconstructed from the retained sequence summary</w:t>
      </w:r>
    </w:p>
    <w:p>
      <w:pPr>
        <w:pStyle w:val="Heading2"/>
      </w:pPr>
      <w:r>
        <w:t>Copy-ready developer prompt</w:t>
      </w:r>
    </w:p>
    <w:p>
      <w:r>
        <w:t>Define data classification, ownership, permitted purpose, data minimization, residency, retention, access, correction, deletion, export, audit, legal hold and incident handling. Separate transactional data, confidential participant data, personal data, evidence artifacts, secrets and public data. Set controls for encryption, key management, role-based access and privileged access. Define canonical evidence IDs, provenance, immutable event history and auditability without promising immutability unless technically demonstrated. Specify the rules for synthetic data in demonstrations and prevent synthetic evidence from being labelled as live. Map privacy obligations by jurisdiction and await counsel where needed. Add a data inventory and retention/deletion tests; ensure logs and prompt artefacts never expose secrets.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33 — Dispute and Exception Management</w:t>
      </w:r>
    </w:p>
    <w:p>
      <w:pPr>
        <w:pStyle w:val="SourceNote"/>
      </w:pPr>
      <w:r>
        <w:rPr>
          <w:b/>
        </w:rPr>
        <w:t xml:space="preserve">Recovery status: </w:t>
      </w:r>
      <w:r>
        <w:t>Reconstructed from the retained sequence summary</w:t>
      </w:r>
    </w:p>
    <w:p>
      <w:pPr>
        <w:pStyle w:val="Heading2"/>
      </w:pPr>
      <w:r>
        <w:t>Copy-ready developer prompt</w:t>
      </w:r>
    </w:p>
    <w:p>
      <w:r>
        <w:t>Create a structured process for settlement exceptions, unmatched records, disputed finality, participant complaints, failed routing, suspected fraud and operational incidents. Define severity, acknowledgement deadlines, owners, evidence preservation, escalation, participant communications, resolution states and appeals. Separate operational correction from legal dispute and from accounting adjustment. Do not automatically reverse a legally final settlement based only on a technical alert. Require dual control for sensitive adjustments and independent evidence for closure. Maintain linked timelines across bank, custodian, rail and MITHQAL systems. Provide a case export usable by operations, legal counsel and auditors. Define when operations must safe-halt and when only authorized institutions may decide the legal outcome.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34 — Competitive and Incumbent Compatibility</w:t>
      </w:r>
    </w:p>
    <w:p>
      <w:pPr>
        <w:pStyle w:val="SourceNote"/>
      </w:pPr>
      <w:r>
        <w:rPr>
          <w:b/>
        </w:rPr>
        <w:t xml:space="preserve">Recovery status: </w:t>
      </w:r>
      <w:r>
        <w:t>Reconstructed from the retained sequence summary</w:t>
      </w:r>
    </w:p>
    <w:p>
      <w:pPr>
        <w:pStyle w:val="Heading2"/>
      </w:pPr>
      <w:r>
        <w:t>Copy-ready developer prompt</w:t>
      </w:r>
    </w:p>
    <w:p>
      <w:r>
        <w:t>Build a research-backed competitor and incumbent-compatibility analysis across correspondent banking, payment networks, SWIFT-related orchestration, RTGS, instant payments, tokenized deposits, wholesale CBDC initiatives, treasury platforms and reconciliation/integration vendors. Use dated, verifiable sources and distinguish product facts from inference. Compare buyer, use case, operating model, pricing where public, legal assumptions, integration burden, evidence maturity and incumbent strengths. Do not claim uniqueness or defensibility without demonstrating it. Identify the narrow wedge where a neutral control plane could add value alongside, rather than displace, recognized institutions. Include substitute solutions and the possibility that the bank builds internally. Maintain an explicit moat hypothesis and specify what customer evidence would validate or falsify it.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35 — Pricing and Commercial Model</w:t>
      </w:r>
    </w:p>
    <w:p>
      <w:pPr>
        <w:pStyle w:val="SourceNote"/>
      </w:pPr>
      <w:r>
        <w:rPr>
          <w:b/>
        </w:rPr>
        <w:t xml:space="preserve">Recovery status: </w:t>
      </w:r>
      <w:r>
        <w:t>Reconstructed from the retained sequence summary</w:t>
      </w:r>
    </w:p>
    <w:p>
      <w:pPr>
        <w:pStyle w:val="Heading2"/>
      </w:pPr>
      <w:r>
        <w:t>Copy-ready developer prompt</w:t>
      </w:r>
    </w:p>
    <w:p>
      <w:r>
        <w:t>Develop testable pricing alternatives such as implementation, platform subscription, per-instruction/transaction, corridor, API/connectivity, evidence/reporting and support fees, while avoiding incentives that reward unsafe issuance or unnecessary transaction volume. Model customer value, delivery cost, compliance overhead, bank/rail fees, liquidity cost, infrastructure, support, assurance and risk cost. Separate one-time and recurring economics. Test value-based, fixed and usage-based pricing with bank interviews; do not call any model validated without customer evidence. Record assumptions, sensitivity, minimum viable volume, gross margin and break-even. Keep commercial pricing separate from monetary policy, eligibility, routing controls and risk decisions. Produce a negotiation range and list exclusions, dependencies and contractual conditions.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36 — Go-to-Market, Design Partner and Regulatory Engagement</w:t>
      </w:r>
    </w:p>
    <w:p>
      <w:pPr>
        <w:pStyle w:val="SourceNote"/>
      </w:pPr>
      <w:r>
        <w:rPr>
          <w:b/>
        </w:rPr>
        <w:t xml:space="preserve">Recovery status: </w:t>
      </w:r>
      <w:r>
        <w:t>Reconstructed from the retained sequence summary</w:t>
      </w:r>
    </w:p>
    <w:p>
      <w:pPr>
        <w:pStyle w:val="Heading2"/>
      </w:pPr>
      <w:r>
        <w:t>Copy-ready developer prompt</w:t>
      </w:r>
    </w:p>
    <w:p>
      <w:r>
        <w:t>Create a focused go-to-market plan around one high-friction corridor and one credible institutional design partner rather than a broad unsupported launch. Segment target banks and institutions by pain, operational capability, regulatory appetite, integration readiness and decision path. Build a contact-to-pilot pipeline with owners, next actions and evidence. Prepare careful regulatory engagement questions, not claims of approval or implied endorsement. Define the pilot offer, success criteria, required partner effort, data permissions and commercial path. Use interviews and written feedback as evidence, but do not treat a conversation or MOU as proof of bank adoption, legal suitability or production readiness. Add a weekly review of external evidence achieved and blockers requiring user-led action.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37 — Team, Funding and Evidence-Gated Operating Plan</w:t>
      </w:r>
    </w:p>
    <w:p>
      <w:pPr>
        <w:pStyle w:val="SourceNote"/>
      </w:pPr>
      <w:r>
        <w:rPr>
          <w:b/>
        </w:rPr>
        <w:t xml:space="preserve">Recovery status: </w:t>
      </w:r>
      <w:r>
        <w:t>Reconstructed from the retained sequence summary</w:t>
      </w:r>
    </w:p>
    <w:p>
      <w:pPr>
        <w:pStyle w:val="Heading2"/>
      </w:pPr>
      <w:r>
        <w:t>Copy-ready developer prompt</w:t>
      </w:r>
    </w:p>
    <w:p>
      <w:r>
        <w:t>Create a realistic staffing and funding plan for legal, bank integration, security, operations, compliance, product, engineering, independent assurance and customer delivery. Prioritize critical-role gaps and external professional costs; do not present future hires, funding or partnerships as secured. Stage spending against evidence gates and avoid paid dependencies before the relevant capability is needed. Distinguish zero-cost prototype constraints from the real costs of regulated institutional operations. Provide 30/60/90/120-day workstreams only as planning targets, not guarantees. Include founder/user responsibilities for counsel, bank relationships, regulatory engagement and contracting, and developer responsibilities for code, documentation, simulation and technical evidence. Define the next external evidence outcome rather than coding volume as the principal progress measure.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38 — Bank Onboarding and MITHQAL Academy</w:t>
      </w:r>
    </w:p>
    <w:p>
      <w:pPr>
        <w:pStyle w:val="SourceNote"/>
      </w:pPr>
      <w:r>
        <w:rPr>
          <w:b/>
        </w:rPr>
        <w:t xml:space="preserve">Recovery status: </w:t>
      </w:r>
      <w:r>
        <w:t>Reconstructed from the retained sequence summary</w:t>
      </w:r>
    </w:p>
    <w:p>
      <w:pPr>
        <w:pStyle w:val="Heading2"/>
      </w:pPr>
      <w:r>
        <w:t>Copy-ready developer prompt</w:t>
      </w:r>
    </w:p>
    <w:p>
      <w:r>
        <w:t>Build an institutional onboarding path and training library for bank executives, product owners, treasury, operations, compliance, legal, risk, security and technical teams. Teach the control-plane model, MTQ optionality, finality states, evidence taxonomy, failure handling, data sharing, pilot scope and current limitations. Use role-specific learning objectives and realistic case exercises. Make training current to a controlled release and link each module to approved source material. Avoid implying accreditation, regulatory endorsement or certified capability unless independently authorized. Include onboarding checklist, questions, glossary, system boundary diagrams and a feedback capture mechanism. Track comprehension and unresolved questions as evidence for improving the pilot pack, not as proof of product validation.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39 — Final Adversarial, Quantitative and Document-Control Sweep</w:t>
      </w:r>
    </w:p>
    <w:p>
      <w:pPr>
        <w:pStyle w:val="SourceNote"/>
      </w:pPr>
      <w:r>
        <w:rPr>
          <w:b/>
        </w:rPr>
        <w:t xml:space="preserve">Recovery status: </w:t>
      </w:r>
      <w:r>
        <w:t>Reconstructed from the retained sequence summary</w:t>
      </w:r>
    </w:p>
    <w:p>
      <w:pPr>
        <w:pStyle w:val="Heading2"/>
      </w:pPr>
      <w:r>
        <w:t>Copy-ready developer prompt</w:t>
      </w:r>
    </w:p>
    <w:p>
      <w:r>
        <w:t>Execute a final cross-functional review of calculations, assumptions, wording, document identity, formulas, gate dependencies, evidence links and status claims. Independently recalculate reserve totals, liquidity requirements, runway, ROI examples and cost assumptions. Resolve duplicate definitions, inconsistent version references, stale appendices, missing sections and numbering gaps. Mark every unsupported quantitative value as ASSUMED, ILLUSTRATIVE or UNKNOWN. Ensure historical material is clearly non-controlling and that the active source of truth is unambiguous. Produce an issue list with severity and disposition; do not fix a discrepancy by silently changing historical content. No release may claim production readiness, institutional validation, licensing, external audit or a live pilot without primary evidence.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40 — Sharia and AAOIFI Governance Boundary</w:t>
      </w:r>
    </w:p>
    <w:p>
      <w:pPr>
        <w:pStyle w:val="SourceNote"/>
      </w:pPr>
      <w:r>
        <w:rPr>
          <w:b/>
        </w:rPr>
        <w:t xml:space="preserve">Recovery status: </w:t>
      </w:r>
      <w:r>
        <w:t>Reconstructed from the retained sequence summary</w:t>
      </w:r>
    </w:p>
    <w:p>
      <w:pPr>
        <w:pStyle w:val="Heading2"/>
      </w:pPr>
      <w:r>
        <w:t>Copy-ready developer prompt</w:t>
      </w:r>
    </w:p>
    <w:p>
      <w:r>
        <w:t>Define a governance pathway for Sharia review only where target institutions or corridors require it. Identify the questions to take to qualified Sharia scholars and relevant standards specialists, including asset ownership, redemption, fees, settlement, reserves, yield separation, securities/lending characterization and contractual form. Do not label the product Sharia-compliant based on internal design language or automated rules. Separate technical facilitation of compliance evidence from issuance of a religious or legal ruling. Record standard/version, reviewer, scope, conditions, exceptions and expiration when evidence is obtained. Keep status PENDING_REVIEW until a qualified, documented decision supports a more specific claim. Avoid implying universal approval across jurisdictions or institutions.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41 — Jurisdiction Truth Model and CNY/CNH Treatment</w:t>
      </w:r>
    </w:p>
    <w:p>
      <w:pPr>
        <w:pStyle w:val="SourceNote"/>
      </w:pPr>
      <w:r>
        <w:rPr>
          <w:b/>
        </w:rPr>
        <w:t xml:space="preserve">Recovery status: </w:t>
      </w:r>
      <w:r>
        <w:t>Reconstructed from the retained sequence summary</w:t>
      </w:r>
    </w:p>
    <w:p>
      <w:pPr>
        <w:pStyle w:val="Heading2"/>
      </w:pPr>
      <w:r>
        <w:t>Copy-ready developer prompt</w:t>
      </w:r>
    </w:p>
    <w:p>
      <w:r>
        <w:t>Implement a jurisdiction registry that distinguishes prohibited, pending legal review, conditionally eligible, authorized and operationally validated states. Do not seed a jurisdiction as allowed merely because public sources were read or code contains a configuration entry. Require jurisdiction-specific legal advice, regulatory position, bank/custody support and contract evidence where applicable. Reconcile any China prohibition or geographic fence with currencies and markets such as CNY versus CNH, offshore/onshore status, counterparties, clearing arrangements and sanctions controls. Make the jurisdiction state versioned, time-bound and fail-closed. Treat public regulatory research as triage, not legal opinion. Add tests that block prohibited/pending jurisdictions, expired approvals and stale routing configurations.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42 — Technical Evidence Semantics: HTTP 200 Is Not Validation</w:t>
      </w:r>
    </w:p>
    <w:p>
      <w:pPr>
        <w:pStyle w:val="SourceNote"/>
      </w:pPr>
      <w:r>
        <w:rPr>
          <w:b/>
        </w:rPr>
        <w:t xml:space="preserve">Recovery status: </w:t>
      </w:r>
      <w:r>
        <w:t>Reconstructed from the retained sequence summary</w:t>
      </w:r>
    </w:p>
    <w:p>
      <w:pPr>
        <w:pStyle w:val="Heading2"/>
      </w:pPr>
      <w:r>
        <w:t>Copy-ready developer prompt</w:t>
      </w:r>
    </w:p>
    <w:p>
      <w:r>
        <w:t>Define evidence semantics for health checks, API responses, job execution, provider connections, database writes, event processing and settlement outcomes. An HTTP 200, successful build, accepted event or passing lint command proves only the specific condition that was tested. It does not prove correctness, durability, legal finality, external provider harmony or institutional validation. For every assertion specify the test method, environment, identity, timestamp, response/body checks, persistence verification and limitations. Capture exit codes and raw evidence safely. Distinguish static source inspection, unit/integration/E2E tests, live provider verification and third-party assurance. Add tests that reject inflated status mappings such as converting “endpoint reachable” into “provider fully verified.”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43 — MTQ Redemption and Value Consistency</w:t>
      </w:r>
    </w:p>
    <w:p>
      <w:pPr>
        <w:pStyle w:val="SourceNote"/>
      </w:pPr>
      <w:r>
        <w:rPr>
          <w:b/>
        </w:rPr>
        <w:t xml:space="preserve">Recovery status: </w:t>
      </w:r>
      <w:r>
        <w:t>Reconstructed from the retained sequence summary</w:t>
      </w:r>
    </w:p>
    <w:p>
      <w:pPr>
        <w:pStyle w:val="Heading2"/>
      </w:pPr>
      <w:r>
        <w:t>Copy-ready developer prompt</w:t>
      </w:r>
    </w:p>
    <w:p>
      <w:r>
        <w:t>Model MTQ issuance, holding, transfer, acceptance, redemption, suspension, expiry where legally applicable and resolution consistently across product copy, legal fields, accounting and code. Define who is obligated to redeem, eligible claimant, request path, timing, fees, currency, haircut or discount, dispute path, finality and insolvency treatment. Reconcile any PAR/accounting reference with redemption terms and any legacy peg wording. A one-unit accounting reference must not imply guaranteed one-for-one redemption unless enforceable documents and operational mechanisms establish it. Block creation or transfer if the required obligor or redemption role is missing. Maintain explicit pending legal/accounting state and create examples that surface inconsistent combinations before deployment.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44 — Bank Economic Incentive Model</w:t>
      </w:r>
    </w:p>
    <w:p>
      <w:pPr>
        <w:pStyle w:val="SourceNote"/>
      </w:pPr>
      <w:r>
        <w:rPr>
          <w:b/>
        </w:rPr>
        <w:t xml:space="preserve">Recovery status: </w:t>
      </w:r>
      <w:r>
        <w:t>Reconstructed from the retained sequence summary</w:t>
      </w:r>
    </w:p>
    <w:p>
      <w:pPr>
        <w:pStyle w:val="Heading2"/>
      </w:pPr>
      <w:r>
        <w:t>Copy-ready developer prompt</w:t>
      </w:r>
    </w:p>
    <w:p>
      <w:r>
        <w:t>Test why each bank participant would adopt, integrate, operate, fund and continue using MITHQAL. Map revenue or cost-saving opportunities to the party that actually realizes them, including origination, settlement, redemption, FX service, treasury/liquidity, connectivity, reconciliation, reporting and account administration where applicable. Subtract integration, compliance, operational change, legal, capital, risk, support and ongoing technology cost. Identify cases where one party pays but another receives the benefit. Avoid optimistic volume assumptions and avoid making fees or bank incentives influence monetary authorization or reserve treatment. Validate the value proposition through structured interviews and a pilot baseline. If the economics do not work for the first bank, change scope or buyer rather than disguising the deficit.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45 — External Claim and Market-Evidence Register</w:t>
      </w:r>
    </w:p>
    <w:p>
      <w:pPr>
        <w:pStyle w:val="SourceNote"/>
      </w:pPr>
      <w:r>
        <w:rPr>
          <w:b/>
        </w:rPr>
        <w:t xml:space="preserve">Recovery status: </w:t>
      </w:r>
      <w:r>
        <w:t>Reconstructed from the retained sequence summary</w:t>
      </w:r>
    </w:p>
    <w:p>
      <w:pPr>
        <w:pStyle w:val="Heading2"/>
      </w:pPr>
      <w:r>
        <w:t>Copy-ready developer prompt</w:t>
      </w:r>
    </w:p>
    <w:p>
      <w:r>
        <w:t>Create a registry for external claims used in investor, bank, public, regulatory or partner material. For each claim record exact wording, category, source, publication date, observed event date, access date, jurisdiction, method, confidence, expiry/review date and allowed use. Distinguish independently sourced market facts from vendor claims, internal simulations, forecasts, assumptions and customer feedback. Ensure sources support the actual claim rather than a related general statement. Never claim regulator approval, live bank adoption, legal certainty, independent audit, superior speed, guaranteed savings or reserve quality without the right primary evidence. Add automatic review triggers and a pre-publication check. Withdraw or qualify claims when evidence expires or is contradicted.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46 — Pilot Outcome and Moat Validation Engine</w:t>
      </w:r>
    </w:p>
    <w:p>
      <w:pPr>
        <w:pStyle w:val="SourceNote"/>
      </w:pPr>
      <w:r>
        <w:rPr>
          <w:b/>
        </w:rPr>
        <w:t xml:space="preserve">Recovery status: </w:t>
      </w:r>
      <w:r>
        <w:t>Reconstructed from the retained sequence summary</w:t>
      </w:r>
    </w:p>
    <w:p>
      <w:pPr>
        <w:pStyle w:val="Heading2"/>
      </w:pPr>
      <w:r>
        <w:t>Copy-ready developer prompt</w:t>
      </w:r>
    </w:p>
    <w:p>
      <w:r>
        <w:t>Treat the proposed MITHQAL moat as a hypothesis to test, not an established fact. Define observable outcomes for orchestration, finality evidence, counterparty exposure, liquidity coordination, compliance evidence, reconciliation, exception reduction and regulatory replay. Agree with the design partner on a baseline, counterfactual, sample size, measurement window, exclusions and acceptance criteria before the pilot. Separate technical performance from institution-level outcomes and commercial willingness to pay. Record negative results and competing explanations. Determine what finding would falsify the moat and what alternative explains the same benefit. A successful demo validates only that demo; repeatability requires new institutions, corridors or conditions and independent evidence.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47 — Canonical Document Packaging and Structural Normalization</w:t>
      </w:r>
    </w:p>
    <w:p>
      <w:pPr>
        <w:pStyle w:val="SourceNote"/>
      </w:pPr>
      <w:r>
        <w:rPr>
          <w:b/>
        </w:rPr>
        <w:t xml:space="preserve">Recovery status: </w:t>
      </w:r>
      <w:r>
        <w:t>Reconstructed from the retained sequence summary</w:t>
      </w:r>
    </w:p>
    <w:p>
      <w:pPr>
        <w:pStyle w:val="Heading2"/>
      </w:pPr>
      <w:r>
        <w:t>Copy-ready developer prompt</w:t>
      </w:r>
    </w:p>
    <w:p>
      <w:r>
        <w:t>Normalize the document set into a canonical, navigable structure with stable numbering, a definitive table of contents, part/section ownership, version metadata, change log, status legends, glossary, appendices and cross-references. Identify missing parts, duplicate headings, broken references, inconsistent titles and conflicting older releases. Preserve historical copies and mark them as superseded rather than silently deleting or mixing them into active content. Generate the bank-facing packages from controlled sources where possible. Add document hashes and a release manifest. Verify rendered files, page numbering and links after generation. Structural completeness does not prove institutional truth: every substantive claim retains its own evidence status and validation gate.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48 — Implementation Closure Audit Against Prompts 1–47</w:t>
      </w:r>
    </w:p>
    <w:p>
      <w:pPr>
        <w:pStyle w:val="SourceNote"/>
      </w:pPr>
      <w:r>
        <w:rPr>
          <w:b/>
        </w:rPr>
        <w:t xml:space="preserve">Recovery status: </w:t>
      </w:r>
      <w:r>
        <w:t>Reconstructed from the retained sequence summary</w:t>
      </w:r>
    </w:p>
    <w:p>
      <w:pPr>
        <w:pStyle w:val="Heading2"/>
      </w:pPr>
      <w:r>
        <w:t>Copy-ready developer prompt</w:t>
      </w:r>
    </w:p>
    <w:p>
      <w:r>
        <w:t>Audit actual implementation of Prompts 1–47 against the repository and available platform state. For every requirement provide status VERIFIED, PARTIAL, MISSING, FAILED, UNVERIFIABLE or NOT_APPLICABLE, plus exact file/code/config/test/runtime evidence, command and exit status where relevant. Inspect source, schema, migrations, policies, docs, tests, deployment config and runtime outputs. A folder or document named after a prompt is not evidence that the requirement is implemented. Do not accept self-reported completion without verification. Identify contradictions introduced by implementation and distinguish code-complete tasks from external legal/commercial gates. Produce a gap-ranked closure report and no new features until P0 issues are resolved.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49 — Establish v25.3.2 Controlled Baseline and Release Manifest</w:t>
      </w:r>
    </w:p>
    <w:p>
      <w:pPr>
        <w:pStyle w:val="SourceNote"/>
      </w:pPr>
      <w:r>
        <w:rPr>
          <w:b/>
        </w:rPr>
        <w:t xml:space="preserve">Recovery status: </w:t>
      </w:r>
      <w:r>
        <w:t>Reconstructed from the retained sequence summary</w:t>
      </w:r>
    </w:p>
    <w:p>
      <w:pPr>
        <w:pStyle w:val="Heading2"/>
      </w:pPr>
      <w:r>
        <w:t>Copy-ready developer prompt</w:t>
      </w:r>
    </w:p>
    <w:p>
      <w:r>
        <w:t>Create a controlled release manifest for the v25.3.2 baseline. Record commit, branch, tags, hashes, canonical documents, migrations, policy versions, build/test results, open issues, environment assumptions and rollback target. Confirm the release identity against actual repository state; do not stamp a version number onto divergent content. Preserve historical tags and require review for any rewrite. List what is included, excluded, unverified and blocked. Generate a reproducible checksum inventory and a release note that does not overstate readiness. Mark PRODUCTION_AUTHORIZED=false unless the actual external gates have been formally passed. If the repository cannot establish a single known-good baseline, stop and report the ambiguity instead of inventing one.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50 — Build the Institutionalization Control Tower</w:t>
      </w:r>
    </w:p>
    <w:p>
      <w:pPr>
        <w:pStyle w:val="SourceNote"/>
      </w:pPr>
      <w:r>
        <w:rPr>
          <w:b/>
        </w:rPr>
        <w:t xml:space="preserve">Recovery status: </w:t>
      </w:r>
      <w:r>
        <w:t>Reconstructed from the retained sequence summary</w:t>
      </w:r>
    </w:p>
    <w:p>
      <w:pPr>
        <w:pStyle w:val="Heading2"/>
      </w:pPr>
      <w:r>
        <w:t>Copy-ready developer prompt</w:t>
      </w:r>
    </w:p>
    <w:p>
      <w:r>
        <w:t>Create a control tower that shows product, legal, regulatory, bank, custody, data, technical, assurance and commercial readiness in one consistent view. Show next external evidence required, accountable owner, dependency, due date, status, blocker, source artefact and last update. Distinguish internal implementation progress from external institutional validation. Use explicit truth states and do not turn missing status into green. The dashboard should prioritize the next evidence event that changes a gate decision, not the count of prompts or files written. Provide a concise executive view and a drill-down evidence view. The control tower must not independently grant production authority; it displays evidence and decision state only.</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51 — Authority and Trust Truth Model</w:t>
      </w:r>
    </w:p>
    <w:p>
      <w:pPr>
        <w:pStyle w:val="SourceNote"/>
      </w:pPr>
      <w:r>
        <w:rPr>
          <w:b/>
        </w:rPr>
        <w:t xml:space="preserve">Recovery status: </w:t>
      </w:r>
      <w:r>
        <w:t>Reconstructed from the retained sequence summary</w:t>
      </w:r>
    </w:p>
    <w:p>
      <w:pPr>
        <w:pStyle w:val="Heading2"/>
      </w:pPr>
      <w:r>
        <w:t>Copy-ready developer prompt</w:t>
      </w:r>
    </w:p>
    <w:p>
      <w:r>
        <w:t>Implement an authority register showing who is legally empowered to instruct, authorize, execute, confirm, custody, redeem, suspend, change policy, approve a release and resolve exceptions. Tie each authority to primary evidence, scope, jurisdiction, effective date and revocation/expiry. Distinguish a software permission from a legally delegated authority. Separate maker, checker and operator roles for critical actions where feasible. Use pending or unknown when documentary evidence is absent. Ensure service identities and human identities are not conflated. Add tests that reject unauthorized role combinations, expired delegation and missing evidence. Make the register authoritative for application behavior only after its source and governance are approved.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52 — Demonstrate Pilot A with MTQ Disabled</w:t>
      </w:r>
    </w:p>
    <w:p>
      <w:pPr>
        <w:pStyle w:val="SourceNote"/>
      </w:pPr>
      <w:r>
        <w:rPr>
          <w:b/>
        </w:rPr>
        <w:t xml:space="preserve">Recovery status: </w:t>
      </w:r>
      <w:r>
        <w:t>Reconstructed from the retained sequence summary</w:t>
      </w:r>
    </w:p>
    <w:p>
      <w:pPr>
        <w:pStyle w:val="Heading2"/>
      </w:pPr>
      <w:r>
        <w:t>Copy-ready developer prompt</w:t>
      </w:r>
    </w:p>
    <w:p>
      <w:r>
        <w:t>Build a reproducible Pilot A demonstration in which MTQ is explicitly disabled and no real-value asset is moved. Use synthetic or expressly authorized data, clearly labelled in the UI, logs and exported reports. Demonstrate instruction intake, institution/corridor eligibility, policy-based routing, compliance orchestration/evidence, status transitions, reconciliation, exception handling, regulatory replay, safe halt and recovery. Test ordinary completion, compliance failure, routing change, rail outage, mismatch, stale evidence and unauthorized access. Keep each scenario deterministic and repeatable from a documented seed or fixture. Confirm via code and test that mint, transfer and redemption endpoints cannot be called in this mode. Capture a technical evidence pack but do not call it a bank pilot or live settlement.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53 — Define MTQ Extension Gates for Pilot B</w:t>
      </w:r>
    </w:p>
    <w:p>
      <w:pPr>
        <w:pStyle w:val="SourceNote"/>
      </w:pPr>
      <w:r>
        <w:rPr>
          <w:b/>
        </w:rPr>
        <w:t xml:space="preserve">Recovery status: </w:t>
      </w:r>
      <w:r>
        <w:t>Reconstructed from the retained sequence summary</w:t>
      </w:r>
    </w:p>
    <w:p>
      <w:pPr>
        <w:pStyle w:val="Heading2"/>
      </w:pPr>
      <w:r>
        <w:t>Copy-ready developer prompt</w:t>
      </w:r>
    </w:p>
    <w:p>
      <w:r>
        <w:t>Specify the prerequisites for any Pilot B MTQ extension without enabling it prematurely. Require validated legal classification and obligor/redemption responsibility; legally controlled, segregated and settlement-available backing; custody and control agreements; accounting/prudential/tax treatment; jurisdiction/regulatory position; bank contract and liability allocation; technical certification; AML/sanctions execution; reconciliation; cyber/DR controls; and independent assurance appropriate to scope. Define each gate’s evidence and approving authority. A Pilot A demonstration is not proof of these prerequisites. Keep the MTQ module disabled by default and fail-closed when a gate expires or evidence is missing. Do not instruct the developer to mint real value before external approvals and operational controls are established.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54 — Bank Value Proof and Measurement Engine</w:t>
      </w:r>
    </w:p>
    <w:p>
      <w:pPr>
        <w:pStyle w:val="SourceNote"/>
      </w:pPr>
      <w:r>
        <w:rPr>
          <w:b/>
        </w:rPr>
        <w:t xml:space="preserve">Recovery status: </w:t>
      </w:r>
      <w:r>
        <w:t>Reconstructed from the retained sequence summary</w:t>
      </w:r>
    </w:p>
    <w:p>
      <w:pPr>
        <w:pStyle w:val="Heading2"/>
      </w:pPr>
      <w:r>
        <w:t>Copy-ready developer prompt</w:t>
      </w:r>
    </w:p>
    <w:p>
      <w:r>
        <w:t>Implement a controlled measurement framework for bank value proof. Define baseline and target metrics such as processing time, exception rate, reconciliation effort, total cost, liquidity held, failed/returned instructions and operational workload. Obtain bank agreement on definitions, data provenance, sample window and acceptable comparison. Include confidence and missing-data flags. Prevent synthetic benchmarks from being displayed beside real bank data without strong labelling. Separate output metrics from outcomes and from willingness to pay. Produce a measurement report and reproducible calculation workbook/code. Do not claim measured savings until evidence from the agreed test has been reviewed and accepted by the partner.</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55 — Operationalize Corridor Pain Index in the Product</w:t>
      </w:r>
    </w:p>
    <w:p>
      <w:pPr>
        <w:pStyle w:val="SourceNote"/>
      </w:pPr>
      <w:r>
        <w:rPr>
          <w:b/>
        </w:rPr>
        <w:t xml:space="preserve">Recovery status: </w:t>
      </w:r>
      <w:r>
        <w:t>Reconstructed from the retained sequence summary</w:t>
      </w:r>
    </w:p>
    <w:p>
      <w:pPr>
        <w:pStyle w:val="Heading2"/>
      </w:pPr>
      <w:r>
        <w:t>Copy-ready developer prompt</w:t>
      </w:r>
    </w:p>
    <w:p>
      <w:r>
        <w:t>Integrate the Corridor Pain Index into the decision process using controlled definitions, source-backed inputs and transparent scoring. Provide evidence confidence, data freshness, sensitivity and missing-data flags. Let users compare corridors with common criteria and see why a score changed. Include a “not enough reliable data” state and prevent an assumed score from being presented as measured. Keep the choice of corridor subject to commercial, legal, regulatory, bank and technical gates. Store scoring weights as versioned policy with approval metadata. Demonstrate the index on three to five candidates, then document how the choice would change under alternate weights and data assumptions.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56 — Produce the Bank Engagement Pack</w:t>
      </w:r>
    </w:p>
    <w:p>
      <w:pPr>
        <w:pStyle w:val="SourceNote"/>
      </w:pPr>
      <w:r>
        <w:rPr>
          <w:b/>
        </w:rPr>
        <w:t xml:space="preserve">Recovery status: </w:t>
      </w:r>
      <w:r>
        <w:t>Reconstructed from the retained sequence summary</w:t>
      </w:r>
    </w:p>
    <w:p>
      <w:pPr>
        <w:pStyle w:val="Heading2"/>
      </w:pPr>
      <w:r>
        <w:t>Copy-ready developer prompt</w:t>
      </w:r>
    </w:p>
    <w:p>
      <w:r>
        <w:t>Assemble the bank-facing thesis, product brief, pilot spec, integration overview, evidence summary, risks, open legal questions, accounting/prudential issues, security/resilience controls, ROI model, pilot governance and proposed next meeting agenda. Tailor materials to the intended executive, treasury, operations, compliance, legal and technology audiences without changing facts. Clearly identify simulation, design intent, internal test, runtime evidence and external validation. Include the exact ask of the institution and the expected effort, data access and decision milestones. Never imply the bank has agreed to a pilot, endorsed MITHQAL or approved MTQ unless primary written evidence supports that statement.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57 — Govern Runtime Stack Governance: GitHub, Vercel, Inngest, Turso and Neon</w:t>
      </w:r>
    </w:p>
    <w:p>
      <w:pPr>
        <w:pStyle w:val="SourceNote"/>
      </w:pPr>
      <w:r>
        <w:rPr>
          <w:b/>
        </w:rPr>
        <w:t xml:space="preserve">Recovery status: </w:t>
      </w:r>
      <w:r>
        <w:t>Reconstructed from the retained sequence summary</w:t>
      </w:r>
    </w:p>
    <w:p>
      <w:pPr>
        <w:pStyle w:val="Heading2"/>
      </w:pPr>
      <w:r>
        <w:t>Copy-ready developer prompt</w:t>
      </w:r>
    </w:p>
    <w:p>
      <w:r>
        <w:t>Document the real provider architecture, source of truth, responsibilities, trust boundaries and recovery model across GitHub, Vercel, Inngest, Turso and Neon. Assign each service a single role; avoid dual-system ambiguity. Define idempotency keys, transaction boundaries, retries, dead-letter queues, replay, audit events, schema migration, backup/restore and environment separation. Identify where authoritative state lives and how cross-provider failure is reconciled. Verify provider integration from live, authorized evidence rather than environment-variable presence or HTTP success. Store secrets in provider-native secret managers; never hardcode or print them. Prefer a free/low-cost path where feasible but do not promise zero cost or require billing details unless confirmed. Keep production disabled when credentials or runtime validation are absent.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58 — Institutional Critical Path and Gate Order</w:t>
      </w:r>
    </w:p>
    <w:p>
      <w:pPr>
        <w:pStyle w:val="SourceNote"/>
      </w:pPr>
      <w:r>
        <w:rPr>
          <w:b/>
        </w:rPr>
        <w:t xml:space="preserve">Recovery status: </w:t>
      </w:r>
      <w:r>
        <w:t>Reconstructed from the retained sequence summary</w:t>
      </w:r>
    </w:p>
    <w:p>
      <w:pPr>
        <w:pStyle w:val="Heading2"/>
      </w:pPr>
      <w:r>
        <w:t>Copy-ready developer prompt</w:t>
      </w:r>
    </w:p>
    <w:p>
      <w:r>
        <w:t>Implement the critical path in this order: G0 Corporate/Contractual Integrity; G1 Legal Classification; G2 Regulatory Position/Licensing; G3 Bank Engagement; G4 Bank Contract; G5 Bank Technical Integration; G6 Backing/Custody; G7 Controlled Pilot; G8 Independent Assurance; G9 Measured Outcome; G10 Repeatability; G11 Production Authorization Review. Define dependencies and prevent later-stage evidence from bypassing an earlier legal prerequisite. Allow workstreams to progress in parallel only where doing so cannot create misleading claims or unsafe deployment. Make the principal KPI the next external evidence achieved. Show blockers, owners and objective pass criteria. A gate may be PASS, CONDITIONAL, FAIL or NOT_ASSESSED, with no automatic pass based on elapsed time or internal completion.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59 — Create the v25.3.2 Evidence Dossier for Prompts 1–58</w:t>
      </w:r>
    </w:p>
    <w:p>
      <w:pPr>
        <w:pStyle w:val="SourceNote"/>
      </w:pPr>
      <w:r>
        <w:rPr>
          <w:b/>
        </w:rPr>
        <w:t xml:space="preserve">Recovery status: </w:t>
      </w:r>
      <w:r>
        <w:t>Reconstructed from the retained sequence summary</w:t>
      </w:r>
    </w:p>
    <w:p>
      <w:pPr>
        <w:pStyle w:val="Heading2"/>
      </w:pPr>
      <w:r>
        <w:t>Copy-ready developer prompt</w:t>
      </w:r>
    </w:p>
    <w:p>
      <w:r>
        <w:t>Build a forensic evidence dossier showing whether Prompts 1–58 were actually implemented. For each prompt map the requirement to files, commits, configuration, schemas, tests, runtime evidence and any external artefacts. Classify status as VERIFIED, PARTIAL, RECOVERED, MISSING, UNVERIFIABLE, BLOCKED or NOT_APPLICABLE and give the reason. Hash critical files and identify snapshots used for recovery. Distinguish a recreated document from the original source. Include commands and exit codes but redact secret values. Record environment and provider limitations. Do not infer implementation from filenames, TODO comments or developer claims. End with the true deployment, release and production-authority state, plus next steps that depend on actual evidence rather than desired progress.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60 — Build the Reproducible Institutional Demonstration Environment</w:t>
      </w:r>
    </w:p>
    <w:p>
      <w:pPr>
        <w:pStyle w:val="SourceNote"/>
      </w:pPr>
      <w:r>
        <w:rPr>
          <w:b/>
        </w:rPr>
        <w:t xml:space="preserve">Recovery status: </w:t>
      </w:r>
      <w:r>
        <w:t>Reconstructed from the retained sequence summary</w:t>
      </w:r>
    </w:p>
    <w:p>
      <w:pPr>
        <w:pStyle w:val="Heading2"/>
      </w:pPr>
      <w:r>
        <w:t>Copy-ready developer prompt</w:t>
      </w:r>
    </w:p>
    <w:p>
      <w:r>
        <w:t>Create a deterministic environment for Pilot A with MTQ disabled. Package fixtures, versioned scenario definitions, policy snapshots, setup instructions, expected outputs, test commands and evidence capture. Include normal operation, compliance fail, routing change, rail failure, reconciliation mismatch, safe halt, recovery and regulatory replay. Use synthetic or expressly authorized data and label it clearly. Ensure no real money movement, token minting or production credentials are required. Document dependencies and any costs; do not add billing-dependent resources unless necessary and approved. A fresh operator should be able to reproduce the demonstration from the documented baseline. Record observed results and failures without converting them into claims of production validation.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61 — Generate the First Bank Institutional Evaluation Pack</w:t>
      </w:r>
    </w:p>
    <w:p>
      <w:pPr>
        <w:pStyle w:val="SourceNote"/>
      </w:pPr>
      <w:r>
        <w:rPr>
          <w:b/>
        </w:rPr>
        <w:t xml:space="preserve">Recovery status: </w:t>
      </w:r>
      <w:r>
        <w:t>Reconstructed from the retained sequence summary</w:t>
      </w:r>
    </w:p>
    <w:p>
      <w:pPr>
        <w:pStyle w:val="Heading2"/>
      </w:pPr>
      <w:r>
        <w:t>Copy-ready developer prompt</w:t>
      </w:r>
    </w:p>
    <w:p>
      <w:r>
        <w:t>Produce a coordinated institutional evaluation pack: two-page thesis, twenty-page product brief, forty-to-sixty-page pilot specification, technical appendix, legal/regulatory question list, accounting/prudential/tax pack, risk/security/resilience pack, ROI/TCO model, evidence register and unresolved issues. Use one terminology and release baseline. Mark each claim with its truth state and point to its evidence. Make the intended first use case, pilot limits, partner responsibilities, stop criteria and success metrics explicit. Ensure MTQ is optional and excluded from Pilot A. Do not claim institutional acceptance, production authorization, licensing, live backing or independent assurance without primary evidence. Validate references, cross-document consistency and rendered layout before sending outside the organization.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62 — G0 Institutional Entry Gate: Corporate and Contractual Integrity</w:t>
      </w:r>
    </w:p>
    <w:p>
      <w:pPr>
        <w:pStyle w:val="SourceNote"/>
      </w:pPr>
      <w:r>
        <w:rPr>
          <w:b/>
        </w:rPr>
        <w:t xml:space="preserve">Recovery status: </w:t>
      </w:r>
      <w:r>
        <w:t>Reconstructed from the retained sequence summary</w:t>
      </w:r>
    </w:p>
    <w:p>
      <w:pPr>
        <w:pStyle w:val="Heading2"/>
      </w:pPr>
      <w:r>
        <w:t>Copy-ready developer prompt</w:t>
      </w:r>
    </w:p>
    <w:p>
      <w:r>
        <w:t>Create the G0 evidence pack and decision engine. Establish the authoritative entity register, ownership/control graph, authority matrix, contracting entity, bank-facing responsibilities, MTQ obligor/redemption roles, reserve ownership/custody roles, entity boundaries, transition model, executed-instrument reconciliation, IP ownership, data rights, contract authority, liability allocation and escalation. Do not infer legal status from the blueprint or code. If executed documents are unavailable, mark PRIMARY_DOCUMENT_MISSING; if there are conflicting instruments, enumerate each conflict and request counsel resolution. Use evidence states such as VERIFIED_PRIMARY_DOCUMENT, EXECUTED_EXTERNAL_DOCUMENT, INTERNAL_DESIGN, PENDING_PRIMARY_DOCUMENT, PENDING_LEGAL_REVIEW and UNKNOWN. Output PASS, CONDITIONAL or FAIL with reasons, sign-off provenance and outstanding blockers. Never create a fictional legal fact to achieve PASS.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63 — G1 Pilot-Jurisdiction Legal Pack</w:t>
      </w:r>
    </w:p>
    <w:p>
      <w:pPr>
        <w:pStyle w:val="SourceNote"/>
      </w:pPr>
      <w:r>
        <w:rPr>
          <w:b/>
        </w:rPr>
        <w:t xml:space="preserve">Recovery status: </w:t>
      </w:r>
      <w:r>
        <w:t>Reconstructed from the retained sequence summary</w:t>
      </w:r>
    </w:p>
    <w:p>
      <w:pPr>
        <w:pStyle w:val="Heading2"/>
      </w:pPr>
      <w:r>
        <w:t>Copy-ready developer prompt</w:t>
      </w:r>
    </w:p>
    <w:p>
      <w:r>
        <w:t>Prepare a jurisdiction comparison for the proposed pilot, based on actual corridor and institution requirements. Identify questions for qualified local counsel on licensing, payment/settlement regulation, stored value/token characterization, custody, insolvency, AML/sanctions, data, tax, outsourcing, consumer exclusion and enforceability of finality. Cite current primary legal/regulatory sources in research notes, but distinguish those notes from legal advice. Compare candidate jurisdictions using a transparent matrix of uncertainty, required approvals, institution presence, cost/time dependencies and blockers. Keep every jurisdiction JURISDICTION_PENDING until counsel and required institutional evidence confirm status. Do not turn public-material research or a seeded registry entry into authorization. Provide a counsel-ready scope and list documents counsel needs to review.</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64 — Choose the First Corridor with Evidence, Not Intuition</w:t>
      </w:r>
    </w:p>
    <w:p>
      <w:pPr>
        <w:pStyle w:val="SourceNote"/>
      </w:pPr>
      <w:r>
        <w:rPr>
          <w:b/>
        </w:rPr>
        <w:t xml:space="preserve">Recovery status: </w:t>
      </w:r>
      <w:r>
        <w:t>Reconstructed from the retained sequence summary</w:t>
      </w:r>
    </w:p>
    <w:p>
      <w:pPr>
        <w:pStyle w:val="Heading2"/>
      </w:pPr>
      <w:r>
        <w:t>Copy-ready developer prompt</w:t>
      </w:r>
    </w:p>
    <w:p>
      <w:r>
        <w:t>Evaluate three to five candidate corridors through the Corridor Pain Index and institutional feasibility constraints. Compare measured friction, volume, cost, delay, FX transparency, liquidity, exception handling, legal classification, bank/custodian readiness, compliance requirements, data access and potential value. Tag inputs MEASURED, EXTERNAL_SOURCE, ASSUMED or UNKNOWN, with dates and citations. Separate commercial attractiveness from feasibility: a high-pain corridor is not viable if legal, banking, custody or rail dependencies cannot be validated. Run sensitivity analysis and document reasons for selecting or rejecting each option. Recommend no corridor where evidence is too weak. Output the required external validation sequence for the leading candidates.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65 — Create the Design-Partner Bank Pipeline</w:t>
      </w:r>
    </w:p>
    <w:p>
      <w:pPr>
        <w:pStyle w:val="SourceNote"/>
      </w:pPr>
      <w:r>
        <w:rPr>
          <w:b/>
        </w:rPr>
        <w:t xml:space="preserve">Recovery status: </w:t>
      </w:r>
      <w:r>
        <w:t>Reconstructed from the retained sequence summary</w:t>
      </w:r>
    </w:p>
    <w:p>
      <w:pPr>
        <w:pStyle w:val="Heading2"/>
      </w:pPr>
      <w:r>
        <w:t>Copy-ready developer prompt</w:t>
      </w:r>
    </w:p>
    <w:p>
      <w:r>
        <w:t>Build a targeted design-partner pipeline with fit criteria, named accountable owner, source of lead, problem hypothesis, required capabilities, integration readiness, regulatory appetite and next action. Use the stages RESEARCHED → TARGET → CONTACTED → QUALIFIED → EXECUTIVE_INTEREST → ARCHITECTURE_REVIEW → LEGAL_REVIEW → PILOT_DESIGN → COMMERCIAL_REVIEW → PILOT_NEGOTIATION → CONTRACTED → PILOT_ACTIVE → MEASURED → REPEATABLE. Define evidence required for each transition; never promote a prospect based on a speculative assumption or an unanswered email. Capture discovery notes and the bank’s own pain metrics, data availability, buying process and objections. Protect confidential bank information. Report funnel conversion and next external evidence, not vanity outreach counts.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66 — Prepare the External Legal Counsel Briefing</w:t>
      </w:r>
    </w:p>
    <w:p>
      <w:pPr>
        <w:pStyle w:val="SourceNote"/>
      </w:pPr>
      <w:r>
        <w:rPr>
          <w:b/>
        </w:rPr>
        <w:t xml:space="preserve">Recovery status: </w:t>
      </w:r>
      <w:r>
        <w:t>Reconstructed from sequence hints; exact original wording not found</w:t>
      </w:r>
    </w:p>
    <w:p>
      <w:pPr>
        <w:pStyle w:val="Heading2"/>
      </w:pPr>
      <w:r>
        <w:t>Copy-ready developer prompt</w:t>
      </w:r>
    </w:p>
    <w:p>
      <w:r>
        <w:t>Create a counsel-ready briefing that asks for scoped legal analysis rather than an endorsement. Include current entity and ownership evidence; all available executed instruments; intended services and transaction flows; proposed legal obligor and redemption mechanics; backing and custody model; jurisdiction choices; participant classes; data flows; failure/insolvency scenarios; MTQ optionality; pilot limits; and unresolved contradictions. Separate factual evidence, internal design, hypotheses and questions. Ask counsel to identify the relevant legal regimes, licensing/registration triggers, enforceability, insolvency treatment, finality rules, custody/segregation, AML/sanctions duties and required contractual structure. Do not preselect a favorable answer. Create an issue log with document requests, responsible party, urgency and status. The output is a briefing for legal advice, not a legal opinion.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67 — Prepare the Bank Executive Evaluation Package</w:t>
      </w:r>
    </w:p>
    <w:p>
      <w:pPr>
        <w:pStyle w:val="SourceNote"/>
      </w:pPr>
      <w:r>
        <w:rPr>
          <w:b/>
        </w:rPr>
        <w:t xml:space="preserve">Recovery status: </w:t>
      </w:r>
      <w:r>
        <w:t>Reconstructed from sequence hints; exact original wording not found</w:t>
      </w:r>
    </w:p>
    <w:p>
      <w:pPr>
        <w:pStyle w:val="Heading2"/>
      </w:pPr>
      <w:r>
        <w:t>Copy-ready developer prompt</w:t>
      </w:r>
    </w:p>
    <w:p>
      <w:r>
        <w:t>Build an executive-ready pack for a prospective bank design partner. Explain the problem, control-plane solution, why it can coexist with existing rails and settlement assets, what Pilot A proves, what it deliberately does not prove, the proposed narrow corridor, expected bank effort, security/data boundaries, measurement plan and decisions requested. Show the economic thesis without invented savings or adoption claims. Include principal risks, external dependencies, open legal issues and an explicit no-real-value/no-MTQ Pilot A boundary. Make the ask specific: sponsor, discovery session, baseline-data discussion, architecture review or permission to scope a pilot. Give each claim an evidence label. Do not imply partnership, approval or contract unless verified by primary evidence.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68 — Run a Technical Bank Workshop</w:t>
      </w:r>
    </w:p>
    <w:p>
      <w:pPr>
        <w:pStyle w:val="SourceNote"/>
      </w:pPr>
      <w:r>
        <w:rPr>
          <w:b/>
        </w:rPr>
        <w:t xml:space="preserve">Recovery status: </w:t>
      </w:r>
      <w:r>
        <w:t>Reconstructed from sequence hints; exact original wording not found</w:t>
      </w:r>
    </w:p>
    <w:p>
      <w:pPr>
        <w:pStyle w:val="Heading2"/>
      </w:pPr>
      <w:r>
        <w:t>Copy-ready developer prompt</w:t>
      </w:r>
    </w:p>
    <w:p>
      <w:r>
        <w:t>Prepare and conduct a structured technical workshop with an interested bank only when one exists. Cover participant/system boundaries, instructions, identity and authorization, asset/rail adapters, finality states, data contracts, security, event handling, retries, idempotency, reconciliation, incident management, audit evidence, integration effort and exit/rollback. Use diagrams that distinguish current capability from target design and simulation. Capture the bank’s system requirements, constraints, unresolved questions, owners and evidence needed. Do not request sensitive production secrets or data through chat or shared documents; use approved secure channels. Record the workshop as exploratory until the bank formally states otherwise. Produce a requirements traceability matrix and decision log for follow-up.</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69 — Draft a Controlled Pilot Term Sheet</w:t>
      </w:r>
    </w:p>
    <w:p>
      <w:pPr>
        <w:pStyle w:val="SourceNote"/>
      </w:pPr>
      <w:r>
        <w:rPr>
          <w:b/>
        </w:rPr>
        <w:t xml:space="preserve">Recovery status: </w:t>
      </w:r>
      <w:r>
        <w:t>Reconstructed from sequence hints; exact original wording not found</w:t>
      </w:r>
    </w:p>
    <w:p>
      <w:pPr>
        <w:pStyle w:val="Heading2"/>
      </w:pPr>
      <w:r>
        <w:t>Copy-ready developer prompt</w:t>
      </w:r>
    </w:p>
    <w:p>
      <w:r>
        <w:t>Prepare a non-binding term-sheet draft for counsel and counterparties to review. Define scope, participants, jurisdiction, corridor, asset/rail model, data, pilot duration, volumes/limits, test versus real-value status, service responsibilities, fees/cost allocation, success metrics, operational support, incident handling, liability, insurance, confidentiality, IP, data use, audit, suspension, termination, dispute process and transition. Make conditions precedent explicit, including legal/regulatory status, bank approval, technical certification, custody/backing arrangements and security review. Separate terms for Pilot A from any later MTQ-enabled phase. Mark DRAFT / NON-BINDING / NOT EXECUTED as appropriate. Do not state that a term sheet exists or has been accepted until an executed or otherwise authoritative record confirms it.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70 — Define Independent Assurance Scope</w:t>
      </w:r>
    </w:p>
    <w:p>
      <w:pPr>
        <w:pStyle w:val="SourceNote"/>
      </w:pPr>
      <w:r>
        <w:rPr>
          <w:b/>
        </w:rPr>
        <w:t xml:space="preserve">Recovery status: </w:t>
      </w:r>
      <w:r>
        <w:t>Reconstructed from sequence hints; exact original wording not found</w:t>
      </w:r>
    </w:p>
    <w:p>
      <w:pPr>
        <w:pStyle w:val="Heading2"/>
      </w:pPr>
      <w:r>
        <w:t>Copy-ready developer prompt</w:t>
      </w:r>
    </w:p>
    <w:p>
      <w:r>
        <w:t>Prepare a request for proposals/scope for an appropriately independent technical and institutional assurance provider. Include threat model, code and dependency review, API and authorization flows, key management, cloud/provider configuration, ledger integrity, idempotency, replay, failure recovery, access controls, logging, data handling, resilience and the evidence semantics for critical claims. Separate technical security review from financial audit, legal opinion, regulatory approval and operational certification. Define access, environment, deliverables, severity levels, remediation and retest. Avoid describing an audit as completed or independent before an engagement and report exist. If no budget or provider is secured, present a staged scope with cost dependencies and explicitly state that assurance remains pending.</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71 — Execute Pilot A as a Controlled Demonstration</w:t>
      </w:r>
    </w:p>
    <w:p>
      <w:pPr>
        <w:pStyle w:val="SourceNote"/>
      </w:pPr>
      <w:r>
        <w:rPr>
          <w:b/>
        </w:rPr>
        <w:t xml:space="preserve">Recovery status: </w:t>
      </w:r>
      <w:r>
        <w:t>Reconstructed from sequence hints; exact original wording not found</w:t>
      </w:r>
    </w:p>
    <w:p>
      <w:pPr>
        <w:pStyle w:val="Heading2"/>
      </w:pPr>
      <w:r>
        <w:t>Copy-ready developer prompt</w:t>
      </w:r>
    </w:p>
    <w:p>
      <w:r>
        <w:t>Run Pilot A only in a clearly identified test/demo environment with MTQ disabled, synthetic or expressly authorized data and no unauthorized movement of real value. Follow the approved scenario plan: normal instruction, eligibility rejection, compliance failure, routing change, provider/rail outage, reconciliation mismatch, safe halt, recovery and replay. Record build and configuration identity, test inputs, expected and actual results, logs, timings, exceptions and evidence hashes. Reproduce every result from a clean setup. Stop and escalate on a safety invariant violation. Distinguish an internal demonstration from a bank-observed evaluation or contracted pilot. End with an evidence dossier and open-defect list, not a broad production-readiness assertion.</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72 — Measure Pilot Outcomes and Decide the Next Gate</w:t>
      </w:r>
    </w:p>
    <w:p>
      <w:pPr>
        <w:pStyle w:val="SourceNote"/>
      </w:pPr>
      <w:r>
        <w:rPr>
          <w:b/>
        </w:rPr>
        <w:t xml:space="preserve">Recovery status: </w:t>
      </w:r>
      <w:r>
        <w:t>Reconstructed from sequence hints; exact original wording not found</w:t>
      </w:r>
    </w:p>
    <w:p>
      <w:pPr>
        <w:pStyle w:val="Heading2"/>
      </w:pPr>
      <w:r>
        <w:t>Copy-ready developer prompt</w:t>
      </w:r>
    </w:p>
    <w:p>
      <w:r>
        <w:t>Compare Pilot A observations against pre-agreed baseline and success criteria. Report each metric’s definition, source, sample size, environment, uncertainty, excluded cases and limitation. Separate execution correctness, evidence quality, operational utility, economic value and customer willingness to proceed. Include failures and negative findings. Do not extrapolate simulation or a small demo to a bank-wide production effect. Produce PASS, CONDITIONAL, FAIL or INCONCLUSIVE per criterion and document who reviewed the result. Recommend only the next justified step, which may be remediation, a bank discovery workshop, a revised pilot or stopping. Pilot A cannot authorize Pilot B or production use.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73 — Reconcile G0 Evidence and Institutional Readiness</w:t>
      </w:r>
    </w:p>
    <w:p>
      <w:pPr>
        <w:pStyle w:val="SourceNote"/>
      </w:pPr>
      <w:r>
        <w:rPr>
          <w:b/>
        </w:rPr>
        <w:t xml:space="preserve">Recovery status: </w:t>
      </w:r>
      <w:r>
        <w:t>Reconstructed from sequence hints; exact original wording not found</w:t>
      </w:r>
    </w:p>
    <w:p>
      <w:pPr>
        <w:pStyle w:val="Heading2"/>
      </w:pPr>
      <w:r>
        <w:t>Copy-ready developer prompt</w:t>
      </w:r>
    </w:p>
    <w:p>
      <w:r>
        <w:t>Reconcile the corporate/contractual evidence accumulated through the G0 workstream. Verify primary-document provenance, signatures, effective dates, current status, entity names, authority to sign, ownership/control, conflict resolutions, IP/data rights and role allocation. Link every accepted fact to its actual document and reviewer. Do not treat generated summaries as primary proof. Where the evidence is counsel-reviewed, preserve the exact scope and limits of that review; do not broaden it into a general legal approval. Report whether G0 is PASS, CONDITIONAL or FAIL, and enumerate the evidence supporting each criterion. If primary documents or independent confirmation are absent, retain the relevant blocker and make no automatic pass.</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74 — Reconcile External Evidence, Secrets and Provider Readiness</w:t>
      </w:r>
    </w:p>
    <w:p>
      <w:pPr>
        <w:pStyle w:val="SourceNote"/>
      </w:pPr>
      <w:r>
        <w:rPr>
          <w:b/>
        </w:rPr>
        <w:t xml:space="preserve">Recovery status: </w:t>
      </w:r>
      <w:r>
        <w:t>Reconstructed from sequence hints; exact original wording not found</w:t>
      </w:r>
    </w:p>
    <w:p>
      <w:pPr>
        <w:pStyle w:val="Heading2"/>
      </w:pPr>
      <w:r>
        <w:t>Copy-ready developer prompt</w:t>
      </w:r>
    </w:p>
    <w:p>
      <w:r>
        <w:t>Audit the operational evidence for GitHub, Vercel, Inngest, Turso and Neon without exposing secrets. Verify repository/commit identity, deployment state, event signing and delivery, database connectivity/permissions, schema version, migrations, logs, recovery and end-to-end behavior from authorized provider interfaces. Distinguish VERIFIED, UNVERIFIABLE, BLOCKED and FAILED by provider. Environment-variable presence alone is not connectivity proof. If credentials have been pasted into chat, source files, logs or reports, treat them as compromised, revoke/rotate them and store replacements in secure provider-native managers. Do not request secrets in public chat. Keep deployment blocked when missing credentials prevent meaningful verification or when E2E evidence is absent.</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75 — Issue the Pre-Forensic Readiness and Continuity Checkpoint</w:t>
      </w:r>
    </w:p>
    <w:p>
      <w:pPr>
        <w:pStyle w:val="SourceNote"/>
      </w:pPr>
      <w:r>
        <w:rPr>
          <w:b/>
        </w:rPr>
        <w:t xml:space="preserve">Recovery status: </w:t>
      </w:r>
      <w:r>
        <w:t>Reconstructed from sequence hints; exact original wording not found</w:t>
      </w:r>
    </w:p>
    <w:p>
      <w:pPr>
        <w:pStyle w:val="Heading2"/>
      </w:pPr>
      <w:r>
        <w:t>Copy-ready developer prompt</w:t>
      </w:r>
    </w:p>
    <w:p>
      <w:r>
        <w:t>Produce a checkpoint before proceeding to the next major workstream. Summarize the known-good commit and release, exact prompt coverage, lost or missing artefacts, backups/snapshots, external gate state, credential quarantine, provider harmony, build/test status, deployment status, production authorization and next external evidence. Identify recoverable versus nonrecoverable records. Preserve branch/tag history and last-known-good manifests. Avoid force-pushes, destructive migrations or unapproved database operations. Establish a reproducible recovery path and assign owners for gaps. The checkpoint is a factual report of present evidence, not a declaration of institutional or production readiness. Recommend the next action based on blockers and dependency order, not on the prompt number alone.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76 — Forensic Recovery and Integration Certification</w:t>
      </w:r>
    </w:p>
    <w:p>
      <w:pPr>
        <w:pStyle w:val="SourceNote"/>
      </w:pPr>
      <w:r>
        <w:rPr>
          <w:b/>
        </w:rPr>
        <w:t xml:space="preserve">Recovery status: </w:t>
      </w:r>
      <w:r>
        <w:t>Reconstructed from the retained Prompt 76 output; exact original prompt not found</w:t>
      </w:r>
    </w:p>
    <w:p>
      <w:pPr>
        <w:pStyle w:val="Heading2"/>
      </w:pPr>
      <w:r>
        <w:t>Copy-ready developer prompt</w:t>
      </w:r>
    </w:p>
    <w:p>
      <w:r>
        <w:t>Perform a forensic recovery and integration-certification audit across Prompts 1 through the latest available checkpoint. Preserve before-state snapshots and write immutable/read-only audit outputs where possible. Search repository history, branches, tags, reflogs, stashes, build artefacts, project snapshots and available platform archives for missing prompt directories and evidence, including Prompts 62–69. State which items are truly missing and nonrecoverable versus merely not found in the searched sources. Validate JSON and document structure, lint/build status, commit identity, release manifest, secrets quarantine, provider verification, database/runtime access and end-to-end tests. Report truthful states for loss, secrets, deployment, provider harmony, build mode, release and production authorization. Do not restore missing originals by silently substituting invented text. Do not enable production. Record exact search scope, limitations and hashes; use recovered copies only when identity/provenance is defensible.</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p>
      <w:r>
        <w:br w:type="page"/>
      </w:r>
    </w:p>
    <w:p>
      <w:pPr>
        <w:pStyle w:val="Heading1"/>
      </w:pPr>
      <w:r>
        <w:t>PROMPT 77 — Credential Quarantine, Prompt Recovery and Provider Restoration</w:t>
      </w:r>
    </w:p>
    <w:p>
      <w:pPr>
        <w:pStyle w:val="SourceNote"/>
      </w:pPr>
      <w:r>
        <w:rPr>
          <w:b/>
        </w:rPr>
        <w:t xml:space="preserve">Recovery status: </w:t>
      </w:r>
      <w:r>
        <w:t>Reconstructed from the retained Prompt 77 description; exact original prompt not found</w:t>
      </w:r>
    </w:p>
    <w:p>
      <w:pPr>
        <w:pStyle w:val="Heading2"/>
      </w:pPr>
      <w:r>
        <w:t>Copy-ready developer prompt</w:t>
      </w:r>
    </w:p>
    <w:p>
      <w:r>
        <w:t>Treat all credentials exposed in chat, prompts, source, logs, screenshots or audit artefacts as compromised. Quarantine them immediately, revoke/rotate at each provider, use least-privilege replacements, and store new values only in provider-native secret managers or an approved secure vault. Never echo values into logs, reports, generated code, frontend bundles or this conversation. Inventory secret names and status only; mask all values. Search Git history, branches, tags, reflogs, stashes, build outputs, platform history, project snapshots, conversation attachments and archives for the original Prompts 62–69. Recover exact originals first; if impossible, create clearly labelled reconstructions and never claim verbatim recovery. Re-audit Prompts 1–latest, provider harmony across GitHub/Vercel/Inngest/Turso/Neon, database permissions, build/lint/tests, idempotency/retries/DLQ/replay, deployment, rollback, cost controls and MTQ-disabled behavior. Do not force-push, destructively alter databases, add unnecessary billing dependencies or authorize production. Produce a forensic report, recovery manifest, secret-rotation status, provider status matrix, residual-risk list and next external evidence required.</w:t>
      </w:r>
    </w:p>
    <w:p>
      <w:pPr>
        <w:pStyle w:val="Heading3"/>
      </w:pPr>
      <w:r>
        <w:t>Shared execution guardrails</w:t>
      </w:r>
    </w:p>
    <w:p>
      <w:r>
        <w:t>Shared execution guardrails: Inspect the actual current repository and runtime before acting; do not assume prior claims are true. Preserve history and known-good recovery points. Do not invent legal facts, institutional endorsements, external evidence, credentials, live test results or provider status. Keep secrets out of source, documents, logs, frontend bundles and chat; use placeholders and secure secret managers. Distinguish internal design, simulation, automated tests, live runtime observations and independent/external validation. Do not claim legal/regulatory approval or production authorization unless supported by primary evidence and an authorized gate decision. Make changes minimally, test them, report exact evidence and limitations, and stop safely when critical prerequisites are missing.</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A737E"/>
        <w:sz w:val="16"/>
      </w:rPr>
      <w:t xml:space="preserve">RECONSTRUCTED WORKING EDITION  •  NOT A VERBATIM CHAT EXPORT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6A737E"/>
        <w:sz w:val="16"/>
      </w:rPr>
      <w:t>MITHQAL  |  PROMPT RECOVERY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E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946B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E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1A2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Aptos" w:hAnsi="Aptos"/>
      <w:i/>
      <w:color w:val="646C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MITHQAL Prompts 1–77 — Recovered &amp; Reconstructed Working Edition</dc:title>
  <dc:subject>Best-effort reconstruction of institutional remediation prompts</dc:subject>
  <dc:creator>OpenAI</dc:creator>
  <cp:keywords>MITHQAL, prompts, reconstruction, institutional settlement, audit</cp:keywords>
  <dc:description>Not a verbatim archive; original exact prompts were unavailable for many entries.</dc:description>
  <cp:lastModifiedBy/>
  <cp:revision>1</cp:revision>
  <dcterms:created xsi:type="dcterms:W3CDTF">2013-12-23T23:15:00Z</dcterms:created>
  <dcterms:modified xsi:type="dcterms:W3CDTF">2013-12-23T23:15:00Z</dcterms:modified>
  <cp:category/>
</cp:coreProperties>
</file>