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mithqal-master-blueprint"/>
    <w:p>
      <w:pPr>
        <w:pStyle w:val="Heading1"/>
      </w:pPr>
      <w:r>
        <w:t xml:space="preserve">MITHQAL — MASTER BLUEPRINT</w:t>
      </w:r>
    </w:p>
    <w:bookmarkStart w:id="20" w:name="version-v25.2-final-controlling"/>
    <w:p>
      <w:pPr>
        <w:pStyle w:val="Heading2"/>
      </w:pPr>
      <w:r>
        <w:t xml:space="preserve">Version: v25.2 (FINAL — CONTROLLING)</w:t>
      </w:r>
    </w:p>
    <w:bookmarkEnd w:id="20"/>
    <w:bookmarkStart w:id="21" w:name="date-2026-08-22"/>
    <w:p>
      <w:pPr>
        <w:pStyle w:val="Heading2"/>
      </w:pPr>
      <w:r>
        <w:t xml:space="preserve">Date: 2026-08-22</w:t>
      </w:r>
    </w:p>
    <w:bookmarkEnd w:id="21"/>
    <w:bookmarkStart w:id="22" w:name="X45a13b88522cbe22aba37726bc2700d990930cf"/>
    <w:p>
      <w:pPr>
        <w:pStyle w:val="Heading2"/>
      </w:pPr>
      <w:r>
        <w:t xml:space="preserve">Status: APPROVED CANDIDATE FOR CONTROLLED TESTING — NOT PRODUCTION-AUTHORIZED</w:t>
      </w:r>
    </w:p>
    <w:p>
      <w:r>
        <w:pict>
          <v:rect style="width:0;height:1.5pt" o:hralign="center" o:hrstd="t" o:hr="t"/>
        </w:pict>
      </w:r>
    </w:p>
    <w:bookmarkEnd w:id="22"/>
    <w:bookmarkStart w:id="27" w:name="executive-summary"/>
    <w:p>
      <w:pPr>
        <w:pStyle w:val="Heading2"/>
      </w:pPr>
      <w:r>
        <w:t xml:space="preserve">0. EXECUTIVE SUMMARY</w:t>
      </w:r>
    </w:p>
    <w:p>
      <w:pPr>
        <w:pStyle w:val="FirstParagraph"/>
      </w:pPr>
      <w:r>
        <w:t xml:space="preserve">MITHQAL is a</w:t>
      </w:r>
      <w:r>
        <w:t xml:space="preserve"> </w:t>
      </w:r>
      <w:r>
        <w:rPr>
          <w:b/>
          <w:bCs/>
        </w:rPr>
        <w:t xml:space="preserve">Constitutional Monetary and Institutional Settlement Infrastructure</w:t>
      </w:r>
      <w:r>
        <w:t xml:space="preserve"> </w:t>
      </w:r>
      <w:r>
        <w:t xml:space="preserve">— a neutral, fully-reserved, gold-anchored settlement system designed for institutional cross-border trade settlement. It is not a cryptocurrency, a retail payment app, a bank, a central bank, a deposit-taking institution, an investment fund, or a speculative vehicle.</w:t>
      </w:r>
    </w:p>
    <w:p>
      <w:pPr>
        <w:pStyle w:val="BodyText"/>
      </w:pPr>
      <w:r>
        <w:t xml:space="preserve">MITHQAL operates</w:t>
      </w:r>
      <w:r>
        <w:t xml:space="preserve"> </w:t>
      </w:r>
      <w:r>
        <w:rPr>
          <w:b/>
          <w:bCs/>
        </w:rPr>
        <w:t xml:space="preserve">beside</w:t>
      </w:r>
      <w:r>
        <w:t xml:space="preserve"> </w:t>
      </w:r>
      <w:r>
        <w:t xml:space="preserve">existing banking infrastructure through the</w:t>
      </w:r>
      <w:r>
        <w:t xml:space="preserve"> </w:t>
      </w:r>
      <w:r>
        <w:rPr>
          <w:b/>
          <w:bCs/>
        </w:rPr>
        <w:t xml:space="preserve">MITHQAL Bank Gateway (MBG)</w:t>
      </w:r>
      <w:r>
        <w:t xml:space="preserve">, which follows the principle of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TRANSLATION, NOT TRANSFORMATION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— bank systems remain authoritative.</w:t>
      </w:r>
    </w:p>
    <w:bookmarkStart w:id="23" w:name="current-architecture-v25.2-controlling"/>
    <w:p>
      <w:pPr>
        <w:pStyle w:val="Heading3"/>
      </w:pPr>
      <w:r>
        <w:t xml:space="preserve">Current Architecture (§V25.2 — Controlling)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reserve coverage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composition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80% fiat / 18% gold / 2%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resilience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≤15% (separate, non-double-counted)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reserve currencies + 10 settlement-only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Per-currency hard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(preferred 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 effective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(direct + AED/SAR peg + synthetic + digital)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(corridor 15-25%)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(SDC ≤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normal, ≤3% operational, 5% max, 0% 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layers enforced at code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0/13 passed (all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authorized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</w:p>
        </w:tc>
      </w:tr>
    </w:tbl>
    <w:bookmarkEnd w:id="23"/>
    <w:bookmarkStart w:id="24" w:name="honest-state"/>
    <w:p>
      <w:pPr>
        <w:pStyle w:val="Heading3"/>
      </w:pPr>
      <w:r>
        <w:t xml:space="preserve">Honest State</w:t>
      </w:r>
    </w:p>
    <w:p>
      <w:pPr>
        <w:pStyle w:val="FirstParagraph"/>
      </w:pPr>
      <w:r>
        <w:t xml:space="preserve">MITHQAL is</w:t>
      </w:r>
      <w:r>
        <w:t xml:space="preserve"> </w:t>
      </w:r>
      <w:r>
        <w:rPr>
          <w:b/>
          <w:bCs/>
        </w:rPr>
        <w:t xml:space="preserve">honest</w:t>
      </w:r>
      <w:r>
        <w:t xml:space="preserve">: the system is designed, implemented, and tested at the code level.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production-authorized. Zero jurisdictions are validated. Zero licenses are obtained. Zero banks are contracted. The reserve policy is a</w:t>
      </w:r>
      <w:r>
        <w:t xml:space="preserve"> </w:t>
      </w:r>
      <w:r>
        <w:rPr>
          <w:b/>
          <w:bCs/>
        </w:rPr>
        <w:t xml:space="preserve">CANDIDATE pending quantitative validation</w:t>
      </w:r>
      <w:r>
        <w:t xml:space="preserve">.</w:t>
      </w:r>
    </w:p>
    <w:bookmarkEnd w:id="24"/>
    <w:bookmarkStart w:id="25" w:name="organizational-structure"/>
    <w:p>
      <w:pPr>
        <w:pStyle w:val="Heading3"/>
      </w:pPr>
      <w:r>
        <w:t xml:space="preserve">Organizational Structure</w:t>
      </w:r>
    </w:p>
    <w:p>
      <w:pPr>
        <w:pStyle w:val="SourceCode"/>
      </w:pPr>
      <w:r>
        <w:rPr>
          <w:rStyle w:val="VerbatimChar"/>
        </w:rPr>
        <w:t xml:space="preserve">MITHQAL FOUNDATION (Independent Nonprofit — Constitutional Steward)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MITHQAL HOLDING COMPANY (For-Profit — Owns Operating + Technology)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MITHQAL OPERATING COMPANY (Institutional/Commercial Operations)</w:t>
      </w:r>
      <w:r>
        <w:br/>
      </w:r>
      <w:r>
        <w:rPr>
          <w:rStyle w:val="VerbatimChar"/>
        </w:rPr>
        <w:t xml:space="preserve">    │       └── Monetary &amp; Reserve Control Division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MITHQAL TECHNOLOGY COMPANY (Technology Infrastructure)</w:t>
      </w:r>
      <w:r>
        <w:br/>
      </w:r>
      <w:r>
        <w:rPr>
          <w:rStyle w:val="VerbatimChar"/>
        </w:rPr>
        <w:t xml:space="preserve">            ├── MITHQAL Core</w:t>
      </w:r>
      <w:r>
        <w:br/>
      </w:r>
      <w:r>
        <w:rPr>
          <w:rStyle w:val="VerbatimChar"/>
        </w:rPr>
        <w:t xml:space="preserve">            ├── MBG</w:t>
      </w:r>
      <w:r>
        <w:br/>
      </w:r>
      <w:r>
        <w:rPr>
          <w:rStyle w:val="VerbatimChar"/>
        </w:rPr>
        <w:t xml:space="preserve">            ├── Ledger</w:t>
      </w:r>
      <w:r>
        <w:br/>
      </w:r>
      <w:r>
        <w:rPr>
          <w:rStyle w:val="VerbatimChar"/>
        </w:rPr>
        <w:t xml:space="preserve">            ├── APIs</w:t>
      </w:r>
      <w:r>
        <w:br/>
      </w:r>
      <w:r>
        <w:rPr>
          <w:rStyle w:val="VerbatimChar"/>
        </w:rPr>
        <w:t xml:space="preserve">            └── Security</w:t>
      </w:r>
    </w:p>
    <w:bookmarkEnd w:id="25"/>
    <w:bookmarkStart w:id="26" w:name="disclaimer"/>
    <w:p>
      <w:pPr>
        <w:pStyle w:val="Heading3"/>
      </w:pPr>
      <w:r>
        <w:t xml:space="preserve">Disclaimer</w:t>
      </w:r>
    </w:p>
    <w:p>
      <w:pPr>
        <w:pStyle w:val="FirstParagraph"/>
      </w:pPr>
      <w:r>
        <w:rPr>
          <w:b/>
          <w:bCs/>
        </w:rPr>
        <w:t xml:space="preserve">CONTROLLED INSTITUTIONAL DOCUMENT • NOT A LICENSE • NOT A LEGAL OPINION.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ission-vision-strategic-objective"/>
    <w:p>
      <w:pPr>
        <w:pStyle w:val="Heading2"/>
      </w:pPr>
      <w:r>
        <w:t xml:space="preserve">1. MISSION, VISION &amp; STRATEGIC OBJECTIVE</w:t>
      </w:r>
    </w:p>
    <w:bookmarkStart w:id="28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To provide a neutral, fully-reserved, gold-anchored settlement infrastructure that enables institutional cross-border trade settlement without requiring banks to replace their core banking systems.</w:t>
      </w:r>
    </w:p>
    <w:bookmarkEnd w:id="28"/>
    <w:bookmarkStart w:id="29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A world where international trade settlement is neutral, verifiable, gold-anchored, and institutionally governed — where no single currency, jurisdiction, or platform dominates settlement.</w:t>
      </w:r>
    </w:p>
    <w:bookmarkEnd w:id="29"/>
    <w:bookmarkStart w:id="30" w:name="strategic-objective"/>
    <w:p>
      <w:pPr>
        <w:pStyle w:val="Heading3"/>
      </w:pPr>
      <w:r>
        <w:t xml:space="preserve">Strategic Objective</w:t>
      </w:r>
    </w:p>
    <w:p>
      <w:pPr>
        <w:pStyle w:val="FirstParagraph"/>
      </w:pPr>
      <w:r>
        <w:t xml:space="preserve">Build. Test. Validate. — MITHQAL seeks regulated institutions, monetary authorities, regulators, infrastructure providers, and independent assurance institutions for controlled technical review, sandbox testing, integration assessment, and pilot design.</w:t>
      </w:r>
    </w:p>
    <w:bookmarkEnd w:id="30"/>
    <w:bookmarkStart w:id="31" w:name="pilot-model"/>
    <w:p>
      <w:pPr>
        <w:pStyle w:val="Heading3"/>
      </w:pPr>
      <w:r>
        <w:t xml:space="preserve">Pilot Model</w:t>
      </w:r>
    </w:p>
    <w:p>
      <w:pPr>
        <w:pStyle w:val="FirstParagraph"/>
      </w:pPr>
      <w:r>
        <w:t xml:space="preserve">The initial pilot architecture is intentionally constrained:</w:t>
      </w:r>
      <w:r>
        <w:t xml:space="preserve"> </w:t>
      </w:r>
      <w:r>
        <w:t xml:space="preserve">- ONE regulated institution</w:t>
      </w:r>
      <w:r>
        <w:t xml:space="preserve"> </w:t>
      </w:r>
      <w:r>
        <w:t xml:space="preserve">- ONE jurisdiction</w:t>
      </w:r>
      <w:r>
        <w:t xml:space="preserve"> </w:t>
      </w:r>
      <w:r>
        <w:t xml:space="preserve">- ONE corridor</w:t>
      </w:r>
      <w:r>
        <w:t xml:space="preserve"> </w:t>
      </w:r>
      <w:r>
        <w:t xml:space="preserve">- Institutional corporates only</w:t>
      </w:r>
      <w:r>
        <w:t xml:space="preserve"> </w:t>
      </w:r>
      <w:r>
        <w:t xml:space="preserve">- MTQ pass-through settlement (before broader treasury holding)</w:t>
      </w:r>
    </w:p>
    <w:p>
      <w:pPr>
        <w:pStyle w:val="BodyText"/>
      </w:pPr>
      <w:r>
        <w:t xml:space="preserve">Broader treasury holding is outside the initial pilot scope.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nstitutional-principles"/>
    <w:p>
      <w:pPr>
        <w:pStyle w:val="Heading2"/>
      </w:pPr>
      <w:r>
        <w:t xml:space="preserve">2. CONSTITUTIONAL PRINCIPLES</w:t>
      </w:r>
    </w:p>
    <w:bookmarkStart w:id="33" w:name="non-negotiable-invariants"/>
    <w:p>
      <w:pPr>
        <w:pStyle w:val="Heading3"/>
      </w:pPr>
      <w:r>
        <w:t xml:space="preserve">2.1 Non-Negotiable Invariants</w:t>
      </w:r>
    </w:p>
    <w:p>
      <w:pPr>
        <w:pStyle w:val="Compact"/>
        <w:numPr>
          <w:ilvl w:val="0"/>
          <w:numId w:val="1001"/>
        </w:numPr>
      </w:pPr>
      <w:r>
        <w:t xml:space="preserve">MITHQAL does NOT own MTQ backing</w:t>
      </w:r>
    </w:p>
    <w:p>
      <w:pPr>
        <w:pStyle w:val="Compact"/>
        <w:numPr>
          <w:ilvl w:val="0"/>
          <w:numId w:val="1001"/>
        </w:numPr>
      </w:pPr>
      <w:r>
        <w:t xml:space="preserve">MITHQAL does NOT custody MTQ backing by default</w:t>
      </w:r>
    </w:p>
    <w:p>
      <w:pPr>
        <w:pStyle w:val="Compact"/>
        <w:numPr>
          <w:ilvl w:val="0"/>
          <w:numId w:val="1001"/>
        </w:numPr>
      </w:pPr>
      <w:r>
        <w:t xml:space="preserve">MITHQAL does NOT financially guarantee MTQ</w:t>
      </w:r>
    </w:p>
    <w:p>
      <w:pPr>
        <w:pStyle w:val="Compact"/>
        <w:numPr>
          <w:ilvl w:val="0"/>
          <w:numId w:val="1001"/>
        </w:numPr>
      </w:pPr>
      <w:r>
        <w:t xml:space="preserve">No final settlement = no MTQ mint</w:t>
      </w:r>
    </w:p>
    <w:p>
      <w:pPr>
        <w:pStyle w:val="Compact"/>
        <w:numPr>
          <w:ilvl w:val="0"/>
          <w:numId w:val="1001"/>
        </w:numPr>
      </w:pPr>
      <w:r>
        <w:t xml:space="preserve">MTQ is a neutral institutional settlement unit</w:t>
      </w:r>
    </w:p>
    <w:p>
      <w:pPr>
        <w:pStyle w:val="Compact"/>
        <w:numPr>
          <w:ilvl w:val="0"/>
          <w:numId w:val="1001"/>
        </w:numPr>
      </w:pPr>
      <w:r>
        <w:t xml:space="preserve">MTQ is not a USD peg</w:t>
      </w:r>
    </w:p>
    <w:p>
      <w:pPr>
        <w:pStyle w:val="Compact"/>
        <w:numPr>
          <w:ilvl w:val="0"/>
          <w:numId w:val="1001"/>
        </w:numPr>
      </w:pPr>
      <w:r>
        <w:t xml:space="preserve">Gold is the primary constitutional monetary anchor</w:t>
      </w:r>
    </w:p>
    <w:p>
      <w:pPr>
        <w:pStyle w:val="Compact"/>
        <w:numPr>
          <w:ilvl w:val="0"/>
          <w:numId w:val="1001"/>
        </w:numPr>
      </w:pPr>
      <w:r>
        <w:t xml:space="preserve">80/18/2 is the current policy center (pending quantitative validation)</w:t>
      </w:r>
    </w:p>
    <w:p>
      <w:pPr>
        <w:pStyle w:val="Compact"/>
        <w:numPr>
          <w:ilvl w:val="0"/>
          <w:numId w:val="1001"/>
        </w:numPr>
      </w:pPr>
      <w:r>
        <w:t xml:space="preserve">130% is the current institutional backing coverage candidate</w:t>
      </w:r>
    </w:p>
    <w:p>
      <w:pPr>
        <w:pStyle w:val="Compact"/>
        <w:numPr>
          <w:ilvl w:val="0"/>
          <w:numId w:val="1001"/>
        </w:numPr>
      </w:pPr>
      <w:r>
        <w:t xml:space="preserve">The separate 15% emergency resilience capacity must never be double-counted</w:t>
      </w:r>
    </w:p>
    <w:p>
      <w:pPr>
        <w:pStyle w:val="Compact"/>
        <w:numPr>
          <w:ilvl w:val="0"/>
          <w:numId w:val="1001"/>
        </w:numPr>
      </w:pPr>
      <w:r>
        <w:t xml:space="preserve">Historical conflicting configurations remain traceable but have no active runtime authority</w:t>
      </w:r>
    </w:p>
    <w:p>
      <w:pPr>
        <w:pStyle w:val="Compact"/>
        <w:numPr>
          <w:ilvl w:val="0"/>
          <w:numId w:val="1001"/>
        </w:numPr>
      </w:pPr>
      <w:r>
        <w:t xml:space="preserve">No code-only capability may be represented as institutionally validated</w:t>
      </w:r>
    </w:p>
    <w:p>
      <w:pPr>
        <w:pStyle w:val="Compact"/>
        <w:numPr>
          <w:ilvl w:val="0"/>
          <w:numId w:val="1001"/>
        </w:numPr>
      </w:pPr>
      <w:r>
        <w:t xml:space="preserve">No bank relationship may be represented as a bank integration until an actual bank integration exists</w:t>
      </w:r>
    </w:p>
    <w:bookmarkEnd w:id="33"/>
    <w:bookmarkStart w:id="34" w:name="evidence-state-discipline"/>
    <w:p>
      <w:pPr>
        <w:pStyle w:val="Heading3"/>
      </w:pPr>
      <w:r>
        <w:t xml:space="preserve">2.2 Evidence-State Discipline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designed, not yet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written, not yet 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to other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in non-production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INSTITUTIONALLY_VALIDATED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by a real institution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production deployment</w:t>
            </w:r>
          </w:p>
        </w:tc>
      </w:tr>
    </w:tbl>
    <w:bookmarkEnd w:id="34"/>
    <w:bookmarkStart w:id="35" w:name="current-honest-state-74"/>
    <w:p>
      <w:pPr>
        <w:pStyle w:val="Heading3"/>
      </w:pPr>
      <w:r>
        <w:t xml:space="preserve">2.3 Current Honest State (§74)</w:t>
      </w:r>
    </w:p>
    <w:p>
      <w:pPr>
        <w:pStyle w:val="SourceCode"/>
      </w:pPr>
      <w:r>
        <w:rPr>
          <w:rStyle w:val="VerbatimChar"/>
        </w:rPr>
        <w:t xml:space="preserve">honest = true</w:t>
      </w:r>
      <w:r>
        <w:br/>
      </w:r>
      <w:r>
        <w:rPr>
          <w:rStyle w:val="VerbatimChar"/>
        </w:rPr>
        <w:t xml:space="preserve">productionAuthorized = false</w:t>
      </w:r>
      <w:r>
        <w:br/>
      </w:r>
      <w:r>
        <w:rPr>
          <w:rStyle w:val="VerbatimChar"/>
        </w:rPr>
        <w:t xml:space="preserve">noMithqalOwnedReserve = true</w:t>
      </w:r>
      <w:r>
        <w:br/>
      </w:r>
      <w:r>
        <w:rPr>
          <w:rStyle w:val="VerbatimChar"/>
        </w:rPr>
        <w:t xml:space="preserve">noMithqalFinancialGuarantee = true</w:t>
      </w:r>
      <w:r>
        <w:br/>
      </w:r>
      <w:r>
        <w:rPr>
          <w:rStyle w:val="VerbatimChar"/>
        </w:rPr>
        <w:t xml:space="preserve">threeBookDesign = true</w:t>
      </w:r>
      <w:r>
        <w:br/>
      </w:r>
      <w:r>
        <w:rPr>
          <w:rStyle w:val="VerbatimChar"/>
        </w:rPr>
        <w:t xml:space="preserve">threeBookOperational = false</w:t>
      </w:r>
      <w:r>
        <w:br/>
      </w:r>
      <w:r>
        <w:rPr>
          <w:rStyle w:val="VerbatimChar"/>
        </w:rPr>
        <w:t xml:space="preserve">threeBookEnforced = false</w:t>
      </w:r>
      <w:r>
        <w:br/>
      </w:r>
      <w:r>
        <w:rPr>
          <w:rStyle w:val="VerbatimChar"/>
        </w:rPr>
        <w:t xml:space="preserve">systemicRiskEngineDesigned = true</w:t>
      </w:r>
      <w:r>
        <w:br/>
      </w:r>
      <w:r>
        <w:rPr>
          <w:rStyle w:val="VerbatimChar"/>
        </w:rPr>
        <w:t xml:space="preserve">systemicRiskEngineImplemented = true</w:t>
      </w:r>
      <w:r>
        <w:br/>
      </w:r>
      <w:r>
        <w:rPr>
          <w:rStyle w:val="VerbatimChar"/>
        </w:rPr>
        <w:t xml:space="preserve">systemicRiskMonitoringLive = false</w:t>
      </w:r>
      <w:r>
        <w:br/>
      </w:r>
      <w:r>
        <w:rPr>
          <w:rStyle w:val="VerbatimChar"/>
        </w:rPr>
        <w:t xml:space="preserve">finalityPolicyDefined = true</w:t>
      </w:r>
      <w:r>
        <w:br/>
      </w:r>
      <w:r>
        <w:rPr>
          <w:rStyle w:val="VerbatimChar"/>
        </w:rPr>
        <w:t xml:space="preserve">finalityLayersDesigned = 7</w:t>
      </w:r>
      <w:r>
        <w:br/>
      </w:r>
      <w:r>
        <w:rPr>
          <w:rStyle w:val="VerbatimChar"/>
        </w:rPr>
        <w:t xml:space="preserve">finalityLayersRequired = 7</w:t>
      </w:r>
      <w:r>
        <w:br/>
      </w:r>
      <w:r>
        <w:rPr>
          <w:rStyle w:val="VerbatimChar"/>
        </w:rPr>
        <w:t xml:space="preserve">finalityLayersEnforced = 7</w:t>
      </w:r>
      <w:r>
        <w:br/>
      </w:r>
      <w:r>
        <w:rPr>
          <w:rStyle w:val="VerbatimChar"/>
        </w:rPr>
        <w:t xml:space="preserve">finalityProductionReady = false</w:t>
      </w:r>
      <w:r>
        <w:br/>
      </w:r>
      <w:r>
        <w:rPr>
          <w:rStyle w:val="VerbatimChar"/>
        </w:rPr>
        <w:t xml:space="preserve">finalityBypassRisk = MITIGATED_AT_CODE_LEVEL</w:t>
      </w:r>
      <w:r>
        <w:br/>
      </w:r>
      <w:r>
        <w:rPr>
          <w:rStyle w:val="VerbatimChar"/>
        </w:rPr>
        <w:t xml:space="preserve">legalRegistryImplemented = true</w:t>
      </w:r>
      <w:r>
        <w:br/>
      </w:r>
      <w:r>
        <w:rPr>
          <w:rStyle w:val="VerbatimChar"/>
        </w:rPr>
        <w:t xml:space="preserve">legalOpinionsObtained = false</w:t>
      </w:r>
      <w:r>
        <w:br/>
      </w:r>
      <w:r>
        <w:rPr>
          <w:rStyle w:val="VerbatimChar"/>
        </w:rPr>
        <w:t xml:space="preserve">validatedJurisdictions = 0</w:t>
      </w:r>
      <w:r>
        <w:br/>
      </w:r>
      <w:r>
        <w:rPr>
          <w:rStyle w:val="VerbatimChar"/>
        </w:rPr>
        <w:t xml:space="preserve">licensingMatrixImplemented = true</w:t>
      </w:r>
      <w:r>
        <w:br/>
      </w:r>
      <w:r>
        <w:rPr>
          <w:rStyle w:val="VerbatimChar"/>
        </w:rPr>
        <w:t xml:space="preserve">licensesObtained = 0</w:t>
      </w:r>
      <w:r>
        <w:br/>
      </w:r>
      <w:r>
        <w:rPr>
          <w:rStyle w:val="VerbatimChar"/>
        </w:rPr>
        <w:t xml:space="preserve">bankDefaultStateModelDesigned = true</w:t>
      </w:r>
      <w:r>
        <w:br/>
      </w:r>
      <w:r>
        <w:rPr>
          <w:rStyle w:val="VerbatimChar"/>
        </w:rPr>
        <w:t xml:space="preserve">bankDefaultOperationalWorkflow = true</w:t>
      </w:r>
      <w:r>
        <w:br/>
      </w:r>
      <w:r>
        <w:rPr>
          <w:rStyle w:val="VerbatimChar"/>
        </w:rPr>
        <w:t xml:space="preserve">bankDefaultContractValidated = false</w:t>
      </w:r>
      <w:r>
        <w:br/>
      </w:r>
      <w:r>
        <w:rPr>
          <w:rStyle w:val="VerbatimChar"/>
        </w:rPr>
        <w:t xml:space="preserve">bankDefaultLegalValidated = false</w:t>
      </w:r>
      <w:r>
        <w:br/>
      </w:r>
      <w:r>
        <w:rPr>
          <w:rStyle w:val="VerbatimChar"/>
        </w:rPr>
        <w:t xml:space="preserve">bankDefaultProductionReady = false</w:t>
      </w:r>
      <w:r>
        <w:br/>
      </w:r>
      <w:r>
        <w:rPr>
          <w:rStyle w:val="VerbatimChar"/>
        </w:rPr>
        <w:t xml:space="preserve">protectedBackingModelImplemented = true</w:t>
      </w:r>
      <w:r>
        <w:br/>
      </w:r>
      <w:r>
        <w:rPr>
          <w:rStyle w:val="VerbatimChar"/>
        </w:rPr>
        <w:t xml:space="preserve">protectedBackingLiveCells = 0</w:t>
      </w:r>
      <w:r>
        <w:br/>
      </w:r>
      <w:r>
        <w:rPr>
          <w:rStyle w:val="VerbatimChar"/>
        </w:rPr>
        <w:t xml:space="preserve">reserveConfigurationCanonical = true</w:t>
      </w:r>
      <w:r>
        <w:br/>
      </w:r>
      <w:r>
        <w:rPr>
          <w:rStyle w:val="VerbatimChar"/>
        </w:rPr>
        <w:t xml:space="preserve">reserveConfigurationConflicts = false</w:t>
      </w:r>
      <w:r>
        <w:br/>
      </w:r>
      <w:r>
        <w:rPr>
          <w:rStyle w:val="VerbatimChar"/>
        </w:rPr>
        <w:t xml:space="preserve">reservePolicyStatus = CANDIDATE_MODEL_VALIDATION_PENDING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what-mithqal-is"/>
    <w:p>
      <w:pPr>
        <w:pStyle w:val="Heading2"/>
      </w:pPr>
      <w:r>
        <w:t xml:space="preserve">3. WHAT MITHQAL IS</w:t>
      </w:r>
    </w:p>
    <w:p>
      <w:pPr>
        <w:pStyle w:val="FirstParagraph"/>
      </w:pPr>
      <w:r>
        <w:t xml:space="preserve">MITHQAL is a</w:t>
      </w:r>
      <w:r>
        <w:t xml:space="preserve"> </w:t>
      </w:r>
      <w:r>
        <w:rPr>
          <w:b/>
          <w:bCs/>
        </w:rPr>
        <w:t xml:space="preserve">Constitutional Monetary and Institutional Settlement Infrastructure</w:t>
      </w:r>
      <w:r>
        <w:t xml:space="preserve">.</w:t>
      </w:r>
    </w:p>
    <w:bookmarkStart w:id="37" w:name="mithqal"/>
    <w:p>
      <w:pPr>
        <w:pStyle w:val="Heading3"/>
      </w:pPr>
      <w:r>
        <w:t xml:space="preserve">MITHQAL:</w:t>
      </w:r>
    </w:p>
    <w:p>
      <w:pPr>
        <w:pStyle w:val="Compact"/>
        <w:numPr>
          <w:ilvl w:val="0"/>
          <w:numId w:val="1002"/>
        </w:numPr>
      </w:pPr>
      <w:r>
        <w:t xml:space="preserve">Defines eligibility</w:t>
      </w:r>
    </w:p>
    <w:p>
      <w:pPr>
        <w:pStyle w:val="Compact"/>
        <w:numPr>
          <w:ilvl w:val="0"/>
          <w:numId w:val="1002"/>
        </w:numPr>
      </w:pPr>
      <w:r>
        <w:t xml:space="preserve">Verifies evidence</w:t>
      </w:r>
    </w:p>
    <w:p>
      <w:pPr>
        <w:pStyle w:val="Compact"/>
        <w:numPr>
          <w:ilvl w:val="0"/>
          <w:numId w:val="1002"/>
        </w:numPr>
      </w:pPr>
      <w:r>
        <w:t xml:space="preserve">Calculates issuance capacity</w:t>
      </w:r>
    </w:p>
    <w:p>
      <w:pPr>
        <w:pStyle w:val="Compact"/>
        <w:numPr>
          <w:ilvl w:val="0"/>
          <w:numId w:val="1002"/>
        </w:numPr>
      </w:pPr>
      <w:r>
        <w:t xml:space="preserve">Enforces concentration rules</w:t>
      </w:r>
    </w:p>
    <w:p>
      <w:pPr>
        <w:pStyle w:val="Compact"/>
        <w:numPr>
          <w:ilvl w:val="0"/>
          <w:numId w:val="1002"/>
        </w:numPr>
      </w:pPr>
      <w:r>
        <w:t xml:space="preserve">Authorizes issuance</w:t>
      </w:r>
    </w:p>
    <w:p>
      <w:pPr>
        <w:pStyle w:val="Compact"/>
        <w:numPr>
          <w:ilvl w:val="0"/>
          <w:numId w:val="1002"/>
        </w:numPr>
      </w:pPr>
      <w:r>
        <w:t xml:space="preserve">Operates settlement</w:t>
      </w:r>
    </w:p>
    <w:p>
      <w:pPr>
        <w:pStyle w:val="Compact"/>
        <w:numPr>
          <w:ilvl w:val="0"/>
          <w:numId w:val="1002"/>
        </w:numPr>
      </w:pPr>
      <w:r>
        <w:t xml:space="preserve">Reconciles</w:t>
      </w:r>
    </w:p>
    <w:p>
      <w:pPr>
        <w:pStyle w:val="Compact"/>
        <w:numPr>
          <w:ilvl w:val="0"/>
          <w:numId w:val="1002"/>
        </w:numPr>
      </w:pPr>
      <w:r>
        <w:t xml:space="preserve">Monitors risk</w:t>
      </w:r>
    </w:p>
    <w:p>
      <w:pPr>
        <w:pStyle w:val="Compact"/>
        <w:numPr>
          <w:ilvl w:val="0"/>
          <w:numId w:val="1002"/>
        </w:numPr>
      </w:pPr>
      <w:r>
        <w:t xml:space="preserve">Applies constitutional rules</w:t>
      </w:r>
    </w:p>
    <w:p>
      <w:pPr>
        <w:pStyle w:val="Compact"/>
        <w:numPr>
          <w:ilvl w:val="0"/>
          <w:numId w:val="1002"/>
        </w:numPr>
      </w:pPr>
      <w:r>
        <w:t xml:space="preserve">Monitors systemic risk</w:t>
      </w:r>
    </w:p>
    <w:bookmarkEnd w:id="37"/>
    <w:bookmarkStart w:id="38" w:name="mithqal-does-not"/>
    <w:p>
      <w:pPr>
        <w:pStyle w:val="Heading3"/>
      </w:pPr>
      <w:r>
        <w:t xml:space="preserve">MITHQAL does NOT:</w:t>
      </w:r>
    </w:p>
    <w:p>
      <w:pPr>
        <w:pStyle w:val="Compact"/>
        <w:numPr>
          <w:ilvl w:val="0"/>
          <w:numId w:val="1003"/>
        </w:numPr>
      </w:pPr>
      <w:r>
        <w:t xml:space="preserve">Own backing</w:t>
      </w:r>
    </w:p>
    <w:p>
      <w:pPr>
        <w:pStyle w:val="Compact"/>
        <w:numPr>
          <w:ilvl w:val="0"/>
          <w:numId w:val="1003"/>
        </w:numPr>
      </w:pPr>
      <w:r>
        <w:t xml:space="preserve">Custody backing (by default)</w:t>
      </w:r>
    </w:p>
    <w:p>
      <w:pPr>
        <w:pStyle w:val="Compact"/>
        <w:numPr>
          <w:ilvl w:val="0"/>
          <w:numId w:val="1003"/>
        </w:numPr>
      </w:pPr>
      <w:r>
        <w:t xml:space="preserve">Fund backing</w:t>
      </w:r>
    </w:p>
    <w:p>
      <w:pPr>
        <w:pStyle w:val="Compact"/>
        <w:numPr>
          <w:ilvl w:val="0"/>
          <w:numId w:val="1003"/>
        </w:numPr>
      </w:pPr>
      <w:r>
        <w:t xml:space="preserve">Guarantee redemption from corporate funds</w:t>
      </w:r>
    </w:p>
    <w:p>
      <w:pPr>
        <w:pStyle w:val="Compact"/>
        <w:numPr>
          <w:ilvl w:val="0"/>
          <w:numId w:val="1003"/>
        </w:numPr>
      </w:pPr>
      <w:r>
        <w:t xml:space="preserve">Use operating capital as MTQ backing</w:t>
      </w:r>
    </w:p>
    <w:p>
      <w:pPr>
        <w:pStyle w:val="Compact"/>
        <w:numPr>
          <w:ilvl w:val="0"/>
          <w:numId w:val="1003"/>
        </w:numPr>
      </w:pPr>
      <w:r>
        <w:t xml:space="preserve">Operate as a bank</w:t>
      </w:r>
    </w:p>
    <w:p>
      <w:pPr>
        <w:pStyle w:val="Compact"/>
        <w:numPr>
          <w:ilvl w:val="0"/>
          <w:numId w:val="1003"/>
        </w:numPr>
      </w:pPr>
      <w:r>
        <w:t xml:space="preserve">Provide banking services</w:t>
      </w:r>
    </w:p>
    <w:p>
      <w:pPr>
        <w:pStyle w:val="Compact"/>
        <w:numPr>
          <w:ilvl w:val="0"/>
          <w:numId w:val="1003"/>
        </w:numPr>
      </w:pPr>
      <w:r>
        <w:t xml:space="preserve">Operate an exchange</w:t>
      </w:r>
    </w:p>
    <w:p>
      <w:pPr>
        <w:pStyle w:val="Compact"/>
        <w:numPr>
          <w:ilvl w:val="0"/>
          <w:numId w:val="1003"/>
        </w:numPr>
      </w:pPr>
      <w:r>
        <w:t xml:space="preserve">Buy/sell reserve assets as a commercial operator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what-mithqal-is-not"/>
    <w:p>
      <w:pPr>
        <w:pStyle w:val="Heading2"/>
      </w:pPr>
      <w:r>
        <w:t xml:space="preserve">4. WHAT MITHQAL IS NOT</w:t>
      </w:r>
    </w:p>
    <w:p>
      <w:pPr>
        <w:pStyle w:val="FirstParagraph"/>
      </w:pPr>
      <w:r>
        <w:t xml:space="preserve">MITHQAL must NOT be incorrectly represented as:</w:t>
      </w:r>
      <w:r>
        <w:t xml:space="preserve"> </w:t>
      </w:r>
      <w:r>
        <w:t xml:space="preserve">- A conventional cryptocurrency</w:t>
      </w:r>
      <w:r>
        <w:t xml:space="preserve"> </w:t>
      </w:r>
      <w:r>
        <w:t xml:space="preserve">- A retail payment app</w:t>
      </w:r>
      <w:r>
        <w:t xml:space="preserve"> </w:t>
      </w:r>
      <w:r>
        <w:t xml:space="preserve">- A commercial bank</w:t>
      </w:r>
      <w:r>
        <w:t xml:space="preserve"> </w:t>
      </w:r>
      <w:r>
        <w:t xml:space="preserve">- A central bank</w:t>
      </w:r>
      <w:r>
        <w:t xml:space="preserve"> </w:t>
      </w:r>
      <w:r>
        <w:t xml:space="preserve">- A deposit-taking institution</w:t>
      </w:r>
      <w:r>
        <w:t xml:space="preserve"> </w:t>
      </w:r>
      <w:r>
        <w:t xml:space="preserve">- An investment fund</w:t>
      </w:r>
      <w:r>
        <w:t xml:space="preserve"> </w:t>
      </w:r>
      <w:r>
        <w:t xml:space="preserve">- A lending institution</w:t>
      </w:r>
      <w:r>
        <w:t xml:space="preserve"> </w:t>
      </w:r>
      <w:r>
        <w:t xml:space="preserve">- A speculative vehicle</w:t>
      </w:r>
      <w:r>
        <w:t xml:space="preserve"> </w:t>
      </w:r>
      <w:r>
        <w:t xml:space="preserve">- A DAO</w:t>
      </w:r>
      <w:r>
        <w:t xml:space="preserve"> </w:t>
      </w:r>
      <w:r>
        <w:t xml:space="preserve">- A permissionless blockchain monetary network</w:t>
      </w:r>
      <w:r>
        <w:t xml:space="preserve"> </w:t>
      </w:r>
      <w:r>
        <w:t xml:space="preserve">- A consumer remittance platform</w:t>
      </w:r>
      <w:r>
        <w:t xml:space="preserve"> </w:t>
      </w:r>
      <w:r>
        <w:t xml:space="preserve">- A retail wallet system</w:t>
      </w:r>
      <w:r>
        <w:t xml:space="preserve"> </w:t>
      </w:r>
      <w:r>
        <w:t xml:space="preserve">- A conventional stablecoin issuer</w:t>
      </w:r>
      <w:r>
        <w:t xml:space="preserve"> </w:t>
      </w:r>
      <w:r>
        <w:t xml:space="preserve">- A replacement for national currencies</w:t>
      </w:r>
      <w:r>
        <w:t xml:space="preserve"> </w:t>
      </w:r>
      <w:r>
        <w:t xml:space="preserve">- A USD peg</w:t>
      </w:r>
      <w:r>
        <w:t xml:space="preserve"> </w:t>
      </w:r>
      <w:r>
        <w:t xml:space="preserve">- A BRICS currency</w:t>
      </w:r>
      <w:r>
        <w:t xml:space="preserve"> </w:t>
      </w:r>
      <w:r>
        <w:t xml:space="preserve">- An anti-dollar currency</w:t>
      </w:r>
      <w:r>
        <w:t xml:space="preserve"> </w:t>
      </w:r>
      <w:r>
        <w:t xml:space="preserve">- A replacement for SWIFT</w:t>
      </w:r>
    </w:p>
    <w:p>
      <w:r>
        <w:pict>
          <v:rect style="width:0;height:1.5pt" o:hralign="center" o:hrstd="t" o:hr="t"/>
        </w:pict>
      </w:r>
    </w:p>
    <w:bookmarkEnd w:id="40"/>
    <w:bookmarkStart w:id="45" w:name="institutional-participant-model"/>
    <w:p>
      <w:pPr>
        <w:pStyle w:val="Heading2"/>
      </w:pPr>
      <w:r>
        <w:t xml:space="preserve">5. INSTITUTIONAL PARTICIPANT MODEL</w:t>
      </w:r>
    </w:p>
    <w:bookmarkStart w:id="41" w:name="settlement-flow"/>
    <w:p>
      <w:pPr>
        <w:pStyle w:val="Heading3"/>
      </w:pPr>
      <w:r>
        <w:t xml:space="preserve">5.1 Settlement Flow</w:t>
      </w:r>
    </w:p>
    <w:p>
      <w:pPr>
        <w:pStyle w:val="SourceCode"/>
      </w:pPr>
      <w:r>
        <w:rPr>
          <w:rStyle w:val="VerbatimChar"/>
        </w:rPr>
        <w:t xml:space="preserve">Corporate / Institutional Client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Existing Banking System (KYC/KYB/AML/Sanctions/FX/Treasury)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MITHQAL Bank Gateway (MBG) — Translation, NOT Transformation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MITHQAL Core (Eligibility → Jurisdiction → Backing Verification → Risk → DMCE → Authorization → Finality → Mint)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MTQ Settlement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Receiving Institution Gateway (MBG)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Receiving Institution / Bank Systems</w:t>
      </w:r>
    </w:p>
    <w:bookmarkEnd w:id="41"/>
    <w:bookmarkStart w:id="42" w:name="direct-institutional-participants"/>
    <w:p>
      <w:pPr>
        <w:pStyle w:val="Heading3"/>
      </w:pPr>
      <w:r>
        <w:t xml:space="preserve">5.2 Direct Institutional Participants</w:t>
      </w:r>
    </w:p>
    <w:p>
      <w:pPr>
        <w:pStyle w:val="Compact"/>
        <w:numPr>
          <w:ilvl w:val="0"/>
          <w:numId w:val="1004"/>
        </w:numPr>
      </w:pPr>
      <w:r>
        <w:t xml:space="preserve">Regulated banks</w:t>
      </w:r>
    </w:p>
    <w:p>
      <w:pPr>
        <w:pStyle w:val="Compact"/>
        <w:numPr>
          <w:ilvl w:val="0"/>
          <w:numId w:val="1004"/>
        </w:numPr>
      </w:pPr>
      <w:r>
        <w:t xml:space="preserve">Approved financial institutions</w:t>
      </w:r>
    </w:p>
    <w:p>
      <w:pPr>
        <w:pStyle w:val="Compact"/>
        <w:numPr>
          <w:ilvl w:val="0"/>
          <w:numId w:val="1004"/>
        </w:numPr>
      </w:pPr>
      <w:r>
        <w:t xml:space="preserve">Central banks</w:t>
      </w:r>
    </w:p>
    <w:p>
      <w:pPr>
        <w:pStyle w:val="Compact"/>
        <w:numPr>
          <w:ilvl w:val="0"/>
          <w:numId w:val="1004"/>
        </w:numPr>
      </w:pPr>
      <w:r>
        <w:t xml:space="preserve">Sovereign monetary authorities</w:t>
      </w:r>
    </w:p>
    <w:p>
      <w:pPr>
        <w:pStyle w:val="Compact"/>
        <w:numPr>
          <w:ilvl w:val="0"/>
          <w:numId w:val="1004"/>
        </w:numPr>
      </w:pPr>
      <w:r>
        <w:t xml:space="preserve">Other institutions explicitly permitted under the applicable jurisdiction</w:t>
      </w:r>
    </w:p>
    <w:bookmarkEnd w:id="42"/>
    <w:bookmarkStart w:id="43" w:name="excluded-direct-retail-model"/>
    <w:p>
      <w:pPr>
        <w:pStyle w:val="Heading3"/>
      </w:pPr>
      <w:r>
        <w:t xml:space="preserve">5.3 Excluded Direct Retail Model</w:t>
      </w:r>
    </w:p>
    <w:p>
      <w:pPr>
        <w:pStyle w:val="Compact"/>
        <w:numPr>
          <w:ilvl w:val="0"/>
          <w:numId w:val="1005"/>
        </w:numPr>
      </w:pPr>
      <w:r>
        <w:t xml:space="preserve">No individuals directly transacting in MTQ</w:t>
      </w:r>
    </w:p>
    <w:p>
      <w:pPr>
        <w:pStyle w:val="Compact"/>
        <w:numPr>
          <w:ilvl w:val="0"/>
          <w:numId w:val="1005"/>
        </w:numPr>
      </w:pPr>
      <w:r>
        <w:t xml:space="preserve">No retail wallets as the core model</w:t>
      </w:r>
    </w:p>
    <w:p>
      <w:pPr>
        <w:pStyle w:val="Compact"/>
        <w:numPr>
          <w:ilvl w:val="0"/>
          <w:numId w:val="1005"/>
        </w:numPr>
      </w:pPr>
      <w:r>
        <w:t xml:space="preserve">No personal bank-account participation</w:t>
      </w:r>
    </w:p>
    <w:p>
      <w:pPr>
        <w:pStyle w:val="Compact"/>
        <w:numPr>
          <w:ilvl w:val="0"/>
          <w:numId w:val="1005"/>
        </w:numPr>
      </w:pPr>
      <w:r>
        <w:t xml:space="preserve">No retail remittance infrastructure</w:t>
      </w:r>
    </w:p>
    <w:bookmarkEnd w:id="43"/>
    <w:bookmarkStart w:id="44" w:name="customer-modes"/>
    <w:p>
      <w:pPr>
        <w:pStyle w:val="Heading3"/>
      </w:pPr>
      <w:r>
        <w:t xml:space="preserve">5.4 Customer Modes</w:t>
      </w:r>
    </w:p>
    <w:p>
      <w:pPr>
        <w:pStyle w:val="FirstParagraph"/>
      </w:pPr>
      <w:r>
        <w:rPr>
          <w:b/>
          <w:bCs/>
        </w:rPr>
        <w:t xml:space="preserve">Mode A — Pass-Through Settlement:</w:t>
      </w:r>
      <w:r>
        <w:t xml:space="preserve"> </w:t>
      </w:r>
      <w:r>
        <w:t xml:space="preserve">Customer can use MTQ without maintaining a substantial MTQ treasury position.</w:t>
      </w:r>
    </w:p>
    <w:p>
      <w:pPr>
        <w:pStyle w:val="BodyText"/>
      </w:pPr>
      <w:r>
        <w:rPr>
          <w:b/>
          <w:bCs/>
        </w:rPr>
        <w:t xml:space="preserve">Mode B — Institutional MTQ Treasury Holding:</w:t>
      </w:r>
      <w:r>
        <w:t xml:space="preserve"> </w:t>
      </w:r>
      <w:r>
        <w:t xml:space="preserve">Where permitted, corporate → bank → MTQ institutional position (hold, receive, send, settle, redeem). Availability depends on jurisdiction, bank, customer type, product authorization, legal classification.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economic-monetary-architecture"/>
    <w:p>
      <w:pPr>
        <w:pStyle w:val="Heading2"/>
      </w:pPr>
      <w:r>
        <w:t xml:space="preserve">6. ECONOMIC &amp; MONETARY ARCHITECTURE</w:t>
      </w:r>
    </w:p>
    <w:bookmarkStart w:id="46" w:name="mtq-economic-functions"/>
    <w:p>
      <w:pPr>
        <w:pStyle w:val="Heading3"/>
      </w:pPr>
      <w:r>
        <w:t xml:space="preserve">6.1 MTQ Economic Functions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unit for institutional cross-border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 institutional backing target (bank-side, not MITHQAL-owned)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Accounting/reference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= 1.00 USD (accounting convention, NOT a USD peg)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Issuance/redemption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requests → MITHQAL authorizes → Technical system executes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Front-line (50%) + strategic (30%) + gold (18%) + digital (2%)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Monetary neutrality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replacement for any national currency</w:t>
            </w:r>
          </w:p>
        </w:tc>
      </w:tr>
    </w:tbl>
    <w:bookmarkEnd w:id="46"/>
    <w:bookmarkStart w:id="47" w:name="par-definition"/>
    <w:p>
      <w:pPr>
        <w:pStyle w:val="Heading3"/>
      </w:pPr>
      <w:r>
        <w:t xml:space="preserve">6.2 PAR Definition</w:t>
      </w:r>
    </w:p>
    <w:p>
      <w:pPr>
        <w:pStyle w:val="FirstParagraph"/>
      </w:pPr>
      <w:r>
        <w:t xml:space="preserve">PAR = 1.00 USD is an</w:t>
      </w:r>
      <w:r>
        <w:t xml:space="preserve"> </w:t>
      </w:r>
      <w:r>
        <w:rPr>
          <w:b/>
          <w:bCs/>
        </w:rPr>
        <w:t xml:space="preserve">accounting/settlement reference convention</w:t>
      </w:r>
      <w:r>
        <w:t xml:space="preserve">, NOT:</w:t>
      </w:r>
      <w:r>
        <w:t xml:space="preserve"> </w:t>
      </w:r>
      <w:r>
        <w:t xml:space="preserve">- A promise of redemption into USD</w:t>
      </w:r>
      <w:r>
        <w:t xml:space="preserve"> </w:t>
      </w:r>
      <w:r>
        <w:t xml:space="preserve">- An automatic statement of USD backing</w:t>
      </w:r>
      <w:r>
        <w:t xml:space="preserve"> </w:t>
      </w:r>
      <w:r>
        <w:t xml:space="preserve">- A USD peg</w:t>
      </w:r>
    </w:p>
    <w:bookmarkEnd w:id="47"/>
    <w:bookmarkStart w:id="48" w:name="economic-layers"/>
    <w:p>
      <w:pPr>
        <w:pStyle w:val="Heading3"/>
      </w:pPr>
      <w:r>
        <w:t xml:space="preserve">6.3 Economic Layers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Monetary layer</w:t>
      </w:r>
      <w:r>
        <w:t xml:space="preserve"> </w:t>
      </w:r>
      <w:r>
        <w:t xml:space="preserve">— MTQ as settlement unit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Settlement layer</w:t>
      </w:r>
      <w:r>
        <w:t xml:space="preserve"> </w:t>
      </w:r>
      <w:r>
        <w:t xml:space="preserve">— Atomic settlement via MBG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Reserve layer</w:t>
      </w:r>
      <w:r>
        <w:t xml:space="preserve"> </w:t>
      </w:r>
      <w:r>
        <w:t xml:space="preserve">— 130% backing (80/18/2)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Liquidity layer</w:t>
      </w:r>
      <w:r>
        <w:t xml:space="preserve"> </w:t>
      </w:r>
      <w:r>
        <w:t xml:space="preserve">— Front-line + strategic + emergency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Governance layer</w:t>
      </w:r>
      <w:r>
        <w:t xml:space="preserve"> </w:t>
      </w:r>
      <w:r>
        <w:t xml:space="preserve">— Foundation + Holding + Operating + Technology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Compliance layer</w:t>
      </w:r>
      <w:r>
        <w:t xml:space="preserve"> </w:t>
      </w:r>
      <w:r>
        <w:t xml:space="preserve">— KYC/KYB/AML/sanctions (bank-side)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Accounting layer</w:t>
      </w:r>
      <w:r>
        <w:t xml:space="preserve"> </w:t>
      </w:r>
      <w:r>
        <w:t xml:space="preserve">— Three-book separation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Banking integration layer</w:t>
      </w:r>
      <w:r>
        <w:t xml:space="preserve"> </w:t>
      </w:r>
      <w:r>
        <w:t xml:space="preserve">— MBG (translation)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Application/transaction layer</w:t>
      </w:r>
      <w:r>
        <w:t xml:space="preserve"> </w:t>
      </w:r>
      <w:r>
        <w:t xml:space="preserve">— Corporate treasury interface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mtq-architecture"/>
    <w:p>
      <w:pPr>
        <w:pStyle w:val="Heading2"/>
      </w:pPr>
      <w:r>
        <w:t xml:space="preserve">7. MTQ ARCHITECTURE</w:t>
      </w:r>
    </w:p>
    <w:bookmarkStart w:id="50" w:name="mtq-definition"/>
    <w:p>
      <w:pPr>
        <w:pStyle w:val="Heading3"/>
      </w:pPr>
      <w:r>
        <w:t xml:space="preserve">7.1 MTQ Definition</w:t>
      </w:r>
    </w:p>
    <w:p>
      <w:pPr>
        <w:pStyle w:val="FirstParagraph"/>
      </w:pPr>
      <w:r>
        <w:t xml:space="preserve">MTQ is a</w:t>
      </w:r>
      <w:r>
        <w:t xml:space="preserve"> </w:t>
      </w:r>
      <w:r>
        <w:rPr>
          <w:b/>
          <w:bCs/>
        </w:rPr>
        <w:t xml:space="preserve">neutral institutional cross-border settlement unit/instrument</w:t>
      </w:r>
      <w:r>
        <w:t xml:space="preserve">.</w:t>
      </w:r>
    </w:p>
    <w:bookmarkEnd w:id="50"/>
    <w:bookmarkStart w:id="51" w:name="issuance-principle-10"/>
    <w:p>
      <w:pPr>
        <w:pStyle w:val="Heading3"/>
      </w:pPr>
      <w:r>
        <w:t xml:space="preserve">7.2 Issuance Principle (§10)</w:t>
      </w:r>
    </w:p>
    <w:p>
      <w:pPr>
        <w:pStyle w:val="SourceCode"/>
      </w:pPr>
      <w:r>
        <w:rPr>
          <w:rStyle w:val="VerbatimChar"/>
        </w:rPr>
        <w:t xml:space="preserve">Corporate → Bank → KYC/KYB/AML/Sanctions → Bank establishes backing →</w:t>
      </w:r>
      <w:r>
        <w:br/>
      </w:r>
      <w:r>
        <w:rPr>
          <w:rStyle w:val="VerbatimChar"/>
        </w:rPr>
        <w:t xml:space="preserve">Protected Backing Evidence → Bank requests MTQ issuance → MBG →</w:t>
      </w:r>
      <w:r>
        <w:br/>
      </w:r>
      <w:r>
        <w:rPr>
          <w:rStyle w:val="VerbatimChar"/>
        </w:rPr>
        <w:t xml:space="preserve">MITHQAL Core → Eligibility → Jurisdiction → Backing Verification →</w:t>
      </w:r>
      <w:r>
        <w:br/>
      </w:r>
      <w:r>
        <w:rPr>
          <w:rStyle w:val="VerbatimChar"/>
        </w:rPr>
        <w:t xml:space="preserve">Bank-Specific Risk → System-Wide Risk → Liquidity → DMCE →</w:t>
      </w:r>
      <w:r>
        <w:br/>
      </w:r>
      <w:r>
        <w:rPr>
          <w:rStyle w:val="VerbatimChar"/>
        </w:rPr>
        <w:t xml:space="preserve">MITHQAL Monetary Authorization → Finality Verification → Deterministic Technical Mint</w:t>
      </w:r>
    </w:p>
    <w:p>
      <w:pPr>
        <w:pStyle w:val="FirstParagraph"/>
      </w:pPr>
      <w:r>
        <w:rPr>
          <w:b/>
          <w:bCs/>
        </w:rPr>
        <w:t xml:space="preserve">Permanent rule:</w:t>
      </w:r>
      <w:r>
        <w:t xml:space="preserve"> </w:t>
      </w:r>
      <w:r>
        <w:t xml:space="preserve">Bank requests. MITHQAL authorizes. Technical system executes.</w:t>
      </w:r>
    </w:p>
    <w:bookmarkEnd w:id="51"/>
    <w:bookmarkStart w:id="52" w:name="mtq-components"/>
    <w:p>
      <w:pPr>
        <w:pStyle w:val="Heading3"/>
      </w:pPr>
      <w:r>
        <w:t xml:space="preserve">7.3 MTQ Components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cross-border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Gold-referenced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Gold-anchored valuation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Yield-bearing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 holding (where permitted)</w:t>
            </w:r>
          </w:p>
        </w:tc>
      </w:tr>
    </w:tbl>
    <w:bookmarkEnd w:id="52"/>
    <w:bookmarkStart w:id="53" w:name="finality-before-mint-54"/>
    <w:p>
      <w:pPr>
        <w:pStyle w:val="Heading3"/>
      </w:pPr>
      <w:r>
        <w:t xml:space="preserve">7.4 Finality-Before-Mint (§54)</w:t>
      </w:r>
    </w:p>
    <w:p>
      <w:pPr>
        <w:pStyle w:val="FirstParagraph"/>
      </w:pPr>
      <w:r>
        <w:rPr>
          <w:b/>
          <w:bCs/>
        </w:rPr>
        <w:t xml:space="preserve">Hard invariant:</w:t>
      </w:r>
      <w:r>
        <w:t xml:space="preserve"> </w:t>
      </w:r>
      <w:r>
        <w:t xml:space="preserve">NO FINAL SETTLEMENT ⇒ NO MTQ MINT</w:t>
      </w:r>
    </w:p>
    <w:p>
      <w:pPr>
        <w:pStyle w:val="BodyText"/>
      </w:pPr>
      <w:r>
        <w:rPr>
          <w:b/>
          <w:bCs/>
        </w:rPr>
        <w:t xml:space="preserve">7 enforcement layers (all ENFORCED at code level):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validation, auth, 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without auth signature + proof-of-finality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16-step BM-01..BM-16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advance to BM-16 without BM-15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Constitutional rules + DMCE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Hard-fail on any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Monetary Control signed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cannot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→ AUTHORIZED → FINALIZED → MINTED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TX-State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transaction (finality-proof + mint)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writes roll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On-chain finality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mint() requires oracle signature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10 bypass test routes — ALL BLOCKED:</w:t>
      </w:r>
      <w:r>
        <w:t xml:space="preserve"> </w:t>
      </w:r>
      <w:r>
        <w:t xml:space="preserve">- DIRECT_API_CALL_WITHOUT_AUTH, WORKFLOW_SKIP_BM15, POLICY_OVERRIDE_BY_COMMERCIAL, UNSIGNED_AUTHORIZATION, LEDGER_SKIP_FINALIZED_STATE, DATABASE_PARTIAL_WRITE, SMART_CONTRACT_WITHOUT_ORACLE, EMERGENCY_OVERRIDE_WITHOUT_GOVERNANCE, ADMIN_BACKDOOR, INTERNAL_API_ROUTE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reserve-architecture-v25.2-controlling"/>
    <w:p>
      <w:pPr>
        <w:pStyle w:val="Heading2"/>
      </w:pPr>
      <w:r>
        <w:t xml:space="preserve">8. RESERVE ARCHITECTURE (§V25.2 — CONTROLLING)</w:t>
      </w:r>
    </w:p>
    <w:bookmarkStart w:id="55" w:name="strategic-reserve-coverage-target"/>
    <w:p>
      <w:pPr>
        <w:pStyle w:val="Heading3"/>
      </w:pPr>
      <w:r>
        <w:t xml:space="preserve">8.1 Strategic Reserve Coverage Target</w:t>
      </w:r>
    </w:p>
    <w:p>
      <w:pPr>
        <w:pStyle w:val="FirstParagraph"/>
      </w:pPr>
      <w:r>
        <w:rPr>
          <w:b/>
          <w:bCs/>
        </w:rPr>
        <w:t xml:space="preserve">RR_strategic = 1.30 (130%)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Absolute solvency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</w:t>
            </w:r>
          </w:p>
        </w:tc>
      </w:tr>
    </w:tbl>
    <w:bookmarkEnd w:id="55"/>
    <w:bookmarkStart w:id="56" w:name="normal-reserve-composition"/>
    <w:p>
      <w:pPr>
        <w:pStyle w:val="Heading3"/>
      </w:pPr>
      <w:r>
        <w:t xml:space="preserve">8.2 Normal Reserve Composition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Sleeve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(S=$100M)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Fiat / monetary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$104.0M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Front-line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Strategic fiat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/ bullion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strategic backing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$130.0M</w:t>
            </w:r>
          </w:p>
        </w:tc>
      </w:tr>
    </w:tbl>
    <w:bookmarkEnd w:id="56"/>
    <w:bookmarkStart w:id="57" w:name="emergency-resilience-capacity"/>
    <w:p>
      <w:pPr>
        <w:pStyle w:val="Heading3"/>
      </w:pPr>
      <w:r>
        <w:t xml:space="preserve">8.3 Emergency Resilience Capacity</w:t>
      </w:r>
    </w:p>
    <w:p>
      <w:pPr>
        <w:pStyle w:val="FirstParagraph"/>
      </w:pPr>
      <w:r>
        <w:t xml:space="preserve">≤15% —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from core reserve. Not auto-added (130% + 15% ≠ 145%).</w:t>
      </w:r>
    </w:p>
    <w:p>
      <w:pPr>
        <w:pStyle w:val="BodyText"/>
      </w:pPr>
      <w:r>
        <w:t xml:space="preserve">Eligible only when:</w:t>
      </w:r>
      <w:r>
        <w:t xml:space="preserve"> </w:t>
      </w:r>
      <w:r>
        <w:t xml:space="preserve">1. Legally enforceable</w:t>
      </w:r>
      <w:r>
        <w:t xml:space="preserve"> </w:t>
      </w:r>
      <w:r>
        <w:t xml:space="preserve">2. Independently verified</w:t>
      </w:r>
      <w:r>
        <w:t xml:space="preserve"> </w:t>
      </w:r>
      <w:r>
        <w:t xml:space="preserve">3. Accessible during stress</w:t>
      </w:r>
      <w:r>
        <w:t xml:space="preserve"> </w:t>
      </w:r>
      <w:r>
        <w:t xml:space="preserve">4. Not double-counted</w:t>
      </w:r>
      <w:r>
        <w:t xml:space="preserve"> </w:t>
      </w:r>
      <w:r>
        <w:t xml:space="preserve">5. Appropriately haircut-adjusted</w:t>
      </w:r>
    </w:p>
    <w:bookmarkEnd w:id="57"/>
    <w:bookmarkStart w:id="58" w:name="reserve-valuation"/>
    <w:p>
      <w:pPr>
        <w:pStyle w:val="Heading3"/>
      </w:pPr>
      <w:r>
        <w:t xml:space="preserve">8.4 Reserve Valuation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 = Σ Q_a · P_a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(prudential)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R_a = Σ Q_a · P_a · (1 − H_a) · C_a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(liquidation)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R_l = Σ Q_a · P_a · (1 − H_a) · C_a · S_a</w:t>
            </w:r>
          </w:p>
        </w:tc>
      </w:tr>
    </w:tbl>
    <w:p>
      <w:pPr>
        <w:pStyle w:val="BodyText"/>
      </w:pPr>
      <w:r>
        <w:t xml:space="preserve">Where:</w:t>
      </w:r>
      <w:r>
        <w:t xml:space="preserve"> </w:t>
      </w:r>
      <w:r>
        <w:t xml:space="preserve">- Q_a = quantity</w:t>
      </w:r>
      <w:r>
        <w:t xml:space="preserve"> </w:t>
      </w:r>
      <w:r>
        <w:t xml:space="preserve">- P_a = market price</w:t>
      </w:r>
      <w:r>
        <w:t xml:space="preserve"> </w:t>
      </w:r>
      <w:r>
        <w:t xml:space="preserve">- H_a = constitutional haircut</w:t>
      </w:r>
      <w:r>
        <w:t xml:space="preserve"> </w:t>
      </w:r>
      <w:r>
        <w:t xml:space="preserve">- C_a = counterparty adjustment = Credit × Jurisdiction × Operational</w:t>
      </w:r>
      <w:r>
        <w:t xml:space="preserve"> </w:t>
      </w:r>
      <w:r>
        <w:t xml:space="preserve">- S_a = stress factor</w:t>
      </w:r>
    </w:p>
    <w:bookmarkEnd w:id="58"/>
    <w:bookmarkStart w:id="59" w:name="three-navs"/>
    <w:p>
      <w:pPr>
        <w:pStyle w:val="Heading3"/>
      </w:pPr>
      <w:r>
        <w:t xml:space="preserve">8.5 Three NAVs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NAV_m = R_m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Mark-to-market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Prudential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NAV_l = R_a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haircuts (solvency basis)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NAV_s = R_l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Liquidation scenario</w:t>
            </w:r>
          </w:p>
        </w:tc>
      </w:tr>
    </w:tbl>
    <w:bookmarkEnd w:id="59"/>
    <w:bookmarkStart w:id="60" w:name="coverage-ratios"/>
    <w:p>
      <w:pPr>
        <w:pStyle w:val="Heading3"/>
      </w:pPr>
      <w:r>
        <w:t xml:space="preserve">8.6 Coverage Ratios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Ratio (RR)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R_a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≥130% strategic, ≥105% policy, ≥100%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R_l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≥110% normal, ≥105% defensive, ≥100% 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HQLA / 30d net outflow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74" w:name="currency-weight-engine-7-16"/>
    <w:p>
      <w:pPr>
        <w:pStyle w:val="Heading2"/>
      </w:pPr>
      <w:r>
        <w:t xml:space="preserve">9. CURRENCY WEIGHT ENGINE (§7-16)</w:t>
      </w:r>
    </w:p>
    <w:bookmarkStart w:id="62" w:name="structural-weight"/>
    <w:p>
      <w:pPr>
        <w:pStyle w:val="Heading3"/>
      </w:pPr>
      <w:r>
        <w:t xml:space="preserve">9.1 Structural Weight</w:t>
      </w:r>
    </w:p>
    <w:p>
      <w:pPr>
        <w:pStyle w:val="FirstParagraph"/>
      </w:pPr>
      <w:r>
        <w:t xml:space="preserve">C_i = 0.50·COFER_i + 0.40·SWIFT_i + 0.10·BIS_i</w:t>
      </w:r>
    </w:p>
    <w:bookmarkEnd w:id="62"/>
    <w:bookmarkStart w:id="63" w:name="momentum-factor"/>
    <w:p>
      <w:pPr>
        <w:pStyle w:val="Heading3"/>
      </w:pPr>
      <w:r>
        <w:t xml:space="preserve">9.2 Momentum Factor</w:t>
      </w:r>
    </w:p>
    <w:p>
      <w:pPr>
        <w:pStyle w:val="FirstParagraph"/>
      </w:pPr>
      <w:r>
        <w:t xml:space="preserve">M_i(t) = P_i(t) / P_i(t−12m), bounded 0.95 ≤ M ≤ 1.05</w:t>
      </w:r>
    </w:p>
    <w:bookmarkEnd w:id="63"/>
    <w:bookmarkStart w:id="64" w:name="mean-reversion-factor"/>
    <w:p>
      <w:pPr>
        <w:pStyle w:val="Heading3"/>
      </w:pPr>
      <w:r>
        <w:t xml:space="preserve">9.3 Mean-Reversion Factor</w:t>
      </w:r>
    </w:p>
    <w:p>
      <w:pPr>
        <w:pStyle w:val="FirstParagraph"/>
      </w:pPr>
      <w:r>
        <w:t xml:space="preserve">R_i(t) = 1 + 0.05·(LTA_i − C_i), bounded 0.98 ≤ R ≤ 1.02</w:t>
      </w:r>
    </w:p>
    <w:bookmarkEnd w:id="64"/>
    <w:bookmarkStart w:id="65" w:name="ewma-volatility"/>
    <w:p>
      <w:pPr>
        <w:pStyle w:val="Heading3"/>
      </w:pPr>
      <w:r>
        <w:t xml:space="preserve">9.4 EWMA Volatility</w:t>
      </w:r>
    </w:p>
    <w:p>
      <w:pPr>
        <w:pStyle w:val="FirstParagraph"/>
      </w:pPr>
      <w:r>
        <w:t xml:space="preserve">σ²_t = 0.94·σ²_{t−1} + 0.06·r²_t, where r_t = ln(P_{t−1}/P_t)</w:t>
      </w:r>
    </w:p>
    <w:bookmarkEnd w:id="65"/>
    <w:bookmarkStart w:id="66" w:name="attenuation-factor"/>
    <w:p>
      <w:pPr>
        <w:pStyle w:val="Heading3"/>
      </w:pPr>
      <w:r>
        <w:t xml:space="preserve">9.5 Attenuation Factor</w:t>
      </w:r>
    </w:p>
    <w:p>
      <w:pPr>
        <w:pStyle w:val="Compact"/>
        <w:numPr>
          <w:ilvl w:val="0"/>
          <w:numId w:val="1007"/>
        </w:numPr>
      </w:pPr>
      <w:r>
        <w:t xml:space="preserve">σ ≤ 2% → A = 1.00</w:t>
      </w:r>
    </w:p>
    <w:p>
      <w:pPr>
        <w:pStyle w:val="Compact"/>
        <w:numPr>
          <w:ilvl w:val="0"/>
          <w:numId w:val="1007"/>
        </w:numPr>
      </w:pPr>
      <w:r>
        <w:t xml:space="preserve">2% &lt; σ &lt; 5% → A = 1 − (σ − 0.02)/0.03</w:t>
      </w:r>
    </w:p>
    <w:p>
      <w:pPr>
        <w:pStyle w:val="Compact"/>
        <w:numPr>
          <w:ilvl w:val="0"/>
          <w:numId w:val="1007"/>
        </w:numPr>
      </w:pPr>
      <w:r>
        <w:t xml:space="preserve">σ ≥ 5% → A = 0.50</w:t>
      </w:r>
    </w:p>
    <w:bookmarkEnd w:id="66"/>
    <w:bookmarkStart w:id="67" w:name="combined-adjustment"/>
    <w:p>
      <w:pPr>
        <w:pStyle w:val="Heading3"/>
      </w:pPr>
      <w:r>
        <w:t xml:space="preserve">9.6 Combined Adjustment</w:t>
      </w:r>
    </w:p>
    <w:p>
      <w:pPr>
        <w:pStyle w:val="FirstParagraph"/>
      </w:pPr>
      <w:r>
        <w:t xml:space="preserve">K_i = 1 + A_t·(M_i·R_i − 1)</w:t>
      </w:r>
    </w:p>
    <w:bookmarkEnd w:id="67"/>
    <w:bookmarkStart w:id="68" w:name="liquidity-overlay"/>
    <w:p>
      <w:pPr>
        <w:pStyle w:val="Heading3"/>
      </w:pPr>
      <w:r>
        <w:t xml:space="preserve">9.7 Liquidity Overlay</w:t>
      </w:r>
    </w:p>
    <w:p>
      <w:pPr>
        <w:pStyle w:val="FirstParagraph"/>
      </w:pPr>
      <w:r>
        <w:t xml:space="preserve">L_i = 1 + 0.02·(Liquidity_i / Median − 1), clamped ±5%</w:t>
      </w:r>
    </w:p>
    <w:bookmarkEnd w:id="68"/>
    <w:bookmarkStart w:id="69" w:name="final-weight"/>
    <w:p>
      <w:pPr>
        <w:pStyle w:val="Heading3"/>
      </w:pPr>
      <w:r>
        <w:t xml:space="preserve">9.8 Final Weight</w:t>
      </w:r>
    </w:p>
    <w:p>
      <w:pPr>
        <w:pStyle w:val="FirstParagraph"/>
      </w:pPr>
      <w:r>
        <w:t xml:space="preserve">W_raw,i = C_i · K_i · L_i</w:t>
      </w:r>
    </w:p>
    <w:p>
      <w:pPr>
        <w:pStyle w:val="BodyText"/>
      </w:pPr>
      <w:r>
        <w:t xml:space="preserve">W_i^norm = W_raw,i / Σ_j W_raw,j (proportional normalization, NOT softmax)</w:t>
      </w:r>
    </w:p>
    <w:p>
      <w:pPr>
        <w:pStyle w:val="BodyText"/>
      </w:pPr>
      <w:r>
        <w:t xml:space="preserve">Then apply: eligibility → concentration → floor → stress → geopolitical → liquidity → jurisdiction → verification</w:t>
      </w:r>
    </w:p>
    <w:p>
      <w:pPr>
        <w:pStyle w:val="BodyText"/>
      </w:pPr>
      <w:r>
        <w:rPr>
          <w:b/>
          <w:bCs/>
        </w:rPr>
        <w:t xml:space="preserve">Σ_i W_i^final = 1</w:t>
      </w:r>
    </w:p>
    <w:bookmarkEnd w:id="69"/>
    <w:bookmarkStart w:id="70" w:name="concentration-policy"/>
    <w:p>
      <w:pPr>
        <w:pStyle w:val="Heading3"/>
      </w:pPr>
      <w:r>
        <w:t xml:space="preserve">9.9 Concentration Policy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maximum (operative)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Constitutional sanity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(cannot override 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 effective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</w:tr>
    </w:tbl>
    <w:bookmarkEnd w:id="70"/>
    <w:bookmarkStart w:id="71" w:name="usd-effective-exposure"/>
    <w:p>
      <w:pPr>
        <w:pStyle w:val="Heading3"/>
      </w:pPr>
      <w:r>
        <w:t xml:space="preserve">9.10 USD Effective Exposure</w:t>
      </w:r>
    </w:p>
    <w:p>
      <w:pPr>
        <w:pStyle w:val="FirstParagraph"/>
      </w:pPr>
      <w:r>
        <w:t xml:space="preserve">USD_effective = USD_direct + AED_USD-equiv + SAR_USD-equiv + USD-linked synthetic + USD-linked digital</w:t>
      </w:r>
    </w:p>
    <w:bookmarkEnd w:id="71"/>
    <w:bookmarkStart w:id="72" w:name="core-reserve-currencies-11"/>
    <w:p>
      <w:pPr>
        <w:pStyle w:val="Heading3"/>
      </w:pPr>
      <w:r>
        <w:t xml:space="preserve">9.11 Core Reserve Currencies (11)</w:t>
      </w:r>
    </w:p>
    <w:p>
      <w:pPr>
        <w:pStyle w:val="FirstParagraph"/>
      </w:pPr>
      <w:r>
        <w:t xml:space="preserve">USD, EUR, CHF, JPY, GBP, SGD, AED, SAR, CNY (conditional), CAD, AUD</w:t>
      </w:r>
    </w:p>
    <w:bookmarkEnd w:id="72"/>
    <w:bookmarkStart w:id="73" w:name="settlement-only-currencies-10"/>
    <w:p>
      <w:pPr>
        <w:pStyle w:val="Heading3"/>
      </w:pPr>
      <w:r>
        <w:t xml:space="preserve">9.12 Settlement-Only Currencies (10)</w:t>
      </w:r>
    </w:p>
    <w:p>
      <w:pPr>
        <w:pStyle w:val="FirstParagraph"/>
      </w:pPr>
      <w:r>
        <w:t xml:space="preserve">EGP, INR, KRW, TRY, BRL, MXN, ZAR, IDR, MYR, THB</w:t>
      </w:r>
    </w:p>
    <w:p>
      <w:pPr>
        <w:pStyle w:val="BodyText"/>
      </w:pPr>
      <w:r>
        <w:rPr>
          <w:b/>
          <w:bCs/>
        </w:rPr>
        <w:t xml:space="preserve">Principle:</w:t>
      </w:r>
      <w:r>
        <w:t xml:space="preserve"> </w:t>
      </w:r>
      <w:r>
        <w:t xml:space="preserve">Settlement eligibility ≠ reserve eligibility.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gold-bullion-module-23-29"/>
    <w:p>
      <w:pPr>
        <w:pStyle w:val="Heading2"/>
      </w:pPr>
      <w:r>
        <w:t xml:space="preserve">10. GOLD &amp; BULLION MODULE (§23-29)</w:t>
      </w:r>
    </w:p>
    <w:bookmarkStart w:id="75" w:name="gold-policy"/>
    <w:p>
      <w:pPr>
        <w:pStyle w:val="Heading3"/>
      </w:pPr>
      <w:r>
        <w:t xml:space="preserve">10.1 Gold Policy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Bullion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–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(SDC ≤ 0)</w:t>
            </w:r>
          </w:p>
        </w:tc>
      </w:tr>
    </w:tbl>
    <w:bookmarkEnd w:id="75"/>
    <w:bookmarkStart w:id="76" w:name="silver-sdc"/>
    <w:p>
      <w:pPr>
        <w:pStyle w:val="Heading3"/>
      </w:pPr>
      <w:r>
        <w:t xml:space="preserve">10.2 Silver SDC</w:t>
      </w:r>
    </w:p>
    <w:p>
      <w:pPr>
        <w:pStyle w:val="FirstParagraph"/>
      </w:pPr>
      <w:r>
        <w:t xml:space="preserve">SDC_Ag = NetResilienceGain − NetCost</w:t>
      </w:r>
    </w:p>
    <w:p>
      <w:pPr>
        <w:pStyle w:val="BodyText"/>
      </w:pPr>
      <w:r>
        <w:t xml:space="preserve">If SDC &gt; 0 → admit up to 3%. If SDC ≤ 0 → 0%.</w:t>
      </w:r>
    </w:p>
    <w:p>
      <w:pPr>
        <w:pStyle w:val="BodyText"/>
      </w:pPr>
      <w:r>
        <w:t xml:space="preserve">Current validated result:</w:t>
      </w:r>
      <w:r>
        <w:t xml:space="preserve"> </w:t>
      </w:r>
      <w:r>
        <w:rPr>
          <w:b/>
          <w:bCs/>
        </w:rPr>
        <w:t xml:space="preserve">Silver = 0%</w:t>
      </w:r>
      <w:r>
        <w:t xml:space="preserve">.</w:t>
      </w:r>
    </w:p>
    <w:bookmarkEnd w:id="76"/>
    <w:bookmarkStart w:id="77" w:name="tokenized-gold-tgrs"/>
    <w:p>
      <w:pPr>
        <w:pStyle w:val="Heading3"/>
      </w:pPr>
      <w:r>
        <w:t xml:space="preserve">10.3 Tokenized Gold (TGRS)</w:t>
      </w:r>
    </w:p>
    <w:p>
      <w:pPr>
        <w:pStyle w:val="FirstParagraph"/>
      </w:pPr>
      <w:r>
        <w:t xml:space="preserve">TGRS = 0.20·PhysicalBacking + 0.15·LegalTitle + 0.15·Custody + 0.10·Redemption + 0.10·IssuerReliability + 0.10·OracleReliability + 0.08·Settlement + 0.05·Liquidity + 0.05·OperationalResilience + 0.02·Jurisdiction</w:t>
      </w:r>
    </w:p>
    <w:p>
      <w:pPr>
        <w:pStyle w:val="Compact"/>
        <w:numPr>
          <w:ilvl w:val="0"/>
          <w:numId w:val="1008"/>
        </w:numPr>
      </w:pPr>
      <w:r>
        <w:t xml:space="preserve">TGRS ≥ 8.0 → Eligible</w:t>
      </w:r>
    </w:p>
    <w:p>
      <w:pPr>
        <w:pStyle w:val="Compact"/>
        <w:numPr>
          <w:ilvl w:val="0"/>
          <w:numId w:val="1008"/>
        </w:numPr>
      </w:pPr>
      <w:r>
        <w:t xml:space="preserve">6.0 ≤ TGRS &lt; 8.0 → Conditional</w:t>
      </w:r>
    </w:p>
    <w:p>
      <w:pPr>
        <w:pStyle w:val="Compact"/>
        <w:numPr>
          <w:ilvl w:val="0"/>
          <w:numId w:val="1008"/>
        </w:numPr>
      </w:pPr>
      <w:r>
        <w:t xml:space="preserve">H_TG = max(5%, 5% + (10 − TGRS)·0.5%)</w:t>
      </w:r>
    </w:p>
    <w:bookmarkEnd w:id="77"/>
    <w:bookmarkStart w:id="78" w:name="liquidation-sequence-gold-last"/>
    <w:p>
      <w:pPr>
        <w:pStyle w:val="Heading3"/>
      </w:pPr>
      <w:r>
        <w:t xml:space="preserve">10.4 Liquidation Sequence (gold LAST)</w:t>
      </w:r>
    </w:p>
    <w:p>
      <w:pPr>
        <w:pStyle w:val="Compact"/>
        <w:numPr>
          <w:ilvl w:val="0"/>
          <w:numId w:val="1009"/>
        </w:numPr>
      </w:pPr>
      <w:r>
        <w:t xml:space="preserve">Digital liquidity → 2. Cash → 3. Short-duration sovereign → 4. Non-USD FX → 5. Conditional silver → 6. Tokenized gold → 7. Physical gold (LAST)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digital-liquidity-module-30-36"/>
    <w:p>
      <w:pPr>
        <w:pStyle w:val="Heading2"/>
      </w:pPr>
      <w:r>
        <w:t xml:space="preserve">11. DIGITAL LIQUIDITY MODULE (§30-36)</w:t>
      </w:r>
    </w:p>
    <w:bookmarkStart w:id="80" w:name="digital-tiers"/>
    <w:p>
      <w:pPr>
        <w:pStyle w:val="Heading3"/>
      </w:pPr>
      <w:r>
        <w:t xml:space="preserve">11.1 Digital Tiers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Constitutional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bookmarkEnd w:id="80"/>
    <w:bookmarkStart w:id="81" w:name="drqs-scoring"/>
    <w:p>
      <w:pPr>
        <w:pStyle w:val="Heading3"/>
      </w:pPr>
      <w:r>
        <w:t xml:space="preserve">11.2 DRQS Scoring</w:t>
      </w:r>
    </w:p>
    <w:p>
      <w:pPr>
        <w:pStyle w:val="FirstParagraph"/>
      </w:pPr>
      <w:r>
        <w:t xml:space="preserve">DRQS_i = 0.20·Issuer + 0.15·Reserve + 0.15·Redemption + 0.15·Depeg + 0.10·Jurisdiction + 0.10·Custody + 0.10·Operational + 0.05·Liquidity</w:t>
      </w:r>
    </w:p>
    <w:p>
      <w:pPr>
        <w:pStyle w:val="Compact"/>
        <w:numPr>
          <w:ilvl w:val="0"/>
          <w:numId w:val="1010"/>
        </w:numPr>
      </w:pPr>
      <w:r>
        <w:t xml:space="preserve">DRQS ≥ 7.5 → Core</w:t>
      </w:r>
    </w:p>
    <w:p>
      <w:pPr>
        <w:pStyle w:val="Compact"/>
        <w:numPr>
          <w:ilvl w:val="0"/>
          <w:numId w:val="1010"/>
        </w:numPr>
      </w:pPr>
      <w:r>
        <w:t xml:space="preserve">DRQS ≥ 6.0 → Conditional</w:t>
      </w:r>
    </w:p>
    <w:p>
      <w:pPr>
        <w:pStyle w:val="Compact"/>
        <w:numPr>
          <w:ilvl w:val="0"/>
          <w:numId w:val="1010"/>
        </w:numPr>
      </w:pPr>
      <w:r>
        <w:t xml:space="preserve">Algorithmic stablecoins → EXCLUDED</w:t>
      </w:r>
    </w:p>
    <w:bookmarkEnd w:id="81"/>
    <w:bookmarkStart w:id="82" w:name="digital-universe"/>
    <w:p>
      <w:pPr>
        <w:pStyle w:val="Heading3"/>
      </w:pPr>
      <w:r>
        <w:t xml:space="preserve">11.3 Digital Universe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(conditional)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core (external conversion only)</w:t>
            </w:r>
          </w:p>
        </w:tc>
      </w:tr>
    </w:tbl>
    <w:bookmarkEnd w:id="82"/>
    <w:bookmarkStart w:id="83" w:name="usdt-architecture"/>
    <w:p>
      <w:pPr>
        <w:pStyle w:val="Heading3"/>
      </w:pPr>
      <w:r>
        <w:t xml:space="preserve">11.4 USDT Architecture</w:t>
      </w:r>
    </w:p>
    <w:p>
      <w:pPr>
        <w:pStyle w:val="FirstParagraph"/>
      </w:pPr>
      <w:r>
        <w:t xml:space="preserve">USDT is NOT core digital backing. It MAY be an external input/bridge/conversion asset when: jurisdiction permits, provider authorized, issuer eligible, KYC/KYB/AML/sanctions pass, liquidity passes, depeg conditions pass, settlement finality established.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bank-gateway-sidecar-architecture-11"/>
    <w:p>
      <w:pPr>
        <w:pStyle w:val="Heading2"/>
      </w:pPr>
      <w:r>
        <w:t xml:space="preserve">12. BANK GATEWAY / SIDECAR ARCHITECTURE (§11)</w:t>
      </w:r>
    </w:p>
    <w:bookmarkStart w:id="85" w:name="mbg-principle"/>
    <w:p>
      <w:pPr>
        <w:pStyle w:val="Heading3"/>
      </w:pPr>
      <w:r>
        <w:t xml:space="preserve">12.1 MBG Principle</w:t>
      </w:r>
    </w:p>
    <w:p>
      <w:pPr>
        <w:pStyle w:val="FirstParagraph"/>
      </w:pPr>
      <w:r>
        <w:rPr>
          <w:b/>
          <w:bCs/>
        </w:rPr>
        <w:t xml:space="preserve">TRANSLATION, NOT TRANSFORMATION.</w:t>
      </w:r>
    </w:p>
    <w:p>
      <w:pPr>
        <w:pStyle w:val="BodyText"/>
      </w:pPr>
      <w:r>
        <w:t xml:space="preserve">Bank systems remain authoritative for: core banking, customer accounts, KYC, KYB, AML/CFT, sanctions, FX, treasury, accounting, SWIFT, ISO 20022.</w:t>
      </w:r>
    </w:p>
    <w:p>
      <w:pPr>
        <w:pStyle w:val="BodyText"/>
      </w:pPr>
      <w:r>
        <w:t xml:space="preserve">MITHQAL must NOT require core banking replacement.</w:t>
      </w:r>
    </w:p>
    <w:bookmarkEnd w:id="85"/>
    <w:bookmarkStart w:id="86" w:name="mbg-architecture"/>
    <w:p>
      <w:pPr>
        <w:pStyle w:val="Heading3"/>
      </w:pPr>
      <w:r>
        <w:t xml:space="preserve">12.2 MBG Architecture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Treasury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Banking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KYC/KYB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AML/Sanctions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FX/Treasury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 Adapter (translation)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20022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Host-to-Host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 Gate (7 layers)</w:t>
            </w:r>
          </w:p>
        </w:tc>
      </w:tr>
    </w:tbl>
    <w:bookmarkEnd w:id="86"/>
    <w:bookmarkStart w:id="87" w:name="iso-20022-messages"/>
    <w:p>
      <w:pPr>
        <w:pStyle w:val="Heading3"/>
      </w:pPr>
      <w:r>
        <w:t xml:space="preserve">12.3 ISO 20022 Messages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Credit Transfer Initiation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Payment Status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pacs.002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FIToFIPaymentStatusReport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pacs.008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FIToFICustomerCreditTransfer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pacs.009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FItoFICustomerDirectDebit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camt.025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camt.054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BankToCustomerDebitCreditNotification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camt.056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FIToFIPaymentCancellationRequest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BusinessApplicationHeader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89" w:name="bank-side-compliance-attestation-8"/>
    <w:p>
      <w:pPr>
        <w:pStyle w:val="Heading2"/>
      </w:pPr>
      <w:r>
        <w:t xml:space="preserve">13. BANK-SIDE COMPLIANCE ATTESTATION (§8)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Receives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KYB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SANCTIONS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AUTHORITY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AVAILABLE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Customer identity remains inside the regulated bank.</w:t>
      </w:r>
      <w:r>
        <w:t xml:space="preserve"> </w:t>
      </w:r>
      <w:r>
        <w:t xml:space="preserve">MITHQAL receives only what is necessary for institutional settlement and compliance.</w:t>
      </w:r>
    </w:p>
    <w:p>
      <w:r>
        <w:pict>
          <v:rect style="width:0;height:1.5pt" o:hralign="center" o:hrstd="t" o:hr="t"/>
        </w:pict>
      </w:r>
    </w:p>
    <w:bookmarkEnd w:id="89"/>
    <w:bookmarkStart w:id="93" w:name="protected-backing-cell-47"/>
    <w:p>
      <w:pPr>
        <w:pStyle w:val="Heading2"/>
      </w:pPr>
      <w:r>
        <w:t xml:space="preserve">14. PROTECTED BACKING CELL (§47)</w:t>
      </w:r>
    </w:p>
    <w:bookmarkStart w:id="90" w:name="formula"/>
    <w:p>
      <w:pPr>
        <w:pStyle w:val="Heading3"/>
      </w:pPr>
      <w:r>
        <w:t xml:space="preserve">14.1 Formula</w:t>
      </w:r>
    </w:p>
    <w:p>
      <w:pPr>
        <w:pStyle w:val="FirstParagraph"/>
      </w:pPr>
      <w:r>
        <w:t xml:space="preserve">AvailableBacking = RecognizedBacking − EncumberedBacking − AlreadyAllocatedBacking</w:t>
      </w:r>
    </w:p>
    <w:bookmarkEnd w:id="90"/>
    <w:bookmarkStart w:id="91" w:name="field-schema"/>
    <w:p>
      <w:pPr>
        <w:pStyle w:val="Heading3"/>
      </w:pPr>
      <w:r>
        <w:t xml:space="preserve">14.2 17-Field Schema</w:t>
      </w:r>
    </w:p>
    <w:p>
      <w:pPr>
        <w:pStyle w:val="FirstParagraph"/>
      </w:pPr>
      <w:r>
        <w:t xml:space="preserve">backing ID, institution ID, asset, quantity, valuation, haircut, legal status, custodian, jurisdiction, encumbrance status, allocation status, utilized amount, available amount, evidence, verification timestamp, effective date, expiry</w:t>
      </w:r>
    </w:p>
    <w:bookmarkEnd w:id="91"/>
    <w:bookmarkStart w:id="92" w:name="anti-double-count-rule"/>
    <w:p>
      <w:pPr>
        <w:pStyle w:val="Heading3"/>
      </w:pPr>
      <w:r>
        <w:t xml:space="preserve">14.3 Anti-Double-Count Rule</w:t>
      </w:r>
    </w:p>
    <w:p>
      <w:pPr>
        <w:pStyle w:val="FirstParagraph"/>
      </w:pPr>
      <w:r>
        <w:t xml:space="preserve">Same backing must never support multiple MTQ obligations. Enforced at mutation time + independent audit.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0 live cells (4 SIMULATED reference cells).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three-book-separation-51"/>
    <w:p>
      <w:pPr>
        <w:pStyle w:val="Heading2"/>
      </w:pPr>
      <w:r>
        <w:t xml:space="preserve">15. THREE-BOOK SEPARATION (§51)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A — MITHQAL 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expenses, payroll, tax, technology costs, corporate assets/liabilities,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B — Bank MTQ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bank, applicable backing, MTQ originated/outstanding, redemption obligations, liquidity, settlement, bank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C — Corporate 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MTQ balance, available/reserved/pending, sent/received, redemption, settlement history, bank-money linkage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Anti-commingling tests (4):</w:t>
      </w:r>
      <w:r>
        <w:t xml:space="preserve"> </w:t>
      </w:r>
      <w:r>
        <w:t xml:space="preserve">ALL BLOCKED</w:t>
      </w:r>
      <w:r>
        <w:t xml:space="preserve"> </w:t>
      </w:r>
      <w:r>
        <w:t xml:space="preserve">1. Corporate cash → MTQ backing (BLOCKED)</w:t>
      </w:r>
      <w:r>
        <w:t xml:space="preserve"> </w:t>
      </w:r>
      <w:r>
        <w:t xml:space="preserve">2. Bank obligation → MITHQAL revenue (BLOCKED)</w:t>
      </w:r>
      <w:r>
        <w:t xml:space="preserve"> </w:t>
      </w:r>
      <w:r>
        <w:t xml:space="preserve">3. Corporate MTQ → MITHQAL asset (BLOCKED)</w:t>
      </w:r>
      <w:r>
        <w:t xml:space="preserve"> </w:t>
      </w:r>
      <w:r>
        <w:t xml:space="preserve">4. Reserve gain → Operating revenue (BLOCKED)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threeBookDesign=true, threeBookOperational=false, threeBookEnforced=false.</w:t>
      </w:r>
    </w:p>
    <w:p>
      <w:r>
        <w:pict>
          <v:rect style="width:0;height:1.5pt" o:hralign="center" o:hrstd="t" o:hr="t"/>
        </w:pict>
      </w:r>
    </w:p>
    <w:bookmarkEnd w:id="94"/>
    <w:bookmarkStart w:id="95" w:name="five-way-reconciliation-11"/>
    <w:p>
      <w:pPr>
        <w:pStyle w:val="Heading2"/>
      </w:pPr>
      <w:r>
        <w:t xml:space="preserve">16. FIVE-WAY RECONCILIATION (§11)</w:t>
      </w:r>
    </w:p>
    <w:p>
      <w:pPr>
        <w:pStyle w:val="Compact"/>
        <w:numPr>
          <w:ilvl w:val="0"/>
          <w:numId w:val="1011"/>
        </w:numPr>
      </w:pPr>
      <w:r>
        <w:t xml:space="preserve">Canonical MITHQAL Ledger</w:t>
      </w:r>
    </w:p>
    <w:p>
      <w:pPr>
        <w:pStyle w:val="Compact"/>
        <w:numPr>
          <w:ilvl w:val="0"/>
          <w:numId w:val="1011"/>
        </w:numPr>
      </w:pPr>
      <w:r>
        <w:t xml:space="preserve">Bank MTQ Subledger</w:t>
      </w:r>
    </w:p>
    <w:p>
      <w:pPr>
        <w:pStyle w:val="Compact"/>
        <w:numPr>
          <w:ilvl w:val="0"/>
          <w:numId w:val="1011"/>
        </w:numPr>
      </w:pPr>
      <w:r>
        <w:t xml:space="preserve">Corporate MTQ Positions</w:t>
      </w:r>
    </w:p>
    <w:p>
      <w:pPr>
        <w:pStyle w:val="Compact"/>
        <w:numPr>
          <w:ilvl w:val="0"/>
          <w:numId w:val="1011"/>
        </w:numPr>
      </w:pPr>
      <w:r>
        <w:t xml:space="preserve">Reserve Ledger</w:t>
      </w:r>
    </w:p>
    <w:p>
      <w:pPr>
        <w:pStyle w:val="Compact"/>
        <w:numPr>
          <w:ilvl w:val="0"/>
          <w:numId w:val="1011"/>
        </w:numPr>
      </w:pPr>
      <w:r>
        <w:t xml:space="preserve">Proof-of-Liabilities</w:t>
      </w:r>
    </w:p>
    <w:p>
      <w:pPr>
        <w:pStyle w:val="FirstParagraph"/>
      </w:pPr>
      <w:r>
        <w:t xml:space="preserve">Reconciliation includes: frequency, real-time vs batch, deterministic matching, exception handling, break management, escalation, settlement suspension, remediation.</w:t>
      </w:r>
    </w:p>
    <w:p>
      <w:r>
        <w:pict>
          <v:rect style="width:0;height:1.5pt" o:hralign="center" o:hrstd="t" o:hr="t"/>
        </w:pict>
      </w:r>
    </w:p>
    <w:bookmarkEnd w:id="95"/>
    <w:bookmarkStart w:id="98" w:name="bank-default-resolution-48"/>
    <w:p>
      <w:pPr>
        <w:pStyle w:val="Heading2"/>
      </w:pPr>
      <w:r>
        <w:t xml:space="preserve">17. BANK DEFAULT &amp; RESOLUTION (§48)</w:t>
      </w:r>
    </w:p>
    <w:bookmarkStart w:id="96" w:name="state-lifecycle"/>
    <w:p>
      <w:pPr>
        <w:pStyle w:val="Heading3"/>
      </w:pPr>
      <w:r>
        <w:t xml:space="preserve">17.1 8-State Lifecycle</w:t>
      </w:r>
    </w:p>
    <w:p>
      <w:pPr>
        <w:pStyle w:val="FirstParagraph"/>
      </w:pPr>
      <w:r>
        <w:t xml:space="preserve">ACTIVE → RESTRICTED → LIQUIDITY_STRESS → SUSPENDED → DEFAULT → INSOLVENT → RESOLUTION → EXIT</w:t>
      </w:r>
    </w:p>
    <w:bookmarkEnd w:id="96"/>
    <w:bookmarkStart w:id="97" w:name="contractual-questions"/>
    <w:p>
      <w:pPr>
        <w:pStyle w:val="Heading3"/>
      </w:pPr>
      <w:r>
        <w:t xml:space="preserve">17.2 11 Contractual Questions</w:t>
      </w:r>
    </w:p>
    <w:p>
      <w:pPr>
        <w:pStyle w:val="Compact"/>
        <w:numPr>
          <w:ilvl w:val="0"/>
          <w:numId w:val="1012"/>
        </w:numPr>
      </w:pPr>
      <w:r>
        <w:t xml:space="preserve">Who owes the holder?</w:t>
      </w:r>
    </w:p>
    <w:p>
      <w:pPr>
        <w:pStyle w:val="Compact"/>
        <w:numPr>
          <w:ilvl w:val="0"/>
          <w:numId w:val="1012"/>
        </w:numPr>
      </w:pPr>
      <w:r>
        <w:t xml:space="preserve">Who owes the receiving bank?</w:t>
      </w:r>
    </w:p>
    <w:p>
      <w:pPr>
        <w:pStyle w:val="Compact"/>
        <w:numPr>
          <w:ilvl w:val="0"/>
          <w:numId w:val="1012"/>
        </w:numPr>
      </w:pPr>
      <w:r>
        <w:t xml:space="preserve">What is the holder’s claim?</w:t>
      </w:r>
    </w:p>
    <w:p>
      <w:pPr>
        <w:pStyle w:val="Compact"/>
        <w:numPr>
          <w:ilvl w:val="0"/>
          <w:numId w:val="1012"/>
        </w:numPr>
      </w:pPr>
      <w:r>
        <w:t xml:space="preserve">What happens to existing MTQ?</w:t>
      </w:r>
    </w:p>
    <w:p>
      <w:pPr>
        <w:pStyle w:val="Compact"/>
        <w:numPr>
          <w:ilvl w:val="0"/>
          <w:numId w:val="1012"/>
        </w:numPr>
      </w:pPr>
      <w:r>
        <w:t xml:space="preserve">Can it continue transferring?</w:t>
      </w:r>
    </w:p>
    <w:p>
      <w:pPr>
        <w:pStyle w:val="Compact"/>
        <w:numPr>
          <w:ilvl w:val="0"/>
          <w:numId w:val="1012"/>
        </w:numPr>
      </w:pPr>
      <w:r>
        <w:t xml:space="preserve">Can it redeem?</w:t>
      </w:r>
    </w:p>
    <w:p>
      <w:pPr>
        <w:pStyle w:val="Compact"/>
        <w:numPr>
          <w:ilvl w:val="0"/>
          <w:numId w:val="1012"/>
        </w:numPr>
      </w:pPr>
      <w:r>
        <w:t xml:space="preserve">Who absorbs losses?</w:t>
      </w:r>
    </w:p>
    <w:p>
      <w:pPr>
        <w:pStyle w:val="Compact"/>
        <w:numPr>
          <w:ilvl w:val="0"/>
          <w:numId w:val="1012"/>
        </w:numPr>
      </w:pPr>
      <w:r>
        <w:t xml:space="preserve">What happens to backing?</w:t>
      </w:r>
    </w:p>
    <w:p>
      <w:pPr>
        <w:pStyle w:val="Compact"/>
        <w:numPr>
          <w:ilvl w:val="0"/>
          <w:numId w:val="1012"/>
        </w:numPr>
      </w:pPr>
      <w:r>
        <w:t xml:space="preserve">What does the resolution authority control?</w:t>
      </w:r>
    </w:p>
    <w:p>
      <w:pPr>
        <w:pStyle w:val="Compact"/>
        <w:numPr>
          <w:ilvl w:val="0"/>
          <w:numId w:val="1012"/>
        </w:numPr>
      </w:pPr>
      <w:r>
        <w:t xml:space="preserve">How is reconciliation performed?</w:t>
      </w:r>
    </w:p>
    <w:p>
      <w:pPr>
        <w:pStyle w:val="Compact"/>
        <w:numPr>
          <w:ilvl w:val="0"/>
          <w:numId w:val="1012"/>
        </w:numPr>
      </w:pPr>
      <w:r>
        <w:t xml:space="preserve">What is the customer treatment?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MITHQAL is NOT the financial guarantor.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bankDefaultStateModelDesigned=true, bankDefaultContractValidated=false.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legal-liability-framework-49"/>
    <w:p>
      <w:pPr>
        <w:pStyle w:val="Heading2"/>
      </w:pPr>
      <w:r>
        <w:t xml:space="preserve">18. LEGAL LIABILITY FRAMEWORK (§49)</w:t>
      </w:r>
    </w:p>
    <w:bookmarkStart w:id="99" w:name="dimensions"/>
    <w:p>
      <w:pPr>
        <w:pStyle w:val="Heading3"/>
      </w:pPr>
      <w:r>
        <w:t xml:space="preserve">18.1 13 Dimensions</w:t>
      </w:r>
    </w:p>
    <w:p>
      <w:pPr>
        <w:pStyle w:val="FirstParagraph"/>
      </w:pPr>
      <w:r>
        <w:t xml:space="preserve">Jurisdiction, legal nature, obligor, holder rights, redemption, settlement finality, creditor treatment, insolvency treatment, transferability, pledgeability, governing law, dispute resolution, licensing classification.</w:t>
      </w:r>
    </w:p>
    <w:bookmarkEnd w:id="99"/>
    <w:bookmarkStart w:id="100" w:name="jurisdiction-registry"/>
    <w:p>
      <w:pPr>
        <w:pStyle w:val="Heading3"/>
      </w:pPr>
      <w:r>
        <w:t xml:space="preserve">18.2 Jurisdiction Registry</w:t>
      </w:r>
    </w:p>
    <w:p>
      <w:pPr>
        <w:pStyle w:val="FirstParagraph"/>
      </w:pPr>
      <w:r>
        <w:t xml:space="preserve">8 jurisdictions seeded (US, EU/EEA, UK, CH, SG, AE, SA, JP) — ALL JURISDICTION_PENDING.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validatedJurisdictions = 0, legalOpinionsObtained = false.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licensing-entity-matrix-50"/>
    <w:p>
      <w:pPr>
        <w:pStyle w:val="Heading2"/>
      </w:pPr>
      <w:r>
        <w:t xml:space="preserve">19. LICENSING / ENTITY MATRIX (§50)</w:t>
      </w:r>
    </w:p>
    <w:bookmarkStart w:id="102" w:name="activities-9"/>
    <w:p>
      <w:pPr>
        <w:pStyle w:val="Heading3"/>
      </w:pPr>
      <w:r>
        <w:t xml:space="preserve">19.1 Activities (9)</w:t>
      </w:r>
    </w:p>
    <w:p>
      <w:pPr>
        <w:pStyle w:val="FirstParagraph"/>
      </w:pPr>
      <w:r>
        <w:t xml:space="preserve">Banking, payment services, custody, FX, digital asset/CASP, securities, commodity, CBDC access, settlement activities.</w:t>
      </w:r>
    </w:p>
    <w:bookmarkEnd w:id="102"/>
    <w:bookmarkStart w:id="103" w:name="jurisdictions-8"/>
    <w:p>
      <w:pPr>
        <w:pStyle w:val="Heading3"/>
      </w:pPr>
      <w:r>
        <w:t xml:space="preserve">19.2 Jurisdictions (8)</w:t>
      </w:r>
    </w:p>
    <w:p>
      <w:pPr>
        <w:pStyle w:val="FirstParagraph"/>
      </w:pPr>
      <w:r>
        <w:t xml:space="preserve">US, UAE, UK, EU, Singapore, Switzerland, Hong Kong, KSA.</w:t>
      </w:r>
    </w:p>
    <w:bookmarkEnd w:id="103"/>
    <w:bookmarkStart w:id="104" w:name="matrix"/>
    <w:p>
      <w:pPr>
        <w:pStyle w:val="Heading3"/>
      </w:pPr>
      <w:r>
        <w:t xml:space="preserve">19.3 Matrix</w:t>
      </w:r>
    </w:p>
    <w:p>
      <w:pPr>
        <w:pStyle w:val="FirstParagraph"/>
      </w:pPr>
      <w:r>
        <w:t xml:space="preserve">72 entries (9 × 8) — ALL status = REQUIRED_NOT_OBTAINED.</w:t>
      </w:r>
    </w:p>
    <w:p>
      <w:pPr>
        <w:pStyle w:val="BodyText"/>
      </w:pPr>
      <w:r>
        <w:rPr>
          <w:b/>
          <w:bCs/>
        </w:rPr>
        <w:t xml:space="preserve">MITHQAL role:</w:t>
      </w:r>
      <w:r>
        <w:t xml:space="preserve"> </w:t>
      </w:r>
      <w:r>
        <w:t xml:space="preserve">NEVER</w:t>
      </w:r>
      <w:r>
        <w:t xml:space="preserve"> </w:t>
      </w:r>
      <w:r>
        <w:t xml:space="preserve">“</w:t>
      </w:r>
      <w:r>
        <w:t xml:space="preserve">GUARANTOR</w:t>
      </w:r>
      <w:r>
        <w:t xml:space="preserve">”</w:t>
      </w:r>
      <w:r>
        <w:t xml:space="preserve"> </w:t>
      </w:r>
      <w:r>
        <w:t xml:space="preserve">— only NONE/VERIFICATION/ORCHESTRATION/INFRASTRUCTURE.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licensesObtained = 0.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systemic-exposure-engine-52"/>
    <w:p>
      <w:pPr>
        <w:pStyle w:val="Heading2"/>
      </w:pPr>
      <w:r>
        <w:t xml:space="preserve">20. SYSTEMIC EXPOSURE ENGINE (§52)</w:t>
      </w:r>
    </w:p>
    <w:bookmarkStart w:id="106" w:name="concentration-dimensions"/>
    <w:p>
      <w:pPr>
        <w:pStyle w:val="Heading3"/>
      </w:pPr>
      <w:r>
        <w:t xml:space="preserve">20.1 13 Concentration Dimensions</w:t>
      </w:r>
    </w:p>
    <w:p>
      <w:pPr>
        <w:pStyle w:val="FirstParagraph"/>
      </w:pPr>
      <w:r>
        <w:t xml:space="preserve">Bank, banking group, country, currency, custodian, correspondent, settlement rail, liquidity provider, stablecoin issuer, technology provider, geopolitical correlation, operational correlation, bank exposure.</w:t>
      </w:r>
    </w:p>
    <w:bookmarkEnd w:id="106"/>
    <w:bookmarkStart w:id="107" w:name="concentration-limits"/>
    <w:p>
      <w:pPr>
        <w:pStyle w:val="Heading3"/>
      </w:pPr>
      <w:r>
        <w:t xml:space="preserve">20.2 Concentration Limits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systemicRiskMonitoringLive = false, systemicRiskProductionValidated = false.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mtq-operating-system-10"/>
    <w:p>
      <w:pPr>
        <w:pStyle w:val="Heading2"/>
      </w:pPr>
      <w:r>
        <w:t xml:space="preserve">21. MTQ OPERATING SYSTEM (§10)</w:t>
      </w:r>
    </w:p>
    <w:bookmarkStart w:id="109" w:name="step-issuance-pipeline"/>
    <w:p>
      <w:pPr>
        <w:pStyle w:val="Heading3"/>
      </w:pPr>
      <w:r>
        <w:t xml:space="preserve">21.1 16-Step Issuance Pipeline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Receives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KYC/KYB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AML/Sanctions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Establishes 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Requests MTQ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Backing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Bank-Specific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Monetary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 Verification + 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3" w:name="cross-border-corridor-aed-sgd"/>
    <w:p>
      <w:pPr>
        <w:pStyle w:val="Heading2"/>
      </w:pPr>
      <w:r>
        <w:t xml:space="preserve">22. CROSS-BORDER CORRIDOR (AED ↔ SGD)</w:t>
      </w:r>
    </w:p>
    <w:bookmarkStart w:id="111" w:name="demo-transaction"/>
    <w:p>
      <w:pPr>
        <w:pStyle w:val="Heading3"/>
      </w:pPr>
      <w:r>
        <w:t xml:space="preserve">22.1 Demo Transaction</w:t>
      </w:r>
    </w:p>
    <w:p>
      <w:pPr>
        <w:pStyle w:val="Compact"/>
        <w:numPr>
          <w:ilvl w:val="0"/>
          <w:numId w:val="1013"/>
        </w:numPr>
      </w:pPr>
      <w:r>
        <w:t xml:space="preserve">Input: 1,000,000 AED</w:t>
      </w:r>
    </w:p>
    <w:p>
      <w:pPr>
        <w:pStyle w:val="Compact"/>
        <w:numPr>
          <w:ilvl w:val="0"/>
          <w:numId w:val="1013"/>
        </w:numPr>
      </w:pPr>
      <w:r>
        <w:t xml:space="preserve">Output: 367,365 SGD</w:t>
      </w:r>
    </w:p>
    <w:p>
      <w:pPr>
        <w:pStyle w:val="Compact"/>
        <w:numPr>
          <w:ilvl w:val="0"/>
          <w:numId w:val="1013"/>
        </w:numPr>
      </w:pPr>
      <w:r>
        <w:t xml:space="preserve">FX Route: USD-bridge</w:t>
      </w:r>
    </w:p>
    <w:p>
      <w:pPr>
        <w:pStyle w:val="Compact"/>
        <w:numPr>
          <w:ilvl w:val="0"/>
          <w:numId w:val="1013"/>
        </w:numPr>
      </w:pPr>
      <w:r>
        <w:t xml:space="preserve">AED Rail: Tokenized Deposit</w:t>
      </w:r>
    </w:p>
    <w:p>
      <w:pPr>
        <w:pStyle w:val="Compact"/>
        <w:numPr>
          <w:ilvl w:val="0"/>
          <w:numId w:val="1013"/>
        </w:numPr>
      </w:pPr>
      <w:r>
        <w:t xml:space="preserve">SGD Rail: CBDC</w:t>
      </w:r>
    </w:p>
    <w:p>
      <w:pPr>
        <w:pStyle w:val="Compact"/>
        <w:numPr>
          <w:ilvl w:val="0"/>
          <w:numId w:val="1013"/>
        </w:numPr>
      </w:pPr>
      <w:r>
        <w:t xml:space="preserve">Compliance: PASSED</w:t>
      </w:r>
    </w:p>
    <w:p>
      <w:pPr>
        <w:pStyle w:val="Compact"/>
        <w:numPr>
          <w:ilvl w:val="0"/>
          <w:numId w:val="1013"/>
        </w:numPr>
      </w:pPr>
      <w:r>
        <w:t xml:space="preserve">Settlement: ATOMICALLY_SETTLED</w:t>
      </w:r>
    </w:p>
    <w:p>
      <w:pPr>
        <w:pStyle w:val="Compact"/>
        <w:numPr>
          <w:ilvl w:val="0"/>
          <w:numId w:val="1013"/>
        </w:numPr>
      </w:pPr>
      <w:r>
        <w:t xml:space="preserve">MTQ Minted: 272,000</w:t>
      </w:r>
    </w:p>
    <w:p>
      <w:pPr>
        <w:pStyle w:val="Compact"/>
        <w:numPr>
          <w:ilvl w:val="0"/>
          <w:numId w:val="1013"/>
        </w:numPr>
      </w:pPr>
      <w:r>
        <w:t xml:space="preserve">Cost: 7.00 bps</w:t>
      </w:r>
    </w:p>
    <w:bookmarkEnd w:id="111"/>
    <w:bookmarkStart w:id="112" w:name="multi-rail-support"/>
    <w:p>
      <w:pPr>
        <w:pStyle w:val="Heading3"/>
      </w:pPr>
      <w:r>
        <w:t xml:space="preserve">22.2 8 Multi-Rail Support</w:t>
      </w:r>
    </w:p>
    <w:p>
      <w:pPr>
        <w:pStyle w:val="FirstParagraph"/>
      </w:pPr>
      <w:r>
        <w:t xml:space="preserve">SWIFT, ISO 20022, REST API, Host-to-Host, SFTP, RTGS, Tokenized Deposit, CBDC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tokenization"/>
    <w:p>
      <w:pPr>
        <w:pStyle w:val="Heading2"/>
      </w:pPr>
      <w:r>
        <w:t xml:space="preserve">23. TOKENIZATION</w:t>
      </w:r>
    </w:p>
    <w:bookmarkStart w:id="114" w:name="rwa-assets-4"/>
    <w:p>
      <w:pPr>
        <w:pStyle w:val="Heading3"/>
      </w:pPr>
      <w:r>
        <w:t xml:space="preserve">23.1 RWA Assets (4)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Tokenized Commercial Paper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RWA_COMMERCIAL_PAPER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Tokenized Commercial Paper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RWA_COMMERCIAL_PAPER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Debt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RWA_ENTERPRISE_DEBT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Debt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RWA_ENTERPRISE_DEBT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114"/>
    <w:bookmarkStart w:id="115" w:name="digitized-coins-3"/>
    <w:p>
      <w:pPr>
        <w:pStyle w:val="Heading3"/>
      </w:pPr>
      <w:r>
        <w:t xml:space="preserve">23.2 Digitized Coins (3)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Tokenized USD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TOKENIZED_DEPOSIT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Tokenized EUR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TOKENIZED_DEPOSIT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 CBDC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WHOLESALE_CBDC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stablecoins</w:t>
      </w:r>
      <w:r>
        <w:t xml:space="preserve"> </w:t>
      </w:r>
      <w:r>
        <w:t xml:space="preserve">(§44, §72) — separate class.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institutional-engagement"/>
    <w:p>
      <w:pPr>
        <w:pStyle w:val="Heading2"/>
      </w:pPr>
      <w:r>
        <w:t xml:space="preserve">24. INSTITUTIONAL ENGAGEMENT</w:t>
      </w:r>
    </w:p>
    <w:bookmarkStart w:id="117" w:name="who-mithqal-is-seeking-10"/>
    <w:p>
      <w:pPr>
        <w:pStyle w:val="Heading3"/>
      </w:pPr>
      <w:r>
        <w:t xml:space="preserve">24.1 Who MITHQAL Is Seeking (10)</w:t>
      </w:r>
    </w:p>
    <w:p>
      <w:pPr>
        <w:pStyle w:val="Compact"/>
        <w:numPr>
          <w:ilvl w:val="0"/>
          <w:numId w:val="1014"/>
        </w:numPr>
      </w:pPr>
      <w:r>
        <w:t xml:space="preserve">Central Banks / Monetary Authorities</w:t>
      </w:r>
    </w:p>
    <w:p>
      <w:pPr>
        <w:pStyle w:val="Compact"/>
        <w:numPr>
          <w:ilvl w:val="0"/>
          <w:numId w:val="1014"/>
        </w:numPr>
      </w:pPr>
      <w:r>
        <w:t xml:space="preserve">Regulated Banks</w:t>
      </w:r>
    </w:p>
    <w:p>
      <w:pPr>
        <w:pStyle w:val="Compact"/>
        <w:numPr>
          <w:ilvl w:val="0"/>
          <w:numId w:val="1014"/>
        </w:numPr>
      </w:pPr>
      <w:r>
        <w:t xml:space="preserve">Regulated Financial Institutions</w:t>
      </w:r>
    </w:p>
    <w:p>
      <w:pPr>
        <w:pStyle w:val="Compact"/>
        <w:numPr>
          <w:ilvl w:val="0"/>
          <w:numId w:val="1014"/>
        </w:numPr>
      </w:pPr>
      <w:r>
        <w:t xml:space="preserve">Payment / Clearing / Settlement Infrastructure</w:t>
      </w:r>
    </w:p>
    <w:p>
      <w:pPr>
        <w:pStyle w:val="Compact"/>
        <w:numPr>
          <w:ilvl w:val="0"/>
          <w:numId w:val="1014"/>
        </w:numPr>
      </w:pPr>
      <w:r>
        <w:t xml:space="preserve">Government / Sovereign Infrastructure Authorities</w:t>
      </w:r>
    </w:p>
    <w:p>
      <w:pPr>
        <w:pStyle w:val="Compact"/>
        <w:numPr>
          <w:ilvl w:val="0"/>
          <w:numId w:val="1014"/>
        </w:numPr>
      </w:pPr>
      <w:r>
        <w:t xml:space="preserve">Financial Regulators / Supervisory Authorities</w:t>
      </w:r>
    </w:p>
    <w:p>
      <w:pPr>
        <w:pStyle w:val="Compact"/>
        <w:numPr>
          <w:ilvl w:val="0"/>
          <w:numId w:val="1014"/>
        </w:numPr>
      </w:pPr>
      <w:r>
        <w:t xml:space="preserve">Banking Technology / Payment-Rail Providers</w:t>
      </w:r>
    </w:p>
    <w:p>
      <w:pPr>
        <w:pStyle w:val="Compact"/>
        <w:numPr>
          <w:ilvl w:val="0"/>
          <w:numId w:val="1014"/>
        </w:numPr>
      </w:pPr>
      <w:r>
        <w:t xml:space="preserve">Cybersecurity / Independent Assurance Institutions</w:t>
      </w:r>
    </w:p>
    <w:p>
      <w:pPr>
        <w:pStyle w:val="Compact"/>
        <w:numPr>
          <w:ilvl w:val="0"/>
          <w:numId w:val="1014"/>
        </w:numPr>
      </w:pPr>
      <w:r>
        <w:t xml:space="preserve">Legal / Regulatory Institutions</w:t>
      </w:r>
    </w:p>
    <w:p>
      <w:pPr>
        <w:pStyle w:val="Compact"/>
        <w:numPr>
          <w:ilvl w:val="0"/>
          <w:numId w:val="1014"/>
        </w:numPr>
      </w:pPr>
      <w:r>
        <w:t xml:space="preserve">Standards / Research Institutions</w:t>
      </w:r>
    </w:p>
    <w:bookmarkEnd w:id="117"/>
    <w:bookmarkStart w:id="118" w:name="engagement-types-6"/>
    <w:p>
      <w:pPr>
        <w:pStyle w:val="Heading3"/>
      </w:pPr>
      <w:r>
        <w:t xml:space="preserve">24.2 Engagement Types (6)</w:t>
      </w:r>
    </w:p>
    <w:p>
      <w:pPr>
        <w:pStyle w:val="Compact"/>
        <w:numPr>
          <w:ilvl w:val="0"/>
          <w:numId w:val="1015"/>
        </w:numPr>
      </w:pPr>
      <w:r>
        <w:t xml:space="preserve">Architecture Review</w:t>
      </w:r>
    </w:p>
    <w:p>
      <w:pPr>
        <w:pStyle w:val="Compact"/>
        <w:numPr>
          <w:ilvl w:val="0"/>
          <w:numId w:val="1015"/>
        </w:numPr>
      </w:pPr>
      <w:r>
        <w:t xml:space="preserve">Regulatory / Legal Review</w:t>
      </w:r>
    </w:p>
    <w:p>
      <w:pPr>
        <w:pStyle w:val="Compact"/>
        <w:numPr>
          <w:ilvl w:val="0"/>
          <w:numId w:val="1015"/>
        </w:numPr>
      </w:pPr>
      <w:r>
        <w:t xml:space="preserve">Sandbox Testing</w:t>
      </w:r>
    </w:p>
    <w:p>
      <w:pPr>
        <w:pStyle w:val="Compact"/>
        <w:numPr>
          <w:ilvl w:val="0"/>
          <w:numId w:val="1015"/>
        </w:numPr>
      </w:pPr>
      <w:r>
        <w:t xml:space="preserve">Bank Integration Pilot</w:t>
      </w:r>
    </w:p>
    <w:p>
      <w:pPr>
        <w:pStyle w:val="Compact"/>
        <w:numPr>
          <w:ilvl w:val="0"/>
          <w:numId w:val="1015"/>
        </w:numPr>
      </w:pPr>
      <w:r>
        <w:t xml:space="preserve">Settlement Pilot</w:t>
      </w:r>
    </w:p>
    <w:p>
      <w:pPr>
        <w:pStyle w:val="Compact"/>
        <w:numPr>
          <w:ilvl w:val="0"/>
          <w:numId w:val="1015"/>
        </w:numPr>
      </w:pPr>
      <w:r>
        <w:t xml:space="preserve">Independent Assurance</w:t>
      </w:r>
    </w:p>
    <w:bookmarkEnd w:id="118"/>
    <w:bookmarkStart w:id="119" w:name="pilot-readiness-categories-10"/>
    <w:p>
      <w:pPr>
        <w:pStyle w:val="Heading3"/>
      </w:pPr>
      <w:r>
        <w:t xml:space="preserve">24.3 Pilot Readiness Categories (10)</w:t>
      </w:r>
    </w:p>
    <w:p>
      <w:pPr>
        <w:pStyle w:val="Compact"/>
        <w:numPr>
          <w:ilvl w:val="0"/>
          <w:numId w:val="1016"/>
        </w:numPr>
      </w:pPr>
      <w:r>
        <w:t xml:space="preserve">Institutional Authorization</w:t>
      </w:r>
    </w:p>
    <w:p>
      <w:pPr>
        <w:pStyle w:val="Compact"/>
        <w:numPr>
          <w:ilvl w:val="0"/>
          <w:numId w:val="1016"/>
        </w:numPr>
      </w:pPr>
      <w:r>
        <w:t xml:space="preserve">Legal / Regulatory Path</w:t>
      </w:r>
    </w:p>
    <w:p>
      <w:pPr>
        <w:pStyle w:val="Compact"/>
        <w:numPr>
          <w:ilvl w:val="0"/>
          <w:numId w:val="1016"/>
        </w:numPr>
      </w:pPr>
      <w:r>
        <w:t xml:space="preserve">Technical Integration</w:t>
      </w:r>
    </w:p>
    <w:p>
      <w:pPr>
        <w:pStyle w:val="Compact"/>
        <w:numPr>
          <w:ilvl w:val="0"/>
          <w:numId w:val="1016"/>
        </w:numPr>
      </w:pPr>
      <w:r>
        <w:t xml:space="preserve">Compliance Interface</w:t>
      </w:r>
    </w:p>
    <w:p>
      <w:pPr>
        <w:pStyle w:val="Compact"/>
        <w:numPr>
          <w:ilvl w:val="0"/>
          <w:numId w:val="1016"/>
        </w:numPr>
      </w:pPr>
      <w:r>
        <w:t xml:space="preserve">Security</w:t>
      </w:r>
    </w:p>
    <w:p>
      <w:pPr>
        <w:pStyle w:val="Compact"/>
        <w:numPr>
          <w:ilvl w:val="0"/>
          <w:numId w:val="1016"/>
        </w:numPr>
      </w:pPr>
      <w:r>
        <w:t xml:space="preserve">Settlement / Finality</w:t>
      </w:r>
    </w:p>
    <w:p>
      <w:pPr>
        <w:pStyle w:val="Compact"/>
        <w:numPr>
          <w:ilvl w:val="0"/>
          <w:numId w:val="1016"/>
        </w:numPr>
      </w:pPr>
      <w:r>
        <w:t xml:space="preserve">Backing Evidence</w:t>
      </w:r>
    </w:p>
    <w:p>
      <w:pPr>
        <w:pStyle w:val="Compact"/>
        <w:numPr>
          <w:ilvl w:val="0"/>
          <w:numId w:val="1016"/>
        </w:numPr>
      </w:pPr>
      <w:r>
        <w:t xml:space="preserve">Reconciliation</w:t>
      </w:r>
    </w:p>
    <w:p>
      <w:pPr>
        <w:pStyle w:val="Compact"/>
        <w:numPr>
          <w:ilvl w:val="0"/>
          <w:numId w:val="1016"/>
        </w:numPr>
      </w:pPr>
      <w:r>
        <w:t xml:space="preserve">Resilience / Disaster Recovery</w:t>
      </w:r>
    </w:p>
    <w:p>
      <w:pPr>
        <w:pStyle w:val="Compact"/>
        <w:numPr>
          <w:ilvl w:val="0"/>
          <w:numId w:val="1016"/>
        </w:numPr>
      </w:pPr>
      <w:r>
        <w:t xml:space="preserve">Independent Assurance</w:t>
      </w:r>
    </w:p>
    <w:p>
      <w:pPr>
        <w:pStyle w:val="FirstParagraph"/>
      </w:pPr>
      <w:r>
        <w:t xml:space="preserve">All:</w:t>
      </w:r>
      <w:r>
        <w:t xml:space="preserve"> </w:t>
      </w:r>
      <w:r>
        <w:rPr>
          <w:b/>
          <w:bCs/>
        </w:rPr>
        <w:t xml:space="preserve">NOT ASSESSED</w:t>
      </w:r>
    </w:p>
    <w:bookmarkEnd w:id="119"/>
    <w:bookmarkStart w:id="120" w:name="jurisdiction-workflow"/>
    <w:p>
      <w:pPr>
        <w:pStyle w:val="Heading3"/>
      </w:pPr>
      <w:r>
        <w:t xml:space="preserve">24.4 Jurisdiction Workflow</w:t>
      </w:r>
    </w:p>
    <w:p>
      <w:pPr>
        <w:pStyle w:val="FirstParagraph"/>
      </w:pPr>
      <w:r>
        <w:t xml:space="preserve">SUBMITTED → INITIAL_REVIEW → JURISDICTION_ASSESSMENT → LEGAL_REGULATORY_REVIEW → TECHNICAL_REVIEW → SANDBOX_CANDIDATE → PILOT_CANDIDATE → INSTITUTIONALLY_VALIDATED</w:t>
      </w:r>
    </w:p>
    <w:bookmarkEnd w:id="120"/>
    <w:bookmarkStart w:id="121" w:name="contact"/>
    <w:p>
      <w:pPr>
        <w:pStyle w:val="Heading3"/>
      </w:pPr>
      <w:r>
        <w:t xml:space="preserve">24.5 Contact</w:t>
      </w:r>
    </w:p>
    <w:p>
      <w:pPr>
        <w:pStyle w:val="FirstParagraph"/>
      </w:pPr>
      <w:r>
        <w:t xml:space="preserve">Email: meltonsy@icloud.com</w:t>
      </w:r>
    </w:p>
    <w:bookmarkEnd w:id="121"/>
    <w:bookmarkStart w:id="122" w:name="evidence-status"/>
    <w:p>
      <w:pPr>
        <w:pStyle w:val="Heading3"/>
      </w:pPr>
      <w:r>
        <w:t xml:space="preserve">24.6 Evidence Status</w:t>
      </w:r>
    </w:p>
    <w:p>
      <w:pPr>
        <w:pStyle w:val="FirstParagraph"/>
      </w:pPr>
      <w:r>
        <w:t xml:space="preserve">PROPOSED → UNDER_REVIEW → EVIDENCE_REQUIRED → SANDBOX_CANDIDATE → VALIDATED</w:t>
      </w:r>
    </w:p>
    <w:p>
      <w:pPr>
        <w:pStyle w:val="BodyText"/>
      </w:pPr>
      <w:r>
        <w:rPr>
          <w:b/>
          <w:bCs/>
        </w:rPr>
        <w:t xml:space="preserve">Never display:</w:t>
      </w:r>
      <w:r>
        <w:t xml:space="preserve"> </w:t>
      </w:r>
      <w:r>
        <w:t xml:space="preserve">APPROVED, LICENSED, SUPPORTED, LIVE, PRODUCTION READY (unless backed by verified evidence).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what-if-scenarios-45"/>
    <w:p>
      <w:pPr>
        <w:pStyle w:val="Heading2"/>
      </w:pPr>
      <w:r>
        <w:t xml:space="preserve">25. WHAT-IF SCENARIOS (§45)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RR’ (from 122.29%)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15%-currency falls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(1 − 0.15×0.20)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 Gold falls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(1 − 0.18×0.20)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C: Digital sleeve loses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(1 − 0.02×0.50)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121.07%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D: Digital sleeve →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blueprint-conflict-reconciliation-49"/>
    <w:p>
      <w:pPr>
        <w:pStyle w:val="Heading2"/>
      </w:pPr>
      <w:r>
        <w:t xml:space="preserve">26. BLUEPRINT CONFLICT RECONCILIATION (§49)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Sleeve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15%+5%+2.5%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80/18/2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Per-currency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(preferred 15%)</w:t>
            </w:r>
          </w:p>
        </w:tc>
      </w:tr>
    </w:tbl>
    <w:p>
      <w:pPr>
        <w:pStyle w:val="BodyText"/>
      </w:pPr>
      <w:r>
        <w:t xml:space="preserve">All 4 conflicts: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(older treated as historical/non-controlling).</w:t>
      </w:r>
    </w:p>
    <w:p>
      <w:r>
        <w:pict>
          <v:rect style="width:0;height:1.5pt" o:hralign="center" o:hrstd="t" o:hr="t"/>
        </w:pict>
      </w:r>
    </w:p>
    <w:bookmarkEnd w:id="125"/>
    <w:bookmarkStart w:id="126" w:name="contradiction-scan-77"/>
    <w:p>
      <w:pPr>
        <w:pStyle w:val="Heading2"/>
      </w:pPr>
      <w:r>
        <w:t xml:space="preserve">27. CONTRADICTION SCAN (§77)</w:t>
      </w:r>
    </w:p>
    <w:p>
      <w:pPr>
        <w:pStyle w:val="FirstParagraph"/>
      </w:pPr>
      <w:r>
        <w:t xml:space="preserve">17 patterns scanned across codebase.</w:t>
      </w:r>
      <w:r>
        <w:t xml:space="preserve"> </w:t>
      </w:r>
      <w:r>
        <w:rPr>
          <w:b/>
          <w:bCs/>
        </w:rPr>
        <w:t xml:space="preserve">0 unresolved contradictions.</w:t>
      </w:r>
      <w:r>
        <w:t xml:space="preserve"> </w:t>
      </w:r>
      <w:r>
        <w:t xml:space="preserve">Target met.</w:t>
      </w:r>
    </w:p>
    <w:p>
      <w:r>
        <w:pict>
          <v:rect style="width:0;height:1.5pt" o:hralign="center" o:hrstd="t" o:hr="t"/>
        </w:pict>
      </w:r>
    </w:p>
    <w:bookmarkEnd w:id="126"/>
    <w:bookmarkStart w:id="130" w:name="implementation-status-87"/>
    <w:p>
      <w:pPr>
        <w:pStyle w:val="Heading2"/>
      </w:pPr>
      <w:r>
        <w:t xml:space="preserve">28. IMPLEMENTATION STATUS (§87)</w:t>
      </w:r>
    </w:p>
    <w:bookmarkStart w:id="127" w:name="acceptance-criteria-1923-met-83"/>
    <w:p>
      <w:pPr>
        <w:pStyle w:val="Heading3"/>
      </w:pPr>
      <w:r>
        <w:t xml:space="preserve">28.1 Acceptance Criteria: 19/23 met (83%)</w:t>
      </w:r>
    </w:p>
    <w:bookmarkEnd w:id="127"/>
    <w:bookmarkStart w:id="128" w:name="institutional-gates-013-passed"/>
    <w:p>
      <w:pPr>
        <w:pStyle w:val="Heading3"/>
      </w:pPr>
      <w:r>
        <w:t xml:space="preserve">28.2 Institutional Gates: 0/13 passed</w:t>
      </w:r>
    </w:p>
    <w:bookmarkEnd w:id="128"/>
    <w:bookmarkStart w:id="129" w:name="status-table"/>
    <w:p>
      <w:pPr>
        <w:pStyle w:val="Heading3"/>
      </w:pPr>
      <w:r>
        <w:t xml:space="preserve">28.3 Status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Default &amp;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Liability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Licensing/Entity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Three-Book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Exposure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Finality-Before-Mint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§§16-46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Reserve Math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1" w:name="final-equation-system-50"/>
    <w:p>
      <w:pPr>
        <w:pStyle w:val="Heading2"/>
      </w:pPr>
      <w:r>
        <w:t xml:space="preserve">29. FINAL EQUATION SYSTEM (§50)</w:t>
      </w:r>
    </w:p>
    <w:p>
      <w:pPr>
        <w:pStyle w:val="SourceCode"/>
      </w:pPr>
      <w:r>
        <w:rPr>
          <w:rStyle w:val="VerbatimChar"/>
        </w:rPr>
        <w:t xml:space="preserve">L = S × PAR</w:t>
      </w:r>
      <w:r>
        <w:br/>
      </w:r>
      <w:r>
        <w:rPr>
          <w:rStyle w:val="VerbatimChar"/>
        </w:rPr>
        <w:t xml:space="preserve">R_m = Σ Q_a · P_a</w:t>
      </w:r>
      <w:r>
        <w:br/>
      </w:r>
      <w:r>
        <w:rPr>
          <w:rStyle w:val="VerbatimChar"/>
        </w:rPr>
        <w:t xml:space="preserve">R_a = Σ Q_a · P_a · (1 − H_a) · C_a</w:t>
      </w:r>
      <w:r>
        <w:br/>
      </w:r>
      <w:r>
        <w:rPr>
          <w:rStyle w:val="VerbatimChar"/>
        </w:rPr>
        <w:t xml:space="preserve">R_l = Σ Q_a · P_a · (1 − H_a) · C_a · S_a</w:t>
      </w:r>
      <w:r>
        <w:br/>
      </w:r>
      <w:r>
        <w:rPr>
          <w:rStyle w:val="VerbatimChar"/>
        </w:rPr>
        <w:t xml:space="preserve">RR = R_a / L</w:t>
      </w:r>
      <w:r>
        <w:br/>
      </w:r>
      <w:r>
        <w:rPr>
          <w:rStyle w:val="VerbatimChar"/>
        </w:rPr>
        <w:t xml:space="preserve">FSCR = R_l / L</w:t>
      </w:r>
      <w:r>
        <w:br/>
      </w:r>
      <w:r>
        <w:br/>
      </w:r>
      <w:r>
        <w:rPr>
          <w:rStyle w:val="VerbatimChar"/>
        </w:rPr>
        <w:t xml:space="preserve">C_i = 0.50·COFER + 0.40·SWIFT + 0.10·BIS</w:t>
      </w:r>
      <w:r>
        <w:br/>
      </w:r>
      <w:r>
        <w:rPr>
          <w:rStyle w:val="VerbatimChar"/>
        </w:rPr>
        <w:t xml:space="preserve">M_i = P_i(t) / P_i(t−12m)                    [0.95, 1.05]</w:t>
      </w:r>
      <w:r>
        <w:br/>
      </w:r>
      <w:r>
        <w:rPr>
          <w:rStyle w:val="VerbatimChar"/>
        </w:rPr>
        <w:t xml:space="preserve">R_i = 1 + 0.05·(LTA_i − C_i)                  [0.98, 1.02]</w:t>
      </w:r>
      <w:r>
        <w:br/>
      </w:r>
      <w:r>
        <w:rPr>
          <w:rStyle w:val="VerbatimChar"/>
        </w:rPr>
        <w:t xml:space="preserve">σ²_t = 0.94·σ²_{t−1} + 0.06·r²_t</w:t>
      </w:r>
      <w:r>
        <w:br/>
      </w:r>
      <w:r>
        <w:rPr>
          <w:rStyle w:val="VerbatimChar"/>
        </w:rPr>
        <w:t xml:space="preserve">A_t = 1.00 if σ≤2%; 1−(σ−0.02)/0.03 if 2%&lt;σ&lt;5%; 0.50 if σ≥5%</w:t>
      </w:r>
      <w:r>
        <w:br/>
      </w:r>
      <w:r>
        <w:rPr>
          <w:rStyle w:val="VerbatimChar"/>
        </w:rPr>
        <w:t xml:space="preserve">K_i = 1 + A_t·(M_i·R_i − 1)</w:t>
      </w:r>
      <w:r>
        <w:br/>
      </w:r>
      <w:r>
        <w:rPr>
          <w:rStyle w:val="VerbatimChar"/>
        </w:rPr>
        <w:t xml:space="preserve">L_i = 1 + 0.02·(Liquidity_i − Median)        [clamp ±5%]</w:t>
      </w:r>
      <w:r>
        <w:br/>
      </w:r>
      <w:r>
        <w:rPr>
          <w:rStyle w:val="VerbatimChar"/>
        </w:rPr>
        <w:t xml:space="preserve">W_raw,i = C_i · K_i · L_i</w:t>
      </w:r>
      <w:r>
        <w:br/>
      </w:r>
      <w:r>
        <w:rPr>
          <w:rStyle w:val="VerbatimChar"/>
        </w:rPr>
        <w:t xml:space="preserve">W_i = W_raw,i / Σ W_raw,j                     (proportional)</w:t>
      </w:r>
      <w:r>
        <w:br/>
      </w:r>
      <w:r>
        <w:rPr>
          <w:rStyle w:val="VerbatimChar"/>
        </w:rPr>
        <w:t xml:space="preserve">W_i^final = apply(eligibility → concentration → floor → stress → geopolitical → liquidity → jurisdiction → verification)</w:t>
      </w:r>
      <w:r>
        <w:br/>
      </w:r>
      <w:r>
        <w:rPr>
          <w:rStyle w:val="VerbatimChar"/>
        </w:rPr>
        <w:t xml:space="preserve">Σ W_i^final = 1</w:t>
      </w:r>
      <w:r>
        <w:br/>
      </w:r>
      <w:r>
        <w:br/>
      </w:r>
      <w:r>
        <w:rPr>
          <w:rStyle w:val="VerbatimChar"/>
        </w:rPr>
        <w:t xml:space="preserve">B_t = 80%, G_t = 18%, D_t = 2%               (policy center 80/18/2)</w:t>
      </w:r>
      <w:r>
        <w:br/>
      </w:r>
      <w:r>
        <w:rPr>
          <w:rStyle w:val="VerbatimChar"/>
        </w:rPr>
        <w:t xml:space="preserve">70% ≤ B_t ≤ 85%, 15% ≤ Bullion_t ≤ 25%, 0% ≤ D_t ≤ 5%</w:t>
      </w:r>
    </w:p>
    <w:p>
      <w:r>
        <w:pict>
          <v:rect style="width:0;height:1.5pt" o:hralign="center" o:hrstd="t" o:hr="t"/>
        </w:pict>
      </w:r>
    </w:p>
    <w:bookmarkEnd w:id="131"/>
    <w:bookmarkStart w:id="132" w:name="production-readiness-checklist"/>
    <w:p>
      <w:pPr>
        <w:pStyle w:val="Heading2"/>
      </w:pPr>
      <w:r>
        <w:t xml:space="preserve">30. PRODUCTION READINESS CHECKLIST</w:t>
      </w:r>
    </w:p>
    <w:p>
      <w:pPr>
        <w:pStyle w:val="Compact"/>
        <w:numPr>
          <w:ilvl w:val="0"/>
          <w:numId w:val="1017"/>
        </w:numPr>
      </w:pPr>
      <w:r>
        <w:t xml:space="preserve">☐ Architecture complete</w:t>
      </w:r>
    </w:p>
    <w:p>
      <w:pPr>
        <w:pStyle w:val="Compact"/>
        <w:numPr>
          <w:ilvl w:val="0"/>
          <w:numId w:val="1017"/>
        </w:numPr>
      </w:pPr>
      <w:r>
        <w:t xml:space="preserve">☐ Core ledger complete</w:t>
      </w:r>
    </w:p>
    <w:p>
      <w:pPr>
        <w:pStyle w:val="Compact"/>
        <w:numPr>
          <w:ilvl w:val="0"/>
          <w:numId w:val="1017"/>
        </w:numPr>
      </w:pPr>
      <w:r>
        <w:t xml:space="preserve">☐ Bank gateway complete (MBG)</w:t>
      </w:r>
    </w:p>
    <w:p>
      <w:pPr>
        <w:pStyle w:val="Compact"/>
        <w:numPr>
          <w:ilvl w:val="0"/>
          <w:numId w:val="1017"/>
        </w:numPr>
      </w:pPr>
      <w:r>
        <w:t xml:space="preserve">☐ Security complete</w:t>
      </w:r>
    </w:p>
    <w:p>
      <w:pPr>
        <w:pStyle w:val="Compact"/>
        <w:numPr>
          <w:ilvl w:val="0"/>
          <w:numId w:val="1017"/>
        </w:numPr>
      </w:pPr>
      <w:r>
        <w:t xml:space="preserve">☐ Compliance complete</w:t>
      </w:r>
    </w:p>
    <w:p>
      <w:pPr>
        <w:pStyle w:val="Compact"/>
        <w:numPr>
          <w:ilvl w:val="0"/>
          <w:numId w:val="1017"/>
        </w:numPr>
      </w:pPr>
      <w:r>
        <w:t xml:space="preserve">☐ Reserve architecture validated</w:t>
      </w:r>
    </w:p>
    <w:p>
      <w:pPr>
        <w:pStyle w:val="Compact"/>
        <w:numPr>
          <w:ilvl w:val="0"/>
          <w:numId w:val="1017"/>
        </w:numPr>
      </w:pPr>
      <w:r>
        <w:t xml:space="preserve">☐ Reconciliation validated (5-way)</w:t>
      </w:r>
    </w:p>
    <w:p>
      <w:pPr>
        <w:pStyle w:val="Compact"/>
        <w:numPr>
          <w:ilvl w:val="0"/>
          <w:numId w:val="1017"/>
        </w:numPr>
      </w:pPr>
      <w:r>
        <w:t xml:space="preserve">☐ Accounting validated (3-book)</w:t>
      </w:r>
    </w:p>
    <w:p>
      <w:pPr>
        <w:pStyle w:val="Compact"/>
        <w:numPr>
          <w:ilvl w:val="0"/>
          <w:numId w:val="1017"/>
        </w:numPr>
      </w:pPr>
      <w:r>
        <w:t xml:space="preserve">☐ Legal review completed (0/8 jurisdictions)</w:t>
      </w:r>
    </w:p>
    <w:p>
      <w:pPr>
        <w:pStyle w:val="Compact"/>
        <w:numPr>
          <w:ilvl w:val="0"/>
          <w:numId w:val="1017"/>
        </w:numPr>
      </w:pPr>
      <w:r>
        <w:t xml:space="preserve">☐ Regulatory review completed (0 licenses)</w:t>
      </w:r>
    </w:p>
    <w:p>
      <w:pPr>
        <w:pStyle w:val="Compact"/>
        <w:numPr>
          <w:ilvl w:val="0"/>
          <w:numId w:val="1017"/>
        </w:numPr>
      </w:pPr>
      <w:r>
        <w:t xml:space="preserve">☐ Institutional agreements completed (0 banks)</w:t>
      </w:r>
    </w:p>
    <w:p>
      <w:pPr>
        <w:pStyle w:val="Compact"/>
        <w:numPr>
          <w:ilvl w:val="0"/>
          <w:numId w:val="1017"/>
        </w:numPr>
      </w:pPr>
      <w:r>
        <w:t xml:space="preserve">☐ Disaster recovery tested</w:t>
      </w:r>
    </w:p>
    <w:p>
      <w:pPr>
        <w:pStyle w:val="Compact"/>
        <w:numPr>
          <w:ilvl w:val="0"/>
          <w:numId w:val="1017"/>
        </w:numPr>
      </w:pPr>
      <w:r>
        <w:t xml:space="preserve">☐ Monitoring live</w:t>
      </w:r>
    </w:p>
    <w:p>
      <w:pPr>
        <w:pStyle w:val="Compact"/>
        <w:numPr>
          <w:ilvl w:val="0"/>
          <w:numId w:val="1017"/>
        </w:numPr>
      </w:pPr>
      <w:r>
        <w:t xml:space="preserve">☐ Incident response tested</w:t>
      </w:r>
    </w:p>
    <w:p>
      <w:pPr>
        <w:pStyle w:val="Compact"/>
        <w:numPr>
          <w:ilvl w:val="0"/>
          <w:numId w:val="1017"/>
        </w:numPr>
      </w:pPr>
      <w:r>
        <w:t xml:space="preserve">☐ Penetration testing completed</w:t>
      </w:r>
    </w:p>
    <w:p>
      <w:pPr>
        <w:pStyle w:val="Compact"/>
        <w:numPr>
          <w:ilvl w:val="0"/>
          <w:numId w:val="1017"/>
        </w:numPr>
      </w:pPr>
      <w:r>
        <w:t xml:space="preserve">☐ Key-management controls validated</w:t>
      </w:r>
    </w:p>
    <w:p>
      <w:pPr>
        <w:pStyle w:val="Compact"/>
        <w:numPr>
          <w:ilvl w:val="0"/>
          <w:numId w:val="1017"/>
        </w:numPr>
      </w:pPr>
      <w:r>
        <w:t xml:space="preserve">☐ Emergency controls validated</w:t>
      </w:r>
    </w:p>
    <w:p>
      <w:pPr>
        <w:pStyle w:val="Compact"/>
        <w:numPr>
          <w:ilvl w:val="0"/>
          <w:numId w:val="1017"/>
        </w:numPr>
      </w:pPr>
      <w:r>
        <w:t xml:space="preserve">☐ Pilot completed (0/13 gates)</w:t>
      </w:r>
    </w:p>
    <w:p>
      <w:pPr>
        <w:pStyle w:val="Compact"/>
        <w:numPr>
          <w:ilvl w:val="0"/>
          <w:numId w:val="1017"/>
        </w:numPr>
      </w:pPr>
      <w:r>
        <w:t xml:space="preserve">☐ Production acceptance completed</w:t>
      </w:r>
    </w:p>
    <w:p>
      <w:pPr>
        <w:pStyle w:val="FirstParagraph"/>
      </w:pPr>
      <w:r>
        <w:rPr>
          <w:b/>
          <w:bCs/>
        </w:rPr>
        <w:t xml:space="preserve">Current: 0/19 items checked. NOT PRODUCTION-AUTHORIZED.</w:t>
      </w:r>
    </w:p>
    <w:p>
      <w:r>
        <w:pict>
          <v:rect style="width:0;height:1.5pt" o:hralign="center" o:hrstd="t" o:hr="t"/>
        </w:pict>
      </w:r>
    </w:p>
    <w:bookmarkEnd w:id="132"/>
    <w:bookmarkStart w:id="133" w:name="version-control"/>
    <w:p>
      <w:pPr>
        <w:pStyle w:val="Heading2"/>
      </w:pPr>
      <w:r>
        <w:t xml:space="preserve">31. VERSION CONTROL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2026-08-22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AUTHORITATIVE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contact-1"/>
    <w:p>
      <w:pPr>
        <w:pStyle w:val="Heading2"/>
      </w:pPr>
      <w:r>
        <w:t xml:space="preserve">32. CONTACT</w:t>
      </w:r>
    </w:p>
    <w:p>
      <w:pPr>
        <w:pStyle w:val="FirstParagraph"/>
      </w:pPr>
      <w:r>
        <w:rPr>
          <w:b/>
          <w:bCs/>
        </w:rPr>
        <w:t xml:space="preserve">Institutional Email:</w:t>
      </w:r>
      <w:r>
        <w:t xml:space="preserve"> </w:t>
      </w:r>
      <w:r>
        <w:t xml:space="preserve">meltonsy@icloud.com</w:t>
      </w:r>
    </w:p>
    <w:p>
      <w:pPr>
        <w:pStyle w:val="BodyText"/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https://mithqal.vercel.app</w:t>
      </w:r>
    </w:p>
    <w:p>
      <w:pPr>
        <w:pStyle w:val="BodyText"/>
      </w:pPr>
      <w:r>
        <w:rPr>
          <w:b/>
          <w:bCs/>
        </w:rPr>
        <w:t xml:space="preserve">GitHub:</w:t>
      </w:r>
      <w:r>
        <w:t xml:space="preserve"> </w:t>
      </w:r>
      <w:r>
        <w:t xml:space="preserve">https://github.com/MITHQALMTQ/mithqal</w:t>
      </w:r>
    </w:p>
    <w:p>
      <w:pPr>
        <w:pStyle w:val="Body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CONTROLLED INSTITUTIONAL DOCUMENT • NOT A LICENSE • NOT A LEGAL OPINION.</w:t>
      </w:r>
    </w:p>
    <w:p>
      <w:r>
        <w:pict>
          <v:rect style="width:0;height:1.5pt" o:hralign="center" o:hrstd="t" o:hr="t"/>
        </w:pict>
      </w:r>
    </w:p>
    <w:bookmarkEnd w:id="134"/>
    <w:bookmarkStart w:id="135" w:name="glossary"/>
    <w:p>
      <w:pPr>
        <w:pStyle w:val="Heading2"/>
      </w:pPr>
      <w:r>
        <w:t xml:space="preserve">33. GLOSSARY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institutional cross-border settlement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Accounting/settlement reference (1.00 USD) — NOT a 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Bank Gateway (translation, not transformation)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Minting Capacity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Ratio (R_a / 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Funding/Stress Coverage Ratio (R_l / 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Coverage Ratio (HQLA / 30d outflow)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Reserve Quality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 Gold Reserve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Diversification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Bullion Resilience Index (advisory)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Currency Composition of Foreign Exchange Reserves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HQLA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High-Quality Liquid Assets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MITHQAL MASTER BLUEPRINT v25.2</w:t>
      </w:r>
    </w:p>
    <w:p>
      <w:pPr>
        <w:pStyle w:val="BodyText"/>
      </w:pPr>
      <w:r>
        <w:t xml:space="preserve">This blueprint is the</w:t>
      </w:r>
      <w:r>
        <w:t xml:space="preserve"> </w:t>
      </w:r>
      <w:r>
        <w:rPr>
          <w:b/>
          <w:bCs/>
        </w:rPr>
        <w:t xml:space="preserve">single authoritative MITHQAL master blueprint</w:t>
      </w:r>
      <w:r>
        <w:t xml:space="preserve"> </w:t>
      </w:r>
      <w:r>
        <w:t xml:space="preserve">containing the original core architecture plus every approved modification and latest update from the §V25.2 directive.</w:t>
      </w:r>
    </w:p>
    <w:p>
      <w:pPr>
        <w:pStyle w:val="BodyText"/>
      </w:pPr>
      <w:r>
        <w:rPr>
          <w:b/>
          <w:bCs/>
        </w:rPr>
        <w:t xml:space="preserve">APPROVED CANDIDATE FOR CONTROLLED TESTING — NOT PRODUCTION-AUTHORIZED.</w:t>
      </w:r>
    </w:p>
    <w:bookmarkEnd w:id="135"/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2026-08-22T13:26:00Z</dcterms:created>
  <dcterms:modified xsi:type="dcterms:W3CDTF">2026-08-22T13:26:00Z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