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D7A010" w14:textId="77777777" w:rsidR="00876C74" w:rsidRDefault="004F729E">
      <w:pPr>
        <w:jc w:val="center"/>
      </w:pPr>
      <w:r>
        <w:rPr>
          <w:b/>
          <w:bCs/>
          <w:color w:val="000000"/>
          <w:sz w:val="26"/>
          <w:szCs w:val="26"/>
        </w:rPr>
        <w:t>SIMATS ENGINEERING (SAVEETHA SCHOOL OF ENGINEERING)</w:t>
      </w:r>
    </w:p>
    <w:p w14:paraId="5D244473" w14:textId="77777777" w:rsidR="00876C74" w:rsidRDefault="004F729E">
      <w:pPr>
        <w:jc w:val="center"/>
      </w:pPr>
      <w:r>
        <w:rPr>
          <w:b/>
          <w:bCs/>
          <w:color w:val="000000"/>
          <w:sz w:val="22"/>
          <w:szCs w:val="22"/>
        </w:rPr>
        <w:t>Department of Computer Science and Engineering</w:t>
      </w:r>
    </w:p>
    <w:p w14:paraId="24938270" w14:textId="0FCC1766" w:rsidR="005B1443" w:rsidRPr="009E7898" w:rsidRDefault="00380818" w:rsidP="009E7898">
      <w:pPr>
        <w:pBdr>
          <w:bottom w:val="single" w:sz="6" w:space="1" w:color="1F4E79"/>
        </w:pBdr>
        <w:spacing w:after="80"/>
        <w:jc w:val="center"/>
        <w:rPr>
          <w:b/>
          <w:bCs/>
          <w:color w:val="C00000"/>
        </w:rPr>
      </w:pPr>
      <w:r>
        <w:rPr>
          <w:b/>
          <w:bCs/>
          <w:color w:val="000000"/>
        </w:rPr>
        <w:t xml:space="preserve">CO2 </w:t>
      </w:r>
      <w:r w:rsidR="00F85098">
        <w:rPr>
          <w:b/>
          <w:bCs/>
          <w:color w:val="000000"/>
        </w:rPr>
        <w:t xml:space="preserve">ASSESSMENT TOOL </w:t>
      </w:r>
      <w:r w:rsidR="00434CF9">
        <w:rPr>
          <w:b/>
          <w:bCs/>
          <w:color w:val="000000"/>
        </w:rPr>
        <w:t>1</w:t>
      </w:r>
      <w:r w:rsidR="004F729E">
        <w:rPr>
          <w:b/>
          <w:bCs/>
          <w:color w:val="000000"/>
        </w:rPr>
        <w:t xml:space="preserve">  –  </w:t>
      </w:r>
      <w:r w:rsidR="00434CF9" w:rsidRPr="00434CF9">
        <w:rPr>
          <w:rFonts w:ascii="-webkit-standard" w:hAnsi="-webkit-standard"/>
          <w:b/>
          <w:bCs/>
          <w:color w:val="000000"/>
        </w:rPr>
        <w:t>Scenario-Based Requirement Analysis</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pPr>
              <w:spacing w:before="40" w:after="40"/>
            </w:pPr>
            <w:r>
              <w:rPr>
                <w:rFonts w:ascii="Calibri" w:hAnsi="Calibri"/>
                <w:b/>
                <w:bCs/>
                <w:color w:val="000000"/>
                <w:sz w:val="19"/>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26A1E694" w:rsidR="00876C74" w:rsidRDefault="00F85098" w:rsidP="003A40C5">
            <w:pPr>
              <w:spacing w:before="40" w:after="40"/>
            </w:pPr>
            <w:r>
              <w:rPr>
                <w:rFonts w:ascii="Calibri" w:hAnsi="Calibri"/>
                <w:color w:val="000000"/>
                <w:sz w:val="19"/>
                <w:szCs w:val="18"/>
              </w:rPr>
              <w:t>CSA10</w:t>
            </w:r>
            <w:r w:rsidR="004F729E">
              <w:rPr>
                <w:rFonts w:ascii="Calibri" w:hAnsi="Calibri"/>
                <w:color w:val="000000"/>
                <w:sz w:val="19"/>
                <w:szCs w:val="18"/>
              </w:rPr>
              <w:t xml:space="preserve"> / CSA</w:t>
            </w:r>
            <w:r>
              <w:rPr>
                <w:rFonts w:ascii="Calibri" w:hAnsi="Calibri"/>
                <w:color w:val="000000"/>
                <w:sz w:val="19"/>
                <w:szCs w:val="18"/>
              </w:rPr>
              <w:t>10</w:t>
            </w:r>
            <w:r w:rsidR="009A2417">
              <w:rPr>
                <w:rFonts w:ascii="Calibri" w:hAnsi="Calibri"/>
                <w:color w:val="000000"/>
                <w:sz w:val="19"/>
                <w:szCs w:val="18"/>
              </w:rPr>
              <w:t>21</w:t>
            </w:r>
            <w:bookmarkStart w:id="0" w:name="_GoBack"/>
            <w:bookmarkEnd w:id="0"/>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pPr>
              <w:spacing w:before="40" w:after="40"/>
            </w:pPr>
            <w:r>
              <w:rPr>
                <w:rFonts w:ascii="Calibri" w:hAnsi="Calibri"/>
                <w:b/>
                <w:bCs/>
                <w:color w:val="000000"/>
                <w:sz w:val="19"/>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pPr>
              <w:spacing w:before="40" w:after="40"/>
            </w:pPr>
            <w:r>
              <w:rPr>
                <w:rFonts w:ascii="Calibri" w:hAnsi="Calibri"/>
                <w:color w:val="000000"/>
                <w:sz w:val="19"/>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pPr>
              <w:spacing w:before="40" w:after="40"/>
            </w:pPr>
            <w:r>
              <w:rPr>
                <w:rFonts w:ascii="Calibri" w:hAnsi="Calibri"/>
                <w:b/>
                <w:bCs/>
                <w:color w:val="000000"/>
                <w:sz w:val="19"/>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pPr>
              <w:spacing w:before="40" w:after="40"/>
            </w:pPr>
            <w:r>
              <w:rPr>
                <w:rFonts w:ascii="Calibri" w:hAnsi="Calibri"/>
                <w:color w:val="000000"/>
                <w:sz w:val="19"/>
                <w:szCs w:val="18"/>
              </w:rPr>
              <w:t>CO</w:t>
            </w:r>
            <w:r w:rsidR="00F51829">
              <w:rPr>
                <w:rFonts w:ascii="Calibri" w:hAnsi="Calibri"/>
                <w:color w:val="000000"/>
                <w:sz w:val="19"/>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pPr>
              <w:spacing w:before="40" w:after="40"/>
            </w:pPr>
            <w:r>
              <w:rPr>
                <w:rFonts w:ascii="Calibri" w:hAnsi="Calibri"/>
                <w:b/>
                <w:bCs/>
                <w:color w:val="000000"/>
                <w:sz w:val="19"/>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589CF6D" w:rsidR="00876C74" w:rsidRDefault="004F729E" w:rsidP="00F85098">
            <w:pPr>
              <w:spacing w:before="40" w:after="40"/>
            </w:pPr>
            <w:r>
              <w:rPr>
                <w:rFonts w:ascii="Calibri" w:hAnsi="Calibri"/>
                <w:color w:val="000000"/>
                <w:sz w:val="19"/>
                <w:szCs w:val="18"/>
              </w:rPr>
              <w:t xml:space="preserve">Assessment Tool </w:t>
            </w:r>
            <w:r w:rsidR="000E4A13">
              <w:rPr>
                <w:rFonts w:ascii="Calibri" w:hAnsi="Calibri"/>
                <w:color w:val="000000"/>
                <w:sz w:val="19"/>
                <w:szCs w:val="18"/>
              </w:rPr>
              <w:t>2</w:t>
            </w:r>
            <w:r>
              <w:rPr>
                <w:rFonts w:ascii="Calibri" w:hAnsi="Calibri"/>
                <w:color w:val="000000"/>
                <w:sz w:val="19"/>
                <w:szCs w:val="18"/>
              </w:rPr>
              <w:t xml:space="preserve"> – </w:t>
            </w:r>
            <w:r w:rsidR="00434CF9" w:rsidRPr="00434CF9">
              <w:rPr>
                <w:rFonts w:ascii="Calibri" w:hAnsi="Calibri"/>
                <w:color w:val="000000"/>
                <w:sz w:val="19"/>
                <w:szCs w:val="20"/>
              </w:rPr>
              <w:t>Scenario-Based Requirement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pPr>
              <w:spacing w:before="40" w:after="40"/>
            </w:pPr>
            <w:r>
              <w:rPr>
                <w:rFonts w:ascii="Calibri" w:hAnsi="Calibri"/>
                <w:b/>
                <w:bCs/>
                <w:color w:val="000000"/>
                <w:sz w:val="19"/>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pPr>
              <w:spacing w:before="40" w:after="40"/>
            </w:pPr>
            <w:r>
              <w:rPr>
                <w:rFonts w:ascii="Calibri" w:hAnsi="Calibri"/>
                <w:color w:val="000000"/>
                <w:sz w:val="19"/>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pPr>
              <w:spacing w:before="40" w:after="40"/>
            </w:pPr>
            <w:r>
              <w:rPr>
                <w:rFonts w:ascii="Calibri" w:hAnsi="Calibri"/>
                <w:b/>
                <w:bCs/>
                <w:color w:val="000000"/>
                <w:sz w:val="19"/>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pPr>
              <w:spacing w:before="40" w:after="40"/>
            </w:pPr>
            <w:r>
              <w:rPr>
                <w:rFonts w:ascii="Calibri" w:hAnsi="Calibri"/>
                <w:color w:val="000000"/>
                <w:sz w:val="19"/>
                <w:szCs w:val="18"/>
              </w:rPr>
              <w:t>25</w:t>
            </w:r>
            <w:r w:rsidR="004F729E">
              <w:rPr>
                <w:rFonts w:ascii="Calibri" w:hAnsi="Calibri"/>
                <w:color w:val="000000"/>
                <w:sz w:val="19"/>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pPr>
              <w:spacing w:before="40" w:after="40"/>
            </w:pPr>
            <w:r>
              <w:rPr>
                <w:rFonts w:ascii="Calibri" w:hAnsi="Calibri"/>
                <w:b/>
                <w:bCs/>
                <w:color w:val="000000"/>
                <w:sz w:val="19"/>
                <w:szCs w:val="18"/>
              </w:rPr>
              <w:t>CO</w:t>
            </w:r>
            <w:r w:rsidR="00F51829">
              <w:rPr>
                <w:rFonts w:ascii="Calibri" w:hAnsi="Calibri"/>
                <w:b/>
                <w:bCs/>
                <w:color w:val="000000"/>
                <w:sz w:val="19"/>
                <w:szCs w:val="18"/>
              </w:rPr>
              <w:t>2</w:t>
            </w:r>
            <w:r>
              <w:rPr>
                <w:rFonts w:ascii="Calibri" w:hAnsi="Calibri"/>
                <w:b/>
                <w:bCs/>
                <w:color w:val="000000"/>
                <w:sz w:val="19"/>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spacing w:before="40" w:after="40"/>
              <w:jc w:val="both"/>
            </w:pPr>
            <w:r w:rsidRPr="00F4174C">
              <w:rPr>
                <w:rFonts w:ascii="Calibri" w:hAnsi="Calibri"/>
                <w:i/>
                <w:iCs/>
                <w:color w:val="000000"/>
                <w:sz w:val="19"/>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pPr>
              <w:spacing w:before="40" w:after="40"/>
            </w:pPr>
            <w:r>
              <w:rPr>
                <w:rFonts w:ascii="Calibri" w:hAnsi="Calibri"/>
                <w:b/>
                <w:bCs/>
                <w:color w:val="000000"/>
                <w:sz w:val="19"/>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spacing w:before="40" w:after="40"/>
            </w:pPr>
            <w:r>
              <w:rPr>
                <w:rFonts w:ascii="Calibri" w:hAnsi="Calibri"/>
                <w:color w:val="000000"/>
                <w:sz w:val="19"/>
              </w:rPr>
              <w:t>S Mithun Senthil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pPr>
              <w:spacing w:before="40" w:after="40"/>
            </w:pPr>
            <w:r>
              <w:rPr>
                <w:rFonts w:ascii="Calibri" w:hAnsi="Calibri"/>
                <w:b/>
                <w:bCs/>
                <w:color w:val="000000"/>
                <w:sz w:val="19"/>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spacing w:before="40" w:after="40"/>
            </w:pPr>
            <w:r>
              <w:rPr>
                <w:rFonts w:ascii="Calibri" w:hAnsi="Calibri"/>
                <w:color w:val="000000"/>
                <w:sz w:val="19"/>
              </w:rPr>
              <w:t>192324056</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pPr>
              <w:spacing w:before="40" w:after="40"/>
            </w:pPr>
            <w:r>
              <w:rPr>
                <w:rFonts w:ascii="Calibri" w:hAnsi="Calibri"/>
                <w:b/>
                <w:bCs/>
                <w:color w:val="000000"/>
                <w:sz w:val="19"/>
                <w:szCs w:val="18"/>
              </w:rPr>
              <w:t>Date</w:t>
            </w:r>
            <w:r w:rsidR="004F729E">
              <w:rPr>
                <w:rFonts w:ascii="Calibri" w:hAnsi="Calibri"/>
                <w:b/>
                <w:bCs/>
                <w:color w:val="000000"/>
                <w:sz w:val="19"/>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spacing w:before="40" w:after="40"/>
            </w:pPr>
            <w:r>
              <w:rPr>
                <w:rFonts w:ascii="Calibri" w:hAnsi="Calibri"/>
                <w:color w:val="000000"/>
                <w:sz w:val="19"/>
              </w:rPr>
              <w:t>30-10-2026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pPr>
              <w:spacing w:before="40" w:after="40"/>
            </w:pPr>
            <w:r>
              <w:rPr>
                <w:rFonts w:ascii="Calibri" w:hAnsi="Calibri"/>
                <w:b/>
                <w:bCs/>
                <w:color w:val="000000"/>
                <w:sz w:val="19"/>
                <w:szCs w:val="18"/>
              </w:rPr>
              <w:t>Duration</w:t>
            </w:r>
            <w:r w:rsidR="004F729E">
              <w:rPr>
                <w:rFonts w:ascii="Calibri" w:hAnsi="Calibri"/>
                <w:b/>
                <w:bCs/>
                <w:color w:val="000000"/>
                <w:sz w:val="19"/>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pPr>
              <w:spacing w:before="40" w:after="40"/>
            </w:pPr>
            <w:r>
              <w:rPr>
                <w:rFonts w:ascii="Calibri" w:hAnsi="Calibri"/>
                <w:color w:val="000000"/>
                <w:sz w:val="19"/>
              </w:rPr>
              <w:t>6</w:t>
            </w:r>
            <w:r w:rsidR="004169DD">
              <w:rPr>
                <w:rFonts w:ascii="Calibri" w:hAnsi="Calibri"/>
                <w:color w:val="000000"/>
                <w:sz w:val="19"/>
              </w:rPr>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pPr>
              <w:spacing w:before="60" w:after="60"/>
            </w:pPr>
            <w:r>
              <w:rPr>
                <w:rFonts w:ascii="Calibri" w:hAnsi="Calibri"/>
                <w:color w:val="000000"/>
                <w:sz w:val="19"/>
              </w:rPr>
              <w:t>Code of Conduct</w:t>
              <w:br/>
              <w:t>I S Mithun Senthil (Reg. No: 192324056) certify that this submission is my original work and that I have adhered to the guidelines specified for this assessment. I understand that any violation of academic integrity rules will result in disciplinary action.</w:t>
              <w:br/>
              <w:br/>
              <w:t>Signature of the Student: S Mithun Senthil</w:t>
            </w:r>
          </w:p>
        </w:tc>
      </w:tr>
    </w:tbl>
    <w:p w14:paraId="7E293B69" w14:textId="1E0A9C81" w:rsidR="007808C1" w:rsidRPr="005B1443" w:rsidRDefault="007808C1" w:rsidP="007808C1">
      <w:pPr>
        <w:pBdr>
          <w:bottom w:val="single" w:sz="4" w:space="1" w:color="C00000"/>
        </w:pBdr>
        <w:spacing w:before="80" w:after="40"/>
        <w:rPr>
          <w:b/>
          <w:bCs/>
          <w:color w:val="C00000"/>
        </w:rPr>
      </w:pPr>
      <w:r>
        <w:rPr>
          <w:b/>
          <w:bCs/>
          <w:color w:val="000000"/>
          <w:sz w:val="22"/>
          <w:szCs w:val="22"/>
        </w:rPr>
        <w:t xml:space="preserve">Annexure A – </w:t>
      </w:r>
      <w:r w:rsidR="00434CF9" w:rsidRPr="00434CF9">
        <w:rPr>
          <w:rFonts w:ascii="-webkit-standard" w:hAnsi="-webkit-standard"/>
          <w:b/>
          <w:bCs/>
          <w:color w:val="000000"/>
        </w:rPr>
        <w:t>Scenario-Based Requirement Analysis</w:t>
      </w:r>
    </w:p>
    <w:p w14:paraId="53DEF679" w14:textId="77777777" w:rsidR="00434CF9" w:rsidRPr="00434CF9" w:rsidRDefault="00F51829" w:rsidP="00434CF9">
      <w:pPr>
        <w:pStyle w:val="pdq2pgselectionanchorcontainer"/>
        <w:rPr>
          <w:color w:val="000000"/>
        </w:rPr>
      </w:pPr>
      <w:r>
        <w:rPr>
          <w:rStyle w:val="Strong"/>
          <w:color w:val="000000"/>
        </w:rPr>
        <w:t>Instructions to Students:</w:t>
      </w:r>
      <w:r>
        <w:rPr>
          <w:color w:val="000000"/>
        </w:rPr>
        <w:br/>
      </w:r>
      <w:r w:rsidR="00434CF9" w:rsidRPr="00434CF9">
        <w:rPr>
          <w:color w:val="000000"/>
        </w:rPr>
        <w:t xml:space="preserve">Each student will be assigned an individual software project problem statement. </w:t>
      </w:r>
      <w:proofErr w:type="spellStart"/>
      <w:r w:rsidR="00434CF9" w:rsidRPr="00434CF9">
        <w:rPr>
          <w:color w:val="000000"/>
        </w:rPr>
        <w:t>Analyze</w:t>
      </w:r>
      <w:proofErr w:type="spellEnd"/>
      <w:r w:rsidR="00434CF9" w:rsidRPr="00434CF9">
        <w:rPr>
          <w:color w:val="000000"/>
        </w:rPr>
        <w:t xml:space="preserve"> the given scenario and prepare a complete Software Requirement Analysis document by following the steps below.</w:t>
      </w:r>
    </w:p>
    <w:p w14:paraId="2BA25B25" w14:textId="77777777" w:rsidR="00434CF9" w:rsidRPr="00434CF9" w:rsidRDefault="00434CF9" w:rsidP="00434CF9">
      <w:pPr>
        <w:spacing w:before="100" w:beforeAutospacing="1" w:after="100" w:afterAutospacing="1"/>
        <w:outlineLvl w:val="2"/>
        <w:rPr>
          <w:b/>
          <w:bCs/>
          <w:color w:val="000000"/>
          <w:sz w:val="27"/>
          <w:szCs w:val="27"/>
        </w:rPr>
      </w:pPr>
      <w:r w:rsidRPr="00434CF9">
        <w:rPr>
          <w:b/>
          <w:bCs/>
          <w:color w:val="000000"/>
          <w:sz w:val="27"/>
          <w:szCs w:val="27"/>
        </w:rPr>
        <w:t>Question</w:t>
      </w:r>
    </w:p>
    <w:p w14:paraId="0E8F7675" w14:textId="77777777" w:rsidR="00434CF9" w:rsidRPr="00434CF9" w:rsidRDefault="00434CF9" w:rsidP="00434CF9">
      <w:pPr>
        <w:spacing w:before="100" w:beforeAutospacing="1" w:after="100" w:afterAutospacing="1"/>
        <w:rPr>
          <w:color w:val="000000"/>
        </w:rPr>
      </w:pPr>
      <w:r w:rsidRPr="00434CF9">
        <w:rPr>
          <w:color w:val="000000"/>
        </w:rPr>
        <w:t>Based on the </w:t>
      </w:r>
      <w:r w:rsidRPr="00434CF9">
        <w:rPr>
          <w:b/>
          <w:bCs/>
          <w:color w:val="000000"/>
        </w:rPr>
        <w:t>assigned problem statement</w:t>
      </w:r>
      <w:r w:rsidRPr="00434CF9">
        <w:rPr>
          <w:color w:val="000000"/>
        </w:rPr>
        <w:t>, perform a </w:t>
      </w:r>
      <w:r w:rsidRPr="00434CF9">
        <w:rPr>
          <w:b/>
          <w:bCs/>
          <w:color w:val="000000"/>
        </w:rPr>
        <w:t>Scenario-Based Requirement Analysis</w:t>
      </w:r>
      <w:r w:rsidRPr="00434CF9">
        <w:rPr>
          <w:color w:val="000000"/>
        </w:rPr>
        <w:t> and prepare a Software Requirement Specification (SRS) document. Your analysis should include the following:</w:t>
      </w:r>
    </w:p>
    <w:p w14:paraId="30C01C1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 xml:space="preserve">Study and </w:t>
      </w:r>
      <w:proofErr w:type="spellStart"/>
      <w:r w:rsidRPr="00434CF9">
        <w:rPr>
          <w:b/>
          <w:bCs/>
          <w:color w:val="000000"/>
        </w:rPr>
        <w:t>Analyze</w:t>
      </w:r>
      <w:proofErr w:type="spellEnd"/>
      <w:r w:rsidRPr="00434CF9">
        <w:rPr>
          <w:b/>
          <w:bCs/>
          <w:color w:val="000000"/>
        </w:rPr>
        <w:t xml:space="preserve"> the Scenario</w:t>
      </w:r>
    </w:p>
    <w:p w14:paraId="5502003C"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Carefully understand the given problem statement.</w:t>
      </w:r>
    </w:p>
    <w:p w14:paraId="48CFD6E3"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the business domain, stakeholders, existing challenges, and system objectives.</w:t>
      </w:r>
    </w:p>
    <w:p w14:paraId="68739B2E"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Functional and Non-Functional Requirements</w:t>
      </w:r>
    </w:p>
    <w:p w14:paraId="36150FF3"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all functional requirements required by the proposed system.</w:t>
      </w:r>
    </w:p>
    <w:p w14:paraId="6111A7C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suitable non-functional requirements such as performance, security, reliability, usability, scalability, maintainability, and availability.</w:t>
      </w:r>
    </w:p>
    <w:p w14:paraId="7D5D861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Actors and Use Cases</w:t>
      </w:r>
    </w:p>
    <w:p w14:paraId="07EDADD9"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all primary and secondary actors interacting with the system.</w:t>
      </w:r>
    </w:p>
    <w:p w14:paraId="4433059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the major use cases associated with each actor.</w:t>
      </w:r>
    </w:p>
    <w:p w14:paraId="746B698B"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Draw a Use Case Diagram representing the interactions between actors and the system.</w:t>
      </w:r>
    </w:p>
    <w:p w14:paraId="57BCEFF5"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Prepare the Software Requirement Specification (SRS)</w:t>
      </w:r>
      <w:r w:rsidRPr="00434CF9">
        <w:rPr>
          <w:color w:val="000000"/>
        </w:rPr>
        <w:br/>
        <w:t>Develop an SRS document containing:</w:t>
      </w:r>
    </w:p>
    <w:p w14:paraId="064E6A97"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Introduction</w:t>
      </w:r>
    </w:p>
    <w:p w14:paraId="095BDB8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Problem Description</w:t>
      </w:r>
    </w:p>
    <w:p w14:paraId="2400A3A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lastRenderedPageBreak/>
        <w:t>Scope of the System</w:t>
      </w:r>
    </w:p>
    <w:p w14:paraId="4792211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Functional Requirements</w:t>
      </w:r>
    </w:p>
    <w:p w14:paraId="4C0B7140"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Non-Functional Requirements</w:t>
      </w:r>
    </w:p>
    <w:p w14:paraId="6E04898D"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Use Case Descriptions</w:t>
      </w:r>
    </w:p>
    <w:p w14:paraId="3F1DD63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Data Requirements</w:t>
      </w:r>
    </w:p>
    <w:p w14:paraId="76B0D147"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External Interface Requirements</w:t>
      </w:r>
    </w:p>
    <w:p w14:paraId="785978F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System Features</w:t>
      </w:r>
    </w:p>
    <w:p w14:paraId="1B81A1D3"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Assumptions and Constraints</w:t>
      </w:r>
    </w:p>
    <w:p w14:paraId="5729E142"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the assumptions considered while developing the system.</w:t>
      </w:r>
    </w:p>
    <w:p w14:paraId="7CB3975C"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technical, operational, economic, legal, and time-related constraints affecting the project.</w:t>
      </w:r>
    </w:p>
    <w:p w14:paraId="10C2A45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Validate Requirement Completeness and Consistency</w:t>
      </w:r>
    </w:p>
    <w:p w14:paraId="1626E064"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Verify whether all stakeholder requirements have been addressed.</w:t>
      </w:r>
    </w:p>
    <w:p w14:paraId="6C7B26C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Check for ambiguity, redundancy, inconsistency, and missing requirements.</w:t>
      </w:r>
    </w:p>
    <w:p w14:paraId="4B8C9BC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Suggest improvements to enhance the quality and completeness of the requirement specification.</w:t>
      </w:r>
    </w:p>
    <w:p w14:paraId="0FE03D27" w14:textId="6C42081F" w:rsidR="00F51829" w:rsidRPr="009E7898" w:rsidRDefault="004F729E" w:rsidP="00434CF9">
      <w:pPr>
        <w:pStyle w:val="pdq2pgselectionanchorcontainer"/>
        <w:rPr>
          <w:b/>
          <w:bCs/>
          <w:color w:val="1F4E79"/>
          <w:sz w:val="22"/>
          <w:szCs w:val="22"/>
        </w:rPr>
      </w:pPr>
      <w:r>
        <w:rPr>
          <w:b/>
          <w:bCs/>
          <w:color w:val="000000"/>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34CF9"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1D98D35" w:rsidR="00434CF9" w:rsidRPr="00434CF9" w:rsidRDefault="00434CF9" w:rsidP="00434CF9">
            <w:pPr>
              <w:jc w:val="center"/>
              <w:rPr>
                <w:b/>
                <w:bCs/>
                <w:color w:val="FFFFFF" w:themeColor="background1"/>
              </w:rPr>
            </w:pPr>
            <w:r w:rsidRPr="00434CF9">
              <w:rPr>
                <w:rStyle w:val="Strong"/>
                <w:color w:val="000000"/>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6969F841" w:rsidR="00434CF9" w:rsidRPr="00434CF9" w:rsidRDefault="00434CF9" w:rsidP="00434CF9">
            <w:pPr>
              <w:jc w:val="center"/>
              <w:rPr>
                <w:b/>
                <w:bCs/>
                <w:color w:val="FFFFFF" w:themeColor="background1"/>
              </w:rPr>
            </w:pPr>
            <w:r w:rsidRPr="00434CF9">
              <w:rPr>
                <w:rStyle w:val="Strong"/>
                <w:color w:val="00000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57C06784" w:rsidR="00434CF9" w:rsidRPr="00434CF9" w:rsidRDefault="00434CF9" w:rsidP="00434CF9">
            <w:pPr>
              <w:rPr>
                <w:b/>
                <w:bCs/>
                <w:color w:val="FFFFFF" w:themeColor="background1"/>
              </w:rPr>
            </w:pPr>
            <w:r w:rsidRPr="00434CF9">
              <w:rPr>
                <w:rStyle w:val="Strong"/>
                <w:color w:val="00000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18FC19F0" w:rsidR="00434CF9" w:rsidRPr="00434CF9" w:rsidRDefault="00434CF9" w:rsidP="00434CF9">
            <w:pPr>
              <w:rPr>
                <w:b/>
                <w:bCs/>
                <w:color w:val="FFFFFF" w:themeColor="background1"/>
              </w:rPr>
            </w:pPr>
            <w:r w:rsidRPr="00434CF9">
              <w:rPr>
                <w:rStyle w:val="Strong"/>
                <w:color w:val="00000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1ADBD2C2" w:rsidR="00434CF9" w:rsidRPr="00434CF9" w:rsidRDefault="00434CF9" w:rsidP="00434CF9">
            <w:pPr>
              <w:rPr>
                <w:b/>
                <w:bCs/>
                <w:color w:val="FFFFFF" w:themeColor="background1"/>
              </w:rPr>
            </w:pPr>
            <w:r w:rsidRPr="00434CF9">
              <w:rPr>
                <w:rStyle w:val="Strong"/>
                <w:color w:val="000000"/>
              </w:rPr>
              <w:t>Needs Improvement (1 Mark)</w:t>
            </w:r>
          </w:p>
        </w:tc>
      </w:tr>
      <w:tr w:rsidR="00434CF9"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DFEC4EA" w:rsidR="00434CF9" w:rsidRPr="005B1443" w:rsidRDefault="00434CF9" w:rsidP="00434CF9">
            <w:r>
              <w:rPr>
                <w:rStyle w:val="Strong"/>
                <w:color w:val="000000"/>
              </w:rPr>
              <w:t>Scenario Understanding and Problem Analysis</w:t>
            </w:r>
            <w:r w:rsidR="006F2A9C">
              <w:rPr>
                <w:rStyle w:val="Strong"/>
                <w:color w:val="000000"/>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4A10B894" w:rsidR="00434CF9" w:rsidRPr="005B1443" w:rsidRDefault="00434CF9" w:rsidP="00434CF9">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730DB5E3" w:rsidR="00434CF9" w:rsidRPr="005B1443" w:rsidRDefault="00434CF9" w:rsidP="00434CF9">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76117909" w:rsidR="00434CF9" w:rsidRPr="005B1443" w:rsidRDefault="00434CF9" w:rsidP="00434CF9">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71A3C92F" w:rsidR="00434CF9" w:rsidRPr="005B1443" w:rsidRDefault="00434CF9" w:rsidP="00434CF9">
            <w:r>
              <w:rPr>
                <w:color w:val="000000"/>
              </w:rPr>
              <w:t>Poor understanding; major aspects missing or incorrect.</w:t>
            </w:r>
          </w:p>
        </w:tc>
      </w:tr>
      <w:tr w:rsidR="00434CF9"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0C43DF34" w:rsidR="00434CF9" w:rsidRPr="005B1443" w:rsidRDefault="00434CF9" w:rsidP="00434CF9">
            <w:r>
              <w:rPr>
                <w:rStyle w:val="Strong"/>
                <w:color w:val="000000"/>
              </w:rPr>
              <w:t>Functional and Non-Functional Requirement Identification</w:t>
            </w:r>
            <w:r w:rsidR="006F2A9C">
              <w:rPr>
                <w:rStyle w:val="Strong"/>
                <w:color w:val="000000"/>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55574D12" w:rsidR="00434CF9" w:rsidRPr="005B1443" w:rsidRDefault="00434CF9" w:rsidP="00434CF9">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2982CE2B" w:rsidR="00434CF9" w:rsidRPr="005B1443" w:rsidRDefault="00434CF9" w:rsidP="00434CF9">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AAD22" w:rsidR="00434CF9" w:rsidRPr="005B1443" w:rsidRDefault="00434CF9" w:rsidP="00434CF9">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31BCC84A" w:rsidR="00434CF9" w:rsidRPr="005B1443" w:rsidRDefault="00434CF9" w:rsidP="00434CF9">
            <w:r>
              <w:rPr>
                <w:color w:val="000000"/>
              </w:rPr>
              <w:t>Requirements are incomplete, inaccurate, or poorly classified.</w:t>
            </w:r>
          </w:p>
        </w:tc>
      </w:tr>
      <w:tr w:rsidR="00434CF9"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81E6F3D" w:rsidR="00434CF9" w:rsidRPr="005B1443" w:rsidRDefault="00434CF9" w:rsidP="00434CF9">
            <w:r>
              <w:rPr>
                <w:rStyle w:val="Strong"/>
                <w:color w:val="000000"/>
              </w:rPr>
              <w:t xml:space="preserve">Actor Identification and Use Case </w:t>
            </w:r>
            <w:r w:rsidR="006F2A9C">
              <w:rPr>
                <w:rStyle w:val="Strong"/>
                <w:color w:val="000000"/>
              </w:rPr>
              <w:t>Modelling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4D5A9D09" w:rsidR="00434CF9" w:rsidRPr="005B1443" w:rsidRDefault="00434CF9" w:rsidP="00434CF9">
            <w:pPr>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15DDE62" w:rsidR="00434CF9" w:rsidRPr="005B1443" w:rsidRDefault="00434CF9" w:rsidP="00434CF9">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5ED99385" w:rsidR="00434CF9" w:rsidRPr="005B1443" w:rsidRDefault="00434CF9" w:rsidP="00434CF9">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1C68734C" w:rsidR="00434CF9" w:rsidRPr="005B1443" w:rsidRDefault="00434CF9" w:rsidP="00434CF9">
            <w:r>
              <w:rPr>
                <w:color w:val="000000"/>
              </w:rPr>
              <w:t>Actors/use cases missing or incorrect; diagram absent or inaccurate.</w:t>
            </w:r>
          </w:p>
        </w:tc>
      </w:tr>
      <w:tr w:rsidR="00434CF9"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46775342" w:rsidR="00434CF9" w:rsidRPr="005B1443" w:rsidRDefault="00434CF9" w:rsidP="00434CF9">
            <w:r>
              <w:rPr>
                <w:rStyle w:val="Strong"/>
                <w:color w:val="000000"/>
              </w:rPr>
              <w:t xml:space="preserve">Software Requirement Specification (SRS) </w:t>
            </w:r>
            <w:r>
              <w:rPr>
                <w:rStyle w:val="Strong"/>
                <w:color w:val="000000"/>
              </w:rPr>
              <w:lastRenderedPageBreak/>
              <w:t>Documentation</w:t>
            </w:r>
            <w:r w:rsidR="006F2A9C">
              <w:rPr>
                <w:rStyle w:val="Strong"/>
                <w:color w:val="000000"/>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74F6172D" w:rsidR="00434CF9" w:rsidRPr="005B1443" w:rsidRDefault="00434CF9" w:rsidP="00434CF9">
            <w:pPr>
              <w:rPr>
                <w:b/>
                <w:bCs/>
              </w:rPr>
            </w:pPr>
            <w:r>
              <w:rPr>
                <w:color w:val="000000"/>
              </w:rPr>
              <w:lastRenderedPageBreak/>
              <w:t xml:space="preserve">SRS is well-structured, complete, professionally organized, and </w:t>
            </w:r>
            <w:r>
              <w:rPr>
                <w:color w:val="000000"/>
              </w:rPr>
              <w:lastRenderedPageBreak/>
              <w:t>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0BFA304E" w:rsidR="00434CF9" w:rsidRPr="005B1443" w:rsidRDefault="00434CF9" w:rsidP="00434CF9">
            <w:r>
              <w:rPr>
                <w:color w:val="000000"/>
              </w:rPr>
              <w:lastRenderedPageBreak/>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7E6E862C" w:rsidR="00434CF9" w:rsidRPr="005B1443" w:rsidRDefault="00434CF9" w:rsidP="00434CF9">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F2A2B9F" w:rsidR="00434CF9" w:rsidRPr="005B1443" w:rsidRDefault="00434CF9" w:rsidP="00434CF9">
            <w:r>
              <w:rPr>
                <w:color w:val="000000"/>
              </w:rPr>
              <w:t xml:space="preserve">SRS is incomplete, poorly organized, or </w:t>
            </w:r>
            <w:r>
              <w:rPr>
                <w:color w:val="000000"/>
              </w:rPr>
              <w:lastRenderedPageBreak/>
              <w:t>lacks essential components.</w:t>
            </w:r>
          </w:p>
        </w:tc>
      </w:tr>
      <w:tr w:rsidR="00434CF9"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67F0E927" w:rsidR="00434CF9" w:rsidRPr="005B1443" w:rsidRDefault="00434CF9" w:rsidP="00434CF9">
            <w:r>
              <w:rPr>
                <w:rStyle w:val="Strong"/>
                <w:color w:val="000000"/>
              </w:rPr>
              <w:lastRenderedPageBreak/>
              <w:t>Assumptions, Constraints, and Requirement Validation</w:t>
            </w:r>
            <w:r w:rsidR="006F2A9C">
              <w:rPr>
                <w:rStyle w:val="Strong"/>
                <w:color w:val="000000"/>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9BBB2EC" w:rsidR="00434CF9" w:rsidRPr="005B1443" w:rsidRDefault="00434CF9" w:rsidP="00434CF9">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78B654C7" w:rsidR="00434CF9" w:rsidRPr="005B1443" w:rsidRDefault="00434CF9" w:rsidP="00434CF9">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63879D92" w:rsidR="00434CF9" w:rsidRPr="005B1443" w:rsidRDefault="00434CF9" w:rsidP="00434CF9">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AF2C50E" w:rsidR="00434CF9" w:rsidRPr="005B1443" w:rsidRDefault="00434CF9" w:rsidP="00434CF9">
            <w:r>
              <w:rPr>
                <w:color w:val="000000"/>
              </w:rPr>
              <w:t>Assumptions, constraints, and validation are missing or incorrect.</w:t>
            </w:r>
          </w:p>
        </w:tc>
      </w:tr>
    </w:tbl>
    <w:tbl>
      <w:tblPr>
        <w:tblStyle w:val="TableGrid"/>
        <w:tblW w:w="0" w:type="auto"/>
        <w:jc w:val="center"/>
        <w:tblLook w:val="04A0" w:firstRow="1" w:lastRow="0" w:firstColumn="1" w:lastColumn="0" w:noHBand="0" w:noVBand="1"/>
      </w:tblPr>
      <w:tblGrid>
        <w:gridCol w:w="6746"/>
        <w:gridCol w:w="1428"/>
      </w:tblGrid>
      <w:tr w:rsidR="005B1443" w14:paraId="1FD5DA86" w14:textId="77777777" w:rsidTr="006F2A9C">
        <w:trPr>
          <w:jc w:val="center"/>
        </w:trPr>
        <w:tc>
          <w:tcPr>
            <w:tcW w:w="6746"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6F2A9C">
        <w:trPr>
          <w:jc w:val="center"/>
        </w:trPr>
        <w:tc>
          <w:tcPr>
            <w:tcW w:w="6746" w:type="dxa"/>
          </w:tcPr>
          <w:p w14:paraId="5F2E8C88" w14:textId="308390D6" w:rsidR="0023550A" w:rsidRPr="00434CF9" w:rsidRDefault="00434CF9" w:rsidP="0023550A">
            <w:pPr>
              <w:spacing w:after="50"/>
              <w:rPr>
                <w:b/>
                <w:bCs/>
              </w:rPr>
            </w:pPr>
            <w:r w:rsidRPr="00434CF9">
              <w:rPr>
                <w:rStyle w:val="Strong"/>
                <w:b w:val="0"/>
                <w:bCs w:val="0"/>
                <w:color w:val="000000"/>
              </w:rPr>
              <w:t>Scenario Understanding and Problem Analysis</w:t>
            </w:r>
            <w:r w:rsidR="006F2A9C">
              <w:rPr>
                <w:rStyle w:val="Strong"/>
                <w:b w:val="0"/>
                <w:bCs w:val="0"/>
                <w:color w:val="000000"/>
              </w:rPr>
              <w:t xml:space="preserve"> (30%)</w:t>
            </w:r>
          </w:p>
        </w:tc>
        <w:tc>
          <w:tcPr>
            <w:tcW w:w="1428" w:type="dxa"/>
          </w:tcPr>
          <w:p w14:paraId="17D226E8" w14:textId="66626320" w:rsidR="0023550A" w:rsidRDefault="0023550A" w:rsidP="0023550A">
            <w:pPr>
              <w:spacing w:after="50"/>
              <w:jc w:val="center"/>
            </w:pPr>
            <w:r>
              <w:t>/5</w:t>
            </w:r>
          </w:p>
        </w:tc>
      </w:tr>
      <w:tr w:rsidR="0023550A" w14:paraId="1B3C5DC7" w14:textId="77777777" w:rsidTr="006F2A9C">
        <w:trPr>
          <w:jc w:val="center"/>
        </w:trPr>
        <w:tc>
          <w:tcPr>
            <w:tcW w:w="6746" w:type="dxa"/>
          </w:tcPr>
          <w:p w14:paraId="3DAB6236" w14:textId="3DB1A536" w:rsidR="0023550A" w:rsidRPr="00434CF9" w:rsidRDefault="00434CF9" w:rsidP="0023550A">
            <w:pPr>
              <w:spacing w:after="50"/>
              <w:rPr>
                <w:b/>
                <w:bCs/>
              </w:rPr>
            </w:pPr>
            <w:r w:rsidRPr="00434CF9">
              <w:rPr>
                <w:rStyle w:val="Strong"/>
                <w:b w:val="0"/>
                <w:bCs w:val="0"/>
                <w:color w:val="000000"/>
              </w:rPr>
              <w:t>Functional and Non-Functional Requirement Identification</w:t>
            </w:r>
            <w:r w:rsidR="006F2A9C">
              <w:rPr>
                <w:rStyle w:val="Strong"/>
                <w:b w:val="0"/>
                <w:bCs w:val="0"/>
                <w:color w:val="000000"/>
              </w:rPr>
              <w:t xml:space="preserve"> (25%)</w:t>
            </w:r>
          </w:p>
        </w:tc>
        <w:tc>
          <w:tcPr>
            <w:tcW w:w="1428" w:type="dxa"/>
          </w:tcPr>
          <w:p w14:paraId="72E37640" w14:textId="0596A677" w:rsidR="0023550A" w:rsidRDefault="0023550A" w:rsidP="0023550A">
            <w:pPr>
              <w:spacing w:after="50"/>
              <w:jc w:val="center"/>
            </w:pPr>
            <w:r>
              <w:t>/5</w:t>
            </w:r>
          </w:p>
        </w:tc>
      </w:tr>
      <w:tr w:rsidR="0023550A" w14:paraId="4D345600" w14:textId="77777777" w:rsidTr="006F2A9C">
        <w:trPr>
          <w:jc w:val="center"/>
        </w:trPr>
        <w:tc>
          <w:tcPr>
            <w:tcW w:w="6746" w:type="dxa"/>
          </w:tcPr>
          <w:p w14:paraId="21A79360" w14:textId="544E3396" w:rsidR="0023550A" w:rsidRPr="00434CF9" w:rsidRDefault="00434CF9" w:rsidP="0023550A">
            <w:pPr>
              <w:spacing w:after="50"/>
              <w:rPr>
                <w:b/>
                <w:bCs/>
              </w:rPr>
            </w:pPr>
            <w:r w:rsidRPr="00434CF9">
              <w:rPr>
                <w:rStyle w:val="Strong"/>
                <w:b w:val="0"/>
                <w:bCs w:val="0"/>
                <w:color w:val="000000"/>
              </w:rPr>
              <w:t xml:space="preserve">Actor Identification and Use Case </w:t>
            </w:r>
            <w:r w:rsidR="006F2A9C" w:rsidRPr="00434CF9">
              <w:rPr>
                <w:rStyle w:val="Strong"/>
                <w:b w:val="0"/>
                <w:bCs w:val="0"/>
                <w:color w:val="000000"/>
              </w:rPr>
              <w:t>Modelling</w:t>
            </w:r>
            <w:r w:rsidR="006F2A9C">
              <w:rPr>
                <w:rStyle w:val="Strong"/>
                <w:b w:val="0"/>
                <w:bCs w:val="0"/>
                <w:color w:val="000000"/>
              </w:rPr>
              <w:t xml:space="preserve"> (20%)</w:t>
            </w:r>
          </w:p>
        </w:tc>
        <w:tc>
          <w:tcPr>
            <w:tcW w:w="1428" w:type="dxa"/>
          </w:tcPr>
          <w:p w14:paraId="34CD90AF" w14:textId="7F7CD641" w:rsidR="0023550A" w:rsidRDefault="0023550A" w:rsidP="0023550A">
            <w:pPr>
              <w:spacing w:after="50"/>
              <w:jc w:val="center"/>
            </w:pPr>
            <w:r>
              <w:t>/5</w:t>
            </w:r>
          </w:p>
        </w:tc>
      </w:tr>
      <w:tr w:rsidR="00434CF9" w14:paraId="2BE28730" w14:textId="77777777" w:rsidTr="006F2A9C">
        <w:trPr>
          <w:jc w:val="center"/>
        </w:trPr>
        <w:tc>
          <w:tcPr>
            <w:tcW w:w="6746" w:type="dxa"/>
            <w:vAlign w:val="center"/>
          </w:tcPr>
          <w:p w14:paraId="4435D2AC" w14:textId="3097E29F" w:rsidR="00434CF9" w:rsidRPr="00434CF9" w:rsidRDefault="00434CF9" w:rsidP="00434CF9">
            <w:pPr>
              <w:spacing w:after="50"/>
              <w:rPr>
                <w:b/>
                <w:bCs/>
              </w:rPr>
            </w:pPr>
            <w:r w:rsidRPr="00434CF9">
              <w:rPr>
                <w:rStyle w:val="Strong"/>
                <w:b w:val="0"/>
                <w:bCs w:val="0"/>
                <w:color w:val="000000"/>
              </w:rPr>
              <w:t>Software Requirement Specification (SRS) Documentation</w:t>
            </w:r>
            <w:r w:rsidR="006F2A9C">
              <w:rPr>
                <w:rStyle w:val="Strong"/>
                <w:b w:val="0"/>
                <w:bCs w:val="0"/>
                <w:color w:val="000000"/>
              </w:rPr>
              <w:t xml:space="preserve"> (15%)</w:t>
            </w:r>
          </w:p>
        </w:tc>
        <w:tc>
          <w:tcPr>
            <w:tcW w:w="1428" w:type="dxa"/>
          </w:tcPr>
          <w:p w14:paraId="5FDFE860" w14:textId="73347033" w:rsidR="00434CF9" w:rsidRDefault="00434CF9" w:rsidP="00434CF9">
            <w:pPr>
              <w:spacing w:after="50"/>
              <w:jc w:val="center"/>
            </w:pPr>
            <w:r>
              <w:t>/5</w:t>
            </w:r>
          </w:p>
        </w:tc>
      </w:tr>
      <w:tr w:rsidR="00434CF9" w14:paraId="0CC40C48" w14:textId="77777777" w:rsidTr="006F2A9C">
        <w:trPr>
          <w:jc w:val="center"/>
        </w:trPr>
        <w:tc>
          <w:tcPr>
            <w:tcW w:w="6746" w:type="dxa"/>
          </w:tcPr>
          <w:p w14:paraId="554681F3" w14:textId="0BCA9CC2" w:rsidR="00434CF9" w:rsidRPr="00434CF9" w:rsidRDefault="00434CF9" w:rsidP="00434CF9">
            <w:pPr>
              <w:spacing w:after="50"/>
              <w:rPr>
                <w:b/>
                <w:bCs/>
              </w:rPr>
            </w:pPr>
            <w:r w:rsidRPr="00434CF9">
              <w:rPr>
                <w:rStyle w:val="Strong"/>
                <w:b w:val="0"/>
                <w:bCs w:val="0"/>
                <w:color w:val="000000"/>
              </w:rPr>
              <w:t>Assumptions, Constraints, and Requirement Validation</w:t>
            </w:r>
            <w:r w:rsidR="006F2A9C">
              <w:rPr>
                <w:rStyle w:val="Strong"/>
                <w:b w:val="0"/>
                <w:bCs w:val="0"/>
                <w:color w:val="000000"/>
              </w:rPr>
              <w:t xml:space="preserve"> (10%)</w:t>
            </w:r>
          </w:p>
        </w:tc>
        <w:tc>
          <w:tcPr>
            <w:tcW w:w="1428" w:type="dxa"/>
          </w:tcPr>
          <w:p w14:paraId="0CF421DE" w14:textId="3DC146A5" w:rsidR="00434CF9" w:rsidRDefault="00434CF9" w:rsidP="00434CF9">
            <w:pPr>
              <w:spacing w:after="50"/>
              <w:jc w:val="center"/>
            </w:pPr>
            <w:r>
              <w:t>/5</w:t>
            </w:r>
          </w:p>
        </w:tc>
      </w:tr>
      <w:tr w:rsidR="00434CF9" w14:paraId="181342D8" w14:textId="77777777" w:rsidTr="006F2A9C">
        <w:trPr>
          <w:jc w:val="center"/>
        </w:trPr>
        <w:tc>
          <w:tcPr>
            <w:tcW w:w="6746" w:type="dxa"/>
          </w:tcPr>
          <w:p w14:paraId="25867337" w14:textId="3EA57DFD" w:rsidR="00434CF9" w:rsidRPr="0023550A" w:rsidRDefault="00434CF9" w:rsidP="00434CF9">
            <w:pPr>
              <w:spacing w:after="50"/>
              <w:jc w:val="right"/>
              <w:rPr>
                <w:b/>
                <w:bCs/>
              </w:rPr>
            </w:pPr>
            <w:r w:rsidRPr="0023550A">
              <w:rPr>
                <w:b/>
                <w:bCs/>
              </w:rPr>
              <w:t>TOTAL</w:t>
            </w:r>
          </w:p>
        </w:tc>
        <w:tc>
          <w:tcPr>
            <w:tcW w:w="1428" w:type="dxa"/>
          </w:tcPr>
          <w:p w14:paraId="31FED3E2" w14:textId="506F919E" w:rsidR="00434CF9" w:rsidRDefault="00434CF9" w:rsidP="00434CF9">
            <w:pPr>
              <w:spacing w:after="50"/>
              <w:jc w:val="center"/>
            </w:pPr>
            <w:r>
              <w:t>/</w:t>
            </w:r>
            <w:r w:rsidR="00672CD0">
              <w:t>25</w:t>
            </w:r>
          </w:p>
        </w:tc>
      </w:tr>
    </w:tbl>
    <w:p>
      <w:r>
        <w:br w:type="page"/>
      </w:r>
    </w:p>
    <w:p>
      <w:pPr>
        <w:spacing w:before="160" w:after="60"/>
        <w:jc w:val="center"/>
      </w:pPr>
      <w:r>
        <w:rPr>
          <w:rFonts w:ascii="Calibri" w:hAnsi="Calibri"/>
          <w:b/>
          <w:color w:val="000000"/>
          <w:sz w:val="30"/>
        </w:rPr>
        <w:t>CO2 ASSESSMENT TOOL 1: STUDENT SUBMISSION REPORT</w:t>
        <w:br/>
        <w:t>SCENARIO-BASED SOFTWARE REQUIREMENT ANALYSIS &amp; SPECIFICATION (SRS)</w:t>
      </w:r>
    </w:p>
    <w:p>
      <w:pPr>
        <w:spacing w:before="40" w:after="120"/>
        <w:jc w:val="center"/>
      </w:pPr>
      <w:r>
        <w:rPr>
          <w:rFonts w:ascii="Calibri" w:hAnsi="Calibri"/>
          <w:b/>
          <w:color w:val="000000"/>
          <w:sz w:val="23"/>
        </w:rPr>
        <w:t>Project: Intelligent Mineral Ore Grinding Optimization &amp; Real-Time Acoustic Telemetry System (AcoustiMill AI)</w:t>
        <w:br/>
        <w:t>Student Name: S Mithun Senthil  |  Register Number: 192324056  |  Department of CSE</w:t>
      </w:r>
    </w:p>
    <w:p>
      <w:pPr>
        <w:keepNext/>
        <w:spacing w:before="160" w:after="60"/>
      </w:pPr>
      <w:r>
        <w:rPr>
          <w:rFonts w:ascii="Calibri" w:hAnsi="Calibri"/>
          <w:b/>
          <w:color w:val="000000"/>
          <w:sz w:val="32"/>
        </w:rPr>
        <w:t>1. Study and Analyze the Scenario</w:t>
      </w:r>
    </w:p>
    <w:p>
      <w:pPr>
        <w:keepNext/>
        <w:spacing w:before="120" w:after="40"/>
      </w:pPr>
      <w:r>
        <w:rPr>
          <w:rFonts w:ascii="Calibri" w:hAnsi="Calibri"/>
          <w:b/>
          <w:color w:val="000000"/>
          <w:sz w:val="28"/>
        </w:rPr>
        <w:t>1.1 Problem Background and Comminution Regimes</w:t>
      </w:r>
    </w:p>
    <w:p>
      <w:pPr>
        <w:spacing w:before="30" w:after="50" w:line="276" w:lineRule="auto"/>
      </w:pPr>
      <w:r>
        <w:rPr>
          <w:rFonts w:ascii="Calibri" w:hAnsi="Calibri"/>
          <w:i w:val="0"/>
          <w:color w:val="000000"/>
          <w:sz w:val="24"/>
        </w:rPr>
        <w:t>In mineral processing concentrators, comminution (crushing and grinding raw mined rock into fine slurry) is the primary energy-consuming stage, accounting for 40% to 50% of total electrical power (15 to 25 MW per mill line). Industrial Semi-Autogenous Grinding (SAG) and Ball mills operate dynamically across three distinct physical comminution regimes:</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1. Severe Underload: </w:t>
      </w:r>
      <w:r>
        <w:rPr>
          <w:rFonts w:ascii="Calibri" w:hAnsi="Calibri"/>
          <w:color w:val="000000"/>
          <w:sz w:val="24"/>
        </w:rPr>
        <w:t>Volumetric charge &lt; 22%. Lack of an ore rock cushion causes 125 mm steel balls to strike manganese lifters directly, causing severe mechanical shock, liner bolt shearing, cracked lifters, and wasted electrical energy.</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2. Optimal Grinding Envelope: </w:t>
      </w:r>
      <w:r>
        <w:rPr>
          <w:rFonts w:ascii="Calibri" w:hAnsi="Calibri"/>
          <w:color w:val="000000"/>
          <w:sz w:val="24"/>
        </w:rPr>
        <w:t>Volumetric filling maintained at 26% to 32% with 70% to 75% solids. Cataracting balls land squarely on the charge toe, maximizing rock breakage, achieving target grind sizing (P80 ~75 µm), and minimizing specific power (kWh/tonne).</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3. Severe Overload &amp; Slurry Pooling: </w:t>
      </w:r>
      <w:r>
        <w:rPr>
          <w:rFonts w:ascii="Calibri" w:hAnsi="Calibri"/>
          <w:color w:val="000000"/>
          <w:sz w:val="24"/>
        </w:rPr>
        <w:t>Volumetric filling exceeds 36%. Ground rock and water form a thick slurry pool cushioning impacts; rock breakage stops, feed chutes back-pack, motor torque surges, and the mill trips on overload, resulting in 6 to 12 hours of downtime costing &gt;$100,000.</w:t>
      </w:r>
    </w:p>
    <w:p>
      <w:pPr>
        <w:keepNext/>
        <w:spacing w:before="120" w:after="40"/>
      </w:pPr>
      <w:r>
        <w:rPr>
          <w:rFonts w:ascii="Calibri" w:hAnsi="Calibri"/>
          <w:b/>
          <w:color w:val="000000"/>
          <w:sz w:val="28"/>
        </w:rPr>
        <w:t>1.2 Business Domain, Stakeholders, and Operational Challenges</w:t>
      </w:r>
    </w:p>
    <w:p>
      <w:pPr>
        <w:spacing w:before="30" w:after="50" w:line="276" w:lineRule="auto"/>
      </w:pPr>
      <w:r>
        <w:rPr>
          <w:rFonts w:ascii="Calibri" w:hAnsi="Calibri"/>
          <w:i w:val="0"/>
          <w:color w:val="000000"/>
          <w:sz w:val="24"/>
        </w:rPr>
        <w:t>The project integrates Extractive Metallurgy, Industrial IoT, and Acoustic Edge Analytics. Existing mill instrumentation (motor current, power in kW, bearing oil pressure) suffers from an inherent 10 to 15 minute lag; by the time power changes, the mill is already heavily choked. External directional acoustic telemetry listening to the mill shell resonance provides instantaneous (100 ms) feedback on internal charge dynamics.</w:t>
      </w:r>
    </w:p>
    <w:p>
      <w:pPr>
        <w:keepNext/>
        <w:spacing w:before="80" w:after="40"/>
      </w:pPr>
      <w:r>
        <w:rPr>
          <w:rFonts w:ascii="Calibri" w:hAnsi="Calibri"/>
          <w:b/>
          <w:color w:val="000000"/>
          <w:sz w:val="24"/>
        </w:rPr>
        <w:t>Table 1: Key Stakeholders &amp; Operational Objectives Matrix</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Stakeholder Role</w:t>
            </w:r>
          </w:p>
        </w:tc>
        <w:tc>
          <w:tcPr>
            <w:tcW w:type="dxa" w:w="1440"/>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Domain</w:t>
            </w:r>
          </w:p>
        </w:tc>
        <w:tc>
          <w:tcPr>
            <w:tcW w:type="dxa" w:w="2448"/>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Key Responsibilities</w:t>
            </w:r>
          </w:p>
        </w:tc>
        <w:tc>
          <w:tcPr>
            <w:tcW w:type="dxa" w:w="2592"/>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Core Operational Need</w:t>
            </w:r>
          </w:p>
        </w:tc>
        <w:tc>
          <w:tcPr>
            <w:tcW w:type="dxa" w:w="2304"/>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Delivered System Value</w:t>
            </w:r>
          </w:p>
        </w:tc>
      </w:tr>
      <w:tr>
        <w:trPr>
          <w:cantSplit/>
        </w:trPr>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Control Room Operator</w:t>
            </w:r>
          </w:p>
        </w:tc>
        <w:tc>
          <w:tcPr>
            <w:tcW w:type="dxa" w:w="144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Operations</w:t>
            </w:r>
          </w:p>
        </w:tc>
        <w:tc>
          <w:tcPr>
            <w:tcW w:type="dxa" w:w="244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Supervises mill circuit 24/7; controls feed &amp; water.</w:t>
            </w:r>
          </w:p>
        </w:tc>
        <w:tc>
          <w:tcPr>
            <w:tcW w:type="dxa" w:w="259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Eliminate sudden chute overloads &amp; cognitive fatigue.</w:t>
            </w:r>
          </w:p>
        </w:tc>
        <w:tc>
          <w:tcPr>
            <w:tcW w:type="dxa" w:w="230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Live waterfall display, predictive load dial, bump-less override.</w:t>
            </w:r>
          </w:p>
        </w:tc>
      </w:tr>
      <w:tr>
        <w:trPr>
          <w:cantSplit/>
        </w:trPr>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Metallurgical Engineer</w:t>
            </w:r>
          </w:p>
        </w:tc>
        <w:tc>
          <w:tcPr>
            <w:tcW w:type="dxa" w:w="144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Metallurgy</w:t>
            </w:r>
          </w:p>
        </w:tc>
        <w:tc>
          <w:tcPr>
            <w:tcW w:type="dxa" w:w="244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Optimizes P80 grind size &amp; metal recovery yields.</w:t>
            </w:r>
          </w:p>
        </w:tc>
        <w:tc>
          <w:tcPr>
            <w:tcW w:type="dxa" w:w="259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Prevent slurry pooling &amp; ore hardness sizing swings.</w:t>
            </w:r>
          </w:p>
        </w:tc>
        <w:tc>
          <w:tcPr>
            <w:tcW w:type="dxa" w:w="230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Real-time pooling index, optimal grind envelope, shift reports.</w:t>
            </w:r>
          </w:p>
        </w:tc>
      </w:tr>
      <w:tr>
        <w:trPr>
          <w:cantSplit/>
        </w:trPr>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Reliability Engineer</w:t>
            </w:r>
          </w:p>
        </w:tc>
        <w:tc>
          <w:tcPr>
            <w:tcW w:type="dxa" w:w="144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Maintenance</w:t>
            </w:r>
          </w:p>
        </w:tc>
        <w:tc>
          <w:tcPr>
            <w:tcW w:type="dxa" w:w="244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Manages liners, lifters, bearings, and shell integrity.</w:t>
            </w:r>
          </w:p>
        </w:tc>
        <w:tc>
          <w:tcPr>
            <w:tcW w:type="dxa" w:w="259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Prevent liner bolt shearing during underloads.</w:t>
            </w:r>
          </w:p>
        </w:tc>
        <w:tc>
          <w:tcPr>
            <w:tcW w:type="dxa" w:w="230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Continuous impact severity tracking; liner bolt loosening alarm.</w:t>
            </w:r>
          </w:p>
        </w:tc>
      </w:tr>
      <w:tr>
        <w:trPr>
          <w:cantSplit/>
        </w:trPr>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Automation Technician</w:t>
            </w:r>
          </w:p>
        </w:tc>
        <w:tc>
          <w:tcPr>
            <w:tcW w:type="dxa" w:w="144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OT / I&amp;C</w:t>
            </w:r>
          </w:p>
        </w:tc>
        <w:tc>
          <w:tcPr>
            <w:tcW w:type="dxa" w:w="244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Maintains sensors, DAQ, PLC fieldbuses, and edge IPC.</w:t>
            </w:r>
          </w:p>
        </w:tc>
        <w:tc>
          <w:tcPr>
            <w:tcW w:type="dxa" w:w="259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Reliable sensor health &amp; standard DCS integration.</w:t>
            </w:r>
          </w:p>
        </w:tc>
        <w:tc>
          <w:tcPr>
            <w:tcW w:type="dxa" w:w="230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Standard OPC-UA/Modbus tags; automated SNR watchdog.</w:t>
            </w:r>
          </w:p>
        </w:tc>
      </w:tr>
      <w:tr>
        <w:trPr>
          <w:cantSplit/>
        </w:trPr>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Plant Safety Officer</w:t>
            </w:r>
          </w:p>
        </w:tc>
        <w:tc>
          <w:tcPr>
            <w:tcW w:type="dxa" w:w="144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HSE</w:t>
            </w:r>
          </w:p>
        </w:tc>
        <w:tc>
          <w:tcPr>
            <w:tcW w:type="dxa" w:w="244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Enforces MSHA/OSHA safety standards &amp; interlocks.</w:t>
            </w:r>
          </w:p>
        </w:tc>
        <w:tc>
          <w:tcPr>
            <w:tcW w:type="dxa" w:w="259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Eliminate dangerous manual chute unblocking entries.</w:t>
            </w:r>
          </w:p>
        </w:tc>
        <w:tc>
          <w:tcPr>
            <w:tcW w:type="dxa" w:w="230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Predictive chute blockage prevention; hardware fail-safe trip.</w:t>
            </w:r>
          </w:p>
        </w:tc>
      </w:tr>
      <w:tr>
        <w:trPr>
          <w:cantSplit/>
        </w:trPr>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Plant General Manager</w:t>
            </w:r>
          </w:p>
        </w:tc>
        <w:tc>
          <w:tcPr>
            <w:tcW w:type="dxa" w:w="144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Executive</w:t>
            </w:r>
          </w:p>
        </w:tc>
        <w:tc>
          <w:tcPr>
            <w:tcW w:type="dxa" w:w="244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Governs site profitability, quotas, and CapEx ROI.</w:t>
            </w:r>
          </w:p>
        </w:tc>
        <w:tc>
          <w:tcPr>
            <w:tcW w:type="dxa" w:w="259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Reduce heavy plant power tariffs and downtime deficits.</w:t>
            </w:r>
          </w:p>
        </w:tc>
        <w:tc>
          <w:tcPr>
            <w:tcW w:type="dxa" w:w="230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3-5% power savings ($350k/yr); ROI payback in &lt; 6 months.</w:t>
            </w:r>
          </w:p>
        </w:tc>
      </w:tr>
    </w:tbl>
    <w:p>
      <w:pPr>
        <w:keepNext/>
        <w:spacing w:before="120" w:after="40"/>
      </w:pPr>
      <w:r>
        <w:rPr>
          <w:rFonts w:ascii="Calibri" w:hAnsi="Calibri"/>
          <w:b/>
          <w:color w:val="000000"/>
          <w:sz w:val="28"/>
        </w:rPr>
        <w:t>1.3 Strategic SMART Objectives</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[S] Specific: </w:t>
      </w:r>
      <w:r>
        <w:rPr>
          <w:rFonts w:ascii="Calibri" w:hAnsi="Calibri"/>
          <w:color w:val="000000"/>
          <w:sz w:val="24"/>
        </w:rPr>
        <w:t>Specific: Ingest 4-channel 48 kHz acoustic streams; extract 2048-pt FFT and 32 Mel bands every 100 ms.</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[M] Measurable: </w:t>
      </w:r>
      <w:r>
        <w:rPr>
          <w:rFonts w:ascii="Calibri" w:hAnsi="Calibri"/>
          <w:color w:val="000000"/>
          <w:sz w:val="24"/>
        </w:rPr>
        <w:t>Measurable: Achieve &gt; 95% load state accuracy; cut specific energy by 3.0% to 5.0% ($350k/yr savings).</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[A] Achievable: </w:t>
      </w:r>
      <w:r>
        <w:rPr>
          <w:rFonts w:ascii="Calibri" w:hAnsi="Calibri"/>
          <w:color w:val="000000"/>
          <w:sz w:val="24"/>
        </w:rPr>
        <w:t>Achievable: Deploy ruggedized fanless IP67 edge IPC interfacing directly with plant DCS via OPC-UA.</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[R] Relevant: </w:t>
      </w:r>
      <w:r>
        <w:rPr>
          <w:rFonts w:ascii="Calibri" w:hAnsi="Calibri"/>
          <w:color w:val="000000"/>
          <w:sz w:val="24"/>
        </w:rPr>
        <w:t>Relevant: Provide 10-minute early warning before overload trips; cut mill downtime by &gt; 25%.</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[T] Time-Bound: </w:t>
      </w:r>
      <w:r>
        <w:rPr>
          <w:rFonts w:ascii="Calibri" w:hAnsi="Calibri"/>
          <w:color w:val="000000"/>
          <w:sz w:val="24"/>
        </w:rPr>
        <w:t>Time-Bound: Edge ML inference latency &lt; 150 ms; operator HMI screen refresh latency &lt; 500 ms.</w:t>
      </w:r>
    </w:p>
    <w:p>
      <w:pPr>
        <w:keepNext/>
        <w:spacing w:before="160" w:after="60"/>
      </w:pPr>
      <w:r>
        <w:rPr>
          <w:rFonts w:ascii="Calibri" w:hAnsi="Calibri"/>
          <w:b/>
          <w:color w:val="000000"/>
          <w:sz w:val="32"/>
        </w:rPr>
        <w:t>2. Identify Functional and Non-Functional Requirements</w:t>
      </w:r>
    </w:p>
    <w:p>
      <w:pPr>
        <w:keepNext/>
        <w:spacing w:before="120" w:after="40"/>
      </w:pPr>
      <w:r>
        <w:rPr>
          <w:rFonts w:ascii="Calibri" w:hAnsi="Calibri"/>
          <w:b/>
          <w:color w:val="000000"/>
          <w:sz w:val="28"/>
        </w:rPr>
        <w:t>2.1 Functional Requirements Catalog</w:t>
      </w:r>
    </w:p>
    <w:p>
      <w:pPr>
        <w:spacing w:before="30" w:after="50" w:line="276" w:lineRule="auto"/>
      </w:pPr>
      <w:r>
        <w:rPr>
          <w:rFonts w:ascii="Calibri" w:hAnsi="Calibri"/>
          <w:i w:val="0"/>
          <w:color w:val="000000"/>
          <w:sz w:val="24"/>
        </w:rPr>
        <w:t>The functional baseline encompasses 12 core requirements across 6 modular subsystems, prioritized using MoSCoW:</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152"/>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Req ID</w:t>
            </w:r>
          </w:p>
        </w:tc>
        <w:tc>
          <w:tcPr>
            <w:tcW w:type="dxa" w:w="1584"/>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Subsystem</w:t>
            </w:r>
          </w:p>
        </w:tc>
        <w:tc>
          <w:tcPr>
            <w:tcW w:type="dxa" w:w="3456"/>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Requirement Specification</w:t>
            </w:r>
          </w:p>
        </w:tc>
        <w:tc>
          <w:tcPr>
            <w:tcW w:type="dxa" w:w="864"/>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Pri</w:t>
            </w:r>
          </w:p>
        </w:tc>
        <w:tc>
          <w:tcPr>
            <w:tcW w:type="dxa" w:w="1728"/>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Input Data</w:t>
            </w:r>
          </w:p>
        </w:tc>
        <w:tc>
          <w:tcPr>
            <w:tcW w:type="dxa" w:w="2016"/>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Behavior &amp; Delivered Output</w:t>
            </w:r>
          </w:p>
        </w:tc>
      </w:tr>
      <w:tr>
        <w:trPr>
          <w:cantSplit/>
        </w:trPr>
        <w:tc>
          <w:tcPr>
            <w:tcW w:type="dxa" w:w="115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FR-01</w:t>
            </w:r>
          </w:p>
        </w:tc>
        <w:tc>
          <w:tcPr>
            <w:tcW w:type="dxa" w:w="158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Ingestion</w:t>
            </w:r>
          </w:p>
        </w:tc>
        <w:tc>
          <w:tcPr>
            <w:tcW w:type="dxa" w:w="345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Multi-Channel Acoustic Ingestion: Ingest continuous 48 kHz 24-bit audio.</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Must</w:t>
            </w:r>
          </w:p>
        </w:tc>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Raw audio streams (ALSA/ASIO).</w:t>
            </w:r>
          </w:p>
        </w:tc>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Packages 100 ms frames into DMA ring buffer.</w:t>
            </w:r>
          </w:p>
        </w:tc>
      </w:tr>
      <w:tr>
        <w:trPr>
          <w:cantSplit/>
        </w:trPr>
        <w:tc>
          <w:tcPr>
            <w:tcW w:type="dxa" w:w="115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FR-02</w:t>
            </w:r>
          </w:p>
        </w:tc>
        <w:tc>
          <w:tcPr>
            <w:tcW w:type="dxa" w:w="158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Ingestion</w:t>
            </w:r>
          </w:p>
        </w:tc>
        <w:tc>
          <w:tcPr>
            <w:tcW w:type="dxa" w:w="345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Sensor Health Watchdog: Detect sensor disconnection and acoustic clipping.</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Must</w:t>
            </w:r>
          </w:p>
        </w:tc>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Continuous acoustic power spectrum.</w:t>
            </w:r>
          </w:p>
        </w:tc>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Flags SENSOR_FAULT if SNR &lt; 12 dB for &gt; 2s.</w:t>
            </w:r>
          </w:p>
        </w:tc>
      </w:tr>
      <w:tr>
        <w:trPr>
          <w:cantSplit/>
        </w:trPr>
        <w:tc>
          <w:tcPr>
            <w:tcW w:type="dxa" w:w="115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FR-03</w:t>
            </w:r>
          </w:p>
        </w:tc>
        <w:tc>
          <w:tcPr>
            <w:tcW w:type="dxa" w:w="158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DSP Engine</w:t>
            </w:r>
          </w:p>
        </w:tc>
        <w:tc>
          <w:tcPr>
            <w:tcW w:type="dxa" w:w="345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Real-Time FFT &amp; Spectral Extraction: Extract spectral features every 100 ms.</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Must</w:t>
            </w:r>
          </w:p>
        </w:tc>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100 ms audio frames (4800 samples).</w:t>
            </w:r>
          </w:p>
        </w:tc>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Outputs centroid, flux, and 32 Mel energy bands.</w:t>
            </w:r>
          </w:p>
        </w:tc>
      </w:tr>
      <w:tr>
        <w:trPr>
          <w:cantSplit/>
        </w:trPr>
        <w:tc>
          <w:tcPr>
            <w:tcW w:type="dxa" w:w="115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FR-04</w:t>
            </w:r>
          </w:p>
        </w:tc>
        <w:tc>
          <w:tcPr>
            <w:tcW w:type="dxa" w:w="158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DSP Engine</w:t>
            </w:r>
          </w:p>
        </w:tc>
        <w:tc>
          <w:tcPr>
            <w:tcW w:type="dxa" w:w="345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Noise Suppression: Filter background pump, screen, and drive rumble.</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Should</w:t>
            </w:r>
          </w:p>
        </w:tc>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Raw acoustic waveforms.</w:t>
            </w:r>
          </w:p>
        </w:tc>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Applies Chebyshev bandpass filter (500 Hz-12 kHz).</w:t>
            </w:r>
          </w:p>
        </w:tc>
      </w:tr>
      <w:tr>
        <w:trPr>
          <w:cantSplit/>
        </w:trPr>
        <w:tc>
          <w:tcPr>
            <w:tcW w:type="dxa" w:w="115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FR-05</w:t>
            </w:r>
          </w:p>
        </w:tc>
        <w:tc>
          <w:tcPr>
            <w:tcW w:type="dxa" w:w="158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ML Engine</w:t>
            </w:r>
          </w:p>
        </w:tc>
        <w:tc>
          <w:tcPr>
            <w:tcW w:type="dxa" w:w="345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Load Regime Classification: Classify into Underload, Optimal, or Overload.</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Must</w:t>
            </w:r>
          </w:p>
        </w:tc>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Spectral feature vector, motor kW.</w:t>
            </w:r>
          </w:p>
        </w:tc>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Computes state probability &amp; Load Index (0.00-1.00).</w:t>
            </w:r>
          </w:p>
        </w:tc>
      </w:tr>
      <w:tr>
        <w:trPr>
          <w:cantSplit/>
        </w:trPr>
        <w:tc>
          <w:tcPr>
            <w:tcW w:type="dxa" w:w="115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FR-06</w:t>
            </w:r>
          </w:p>
        </w:tc>
        <w:tc>
          <w:tcPr>
            <w:tcW w:type="dxa" w:w="158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ML Engine</w:t>
            </w:r>
          </w:p>
        </w:tc>
        <w:tc>
          <w:tcPr>
            <w:tcW w:type="dxa" w:w="345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Slurry Pooling Estimation: Quantify slurry pool depth damping toe impacts.</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Should</w:t>
            </w:r>
          </w:p>
        </w:tc>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Low-frequency attenuation (1-3 kHz).</w:t>
            </w:r>
          </w:p>
        </w:tc>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Outputs continuous Slurry Pool Index (0-100%).</w:t>
            </w:r>
          </w:p>
        </w:tc>
      </w:tr>
      <w:tr>
        <w:trPr>
          <w:cantSplit/>
        </w:trPr>
        <w:tc>
          <w:tcPr>
            <w:tcW w:type="dxa" w:w="115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FR-07</w:t>
            </w:r>
          </w:p>
        </w:tc>
        <w:tc>
          <w:tcPr>
            <w:tcW w:type="dxa" w:w="158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Control</w:t>
            </w:r>
          </w:p>
        </w:tc>
        <w:tc>
          <w:tcPr>
            <w:tcW w:type="dxa" w:w="345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Supervisory Setpoint Optimization: Generate feed (TPH) and water setpoints.</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Must</w:t>
            </w:r>
          </w:p>
        </w:tc>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Load Index, feed rate, motor power.</w:t>
            </w:r>
          </w:p>
        </w:tc>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Model Predictive Control (MPC) advisory setpoints.</w:t>
            </w:r>
          </w:p>
        </w:tc>
      </w:tr>
      <w:tr>
        <w:trPr>
          <w:cantSplit/>
        </w:trPr>
        <w:tc>
          <w:tcPr>
            <w:tcW w:type="dxa" w:w="115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FR-08</w:t>
            </w:r>
          </w:p>
        </w:tc>
        <w:tc>
          <w:tcPr>
            <w:tcW w:type="dxa" w:w="158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Control</w:t>
            </w:r>
          </w:p>
        </w:tc>
        <w:tc>
          <w:tcPr>
            <w:tcW w:type="dxa" w:w="345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Safety Clamping &amp; Rate Limiting: Restrict setpoints within metallurgical safety.</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Must</w:t>
            </w:r>
          </w:p>
        </w:tc>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Raw MPC advisory setpoints.</w:t>
            </w:r>
          </w:p>
        </w:tc>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Clamps rate (±10 TPH/min) and bounds (300-650 TPH).</w:t>
            </w:r>
          </w:p>
        </w:tc>
      </w:tr>
      <w:tr>
        <w:trPr>
          <w:cantSplit/>
        </w:trPr>
        <w:tc>
          <w:tcPr>
            <w:tcW w:type="dxa" w:w="115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FR-09</w:t>
            </w:r>
          </w:p>
        </w:tc>
        <w:tc>
          <w:tcPr>
            <w:tcW w:type="dxa" w:w="158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SCADA HMI</w:t>
            </w:r>
          </w:p>
        </w:tc>
        <w:tc>
          <w:tcPr>
            <w:tcW w:type="dxa" w:w="345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ISA-101 Operator Dashboard: Live waterfall spectrogram and charge dials.</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Must</w:t>
            </w:r>
          </w:p>
        </w:tc>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Load index, spectrogram matrix.</w:t>
            </w:r>
          </w:p>
        </w:tc>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Renders 60 FPS HTML5 web console &amp; alarms.</w:t>
            </w:r>
          </w:p>
        </w:tc>
      </w:tr>
      <w:tr>
        <w:trPr>
          <w:cantSplit/>
        </w:trPr>
        <w:tc>
          <w:tcPr>
            <w:tcW w:type="dxa" w:w="115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FR-10</w:t>
            </w:r>
          </w:p>
        </w:tc>
        <w:tc>
          <w:tcPr>
            <w:tcW w:type="dxa" w:w="158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SCADA HMI</w:t>
            </w:r>
          </w:p>
        </w:tc>
        <w:tc>
          <w:tcPr>
            <w:tcW w:type="dxa" w:w="345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Manual Override &amp; Bump-less Transfer: Permit seamless operator control toggling.</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Must</w:t>
            </w:r>
          </w:p>
        </w:tc>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Operator UI toggle, credentials.</w:t>
            </w:r>
          </w:p>
        </w:tc>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Decouples AI write tags; latches steady setpoints.</w:t>
            </w:r>
          </w:p>
        </w:tc>
      </w:tr>
      <w:tr>
        <w:trPr>
          <w:cantSplit/>
        </w:trPr>
        <w:tc>
          <w:tcPr>
            <w:tcW w:type="dxa" w:w="115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FR-11</w:t>
            </w:r>
          </w:p>
        </w:tc>
        <w:tc>
          <w:tcPr>
            <w:tcW w:type="dxa" w:w="158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Diagnostics</w:t>
            </w:r>
          </w:p>
        </w:tc>
        <w:tc>
          <w:tcPr>
            <w:tcW w:type="dxa" w:w="345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Liner Bolt Loosening Alarm: Detect periodic shell impact transients.</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Must</w:t>
            </w:r>
          </w:p>
        </w:tc>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Acoustic transients (&gt;14 kHz), angle.</w:t>
            </w:r>
          </w:p>
        </w:tc>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Flags loose liner bolts; generates polar heat map.</w:t>
            </w:r>
          </w:p>
        </w:tc>
      </w:tr>
      <w:tr>
        <w:trPr>
          <w:cantSplit/>
        </w:trPr>
        <w:tc>
          <w:tcPr>
            <w:tcW w:type="dxa" w:w="115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FR-12</w:t>
            </w:r>
          </w:p>
        </w:tc>
        <w:tc>
          <w:tcPr>
            <w:tcW w:type="dxa" w:w="158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Safety</w:t>
            </w:r>
          </w:p>
        </w:tc>
        <w:tc>
          <w:tcPr>
            <w:tcW w:type="dxa" w:w="345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Hardware Watchdog Disconnect: Safe disconnect upon software/network failure.</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Must</w:t>
            </w:r>
          </w:p>
        </w:tc>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Software heartbeat pulse (1000 ms).</w:t>
            </w:r>
          </w:p>
        </w:tc>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De-energizes relay; DCS safely reverts to baseline.</w:t>
            </w:r>
          </w:p>
        </w:tc>
      </w:tr>
    </w:tbl>
    <w:p>
      <w:pPr>
        <w:keepNext/>
        <w:spacing w:before="120" w:after="40"/>
      </w:pPr>
      <w:r>
        <w:rPr>
          <w:rFonts w:ascii="Calibri" w:hAnsi="Calibri"/>
          <w:b/>
          <w:color w:val="000000"/>
          <w:sz w:val="28"/>
        </w:rPr>
        <w:t>2.2 Non-Functional Requirements Catalog</w:t>
      </w:r>
    </w:p>
    <w:tbl>
      <w:tblPr>
        <w:tblW w:type="auto" w:w="0"/>
        <w:jc w:val="center"/>
        <w:tblLook w:firstColumn="1" w:firstRow="1" w:lastColumn="0" w:lastRow="0" w:noHBand="0" w:noVBand="1" w:val="04A0"/>
      </w:tblPr>
      <w:tblGrid>
        <w:gridCol w:w="2016"/>
        <w:gridCol w:w="2016"/>
        <w:gridCol w:w="2016"/>
        <w:gridCol w:w="2016"/>
        <w:gridCol w:w="2016"/>
      </w:tblGrid>
      <w:tr>
        <w:tc>
          <w:tcPr>
            <w:tcW w:type="dxa" w:w="1152"/>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NFR ID</w:t>
            </w:r>
          </w:p>
        </w:tc>
        <w:tc>
          <w:tcPr>
            <w:tcW w:type="dxa" w:w="2016"/>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Quality Dimension</w:t>
            </w:r>
          </w:p>
        </w:tc>
        <w:tc>
          <w:tcPr>
            <w:tcW w:type="dxa" w:w="3888"/>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Requirement Specification &amp; Metric</w:t>
            </w:r>
          </w:p>
        </w:tc>
        <w:tc>
          <w:tcPr>
            <w:tcW w:type="dxa" w:w="2016"/>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Target SLA</w:t>
            </w:r>
          </w:p>
        </w:tc>
        <w:tc>
          <w:tcPr>
            <w:tcW w:type="dxa" w:w="1728"/>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Verification Method</w:t>
            </w:r>
          </w:p>
        </w:tc>
      </w:tr>
      <w:tr>
        <w:trPr>
          <w:cantSplit/>
        </w:trPr>
        <w:tc>
          <w:tcPr>
            <w:tcW w:type="dxa" w:w="115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NFR-01</w:t>
            </w:r>
          </w:p>
        </w:tc>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Performance</w:t>
            </w:r>
          </w:p>
        </w:tc>
        <w:tc>
          <w:tcPr>
            <w:tcW w:type="dxa" w:w="388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Edge ML inference latency from audio capture to state classification.</w:t>
            </w:r>
          </w:p>
        </w:tc>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 150 ms</w:t>
            </w:r>
          </w:p>
        </w:tc>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Precision hardware timer profiler.</w:t>
            </w:r>
          </w:p>
        </w:tc>
      </w:tr>
      <w:tr>
        <w:trPr>
          <w:cantSplit/>
        </w:trPr>
        <w:tc>
          <w:tcPr>
            <w:tcW w:type="dxa" w:w="115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NFR-02</w:t>
            </w:r>
          </w:p>
        </w:tc>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Throughput</w:t>
            </w:r>
          </w:p>
        </w:tc>
        <w:tc>
          <w:tcPr>
            <w:tcW w:type="dxa" w:w="388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End-to-End HMI display refresh from acoustic event to browser render.</w:t>
            </w:r>
          </w:p>
        </w:tc>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 500 ms</w:t>
            </w:r>
          </w:p>
        </w:tc>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Network packet &amp; frame profiler.</w:t>
            </w:r>
          </w:p>
        </w:tc>
      </w:tr>
      <w:tr>
        <w:trPr>
          <w:cantSplit/>
        </w:trPr>
        <w:tc>
          <w:tcPr>
            <w:tcW w:type="dxa" w:w="115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NFR-03</w:t>
            </w:r>
          </w:p>
        </w:tc>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Reliability</w:t>
            </w:r>
          </w:p>
        </w:tc>
        <w:tc>
          <w:tcPr>
            <w:tcW w:type="dxa" w:w="388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Continuous operational availability in 24/7/365 concentrator operation.</w:t>
            </w:r>
          </w:p>
        </w:tc>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 99.95% uptime</w:t>
            </w:r>
          </w:p>
        </w:tc>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Monthly historian uptime audit.</w:t>
            </w:r>
          </w:p>
        </w:tc>
      </w:tr>
      <w:tr>
        <w:trPr>
          <w:cantSplit/>
        </w:trPr>
        <w:tc>
          <w:tcPr>
            <w:tcW w:type="dxa" w:w="115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NFR-04</w:t>
            </w:r>
          </w:p>
        </w:tc>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Security</w:t>
            </w:r>
          </w:p>
        </w:tc>
        <w:tc>
          <w:tcPr>
            <w:tcW w:type="dxa" w:w="388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Industrial cybersecurity compliance conforming to ISA/IEC 62443 standards.</w:t>
            </w:r>
          </w:p>
        </w:tc>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TLS 1.3, AES-256, MFA</w:t>
            </w:r>
          </w:p>
        </w:tc>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Vulnerability &amp; penetration audit.</w:t>
            </w:r>
          </w:p>
        </w:tc>
      </w:tr>
      <w:tr>
        <w:trPr>
          <w:cantSplit/>
        </w:trPr>
        <w:tc>
          <w:tcPr>
            <w:tcW w:type="dxa" w:w="115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NFR-05</w:t>
            </w:r>
          </w:p>
        </w:tc>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Usability</w:t>
            </w:r>
          </w:p>
        </w:tc>
        <w:tc>
          <w:tcPr>
            <w:tcW w:type="dxa" w:w="388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Ergonomic compliance with ISA-101 High-Performance HMI (2-click rule).</w:t>
            </w:r>
          </w:p>
        </w:tc>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Max 2 clicks to control</w:t>
            </w:r>
          </w:p>
        </w:tc>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Operator cognitive UX walkthrough.</w:t>
            </w:r>
          </w:p>
        </w:tc>
      </w:tr>
      <w:tr>
        <w:trPr>
          <w:cantSplit/>
        </w:trPr>
        <w:tc>
          <w:tcPr>
            <w:tcW w:type="dxa" w:w="115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NFR-06</w:t>
            </w:r>
          </w:p>
        </w:tc>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Scalability</w:t>
            </w:r>
          </w:p>
        </w:tc>
        <w:tc>
          <w:tcPr>
            <w:tcW w:type="dxa" w:w="388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Capacity to monitor multiple concurrent grinding lines (SAG &amp; Ball mills).</w:t>
            </w:r>
          </w:p>
        </w:tc>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4 lines (16 channels)</w:t>
            </w:r>
          </w:p>
        </w:tc>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Multi-line stress load testing.</w:t>
            </w:r>
          </w:p>
        </w:tc>
      </w:tr>
      <w:tr>
        <w:trPr>
          <w:cantSplit/>
        </w:trPr>
        <w:tc>
          <w:tcPr>
            <w:tcW w:type="dxa" w:w="115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NFR-07</w:t>
            </w:r>
          </w:p>
        </w:tc>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Modularity</w:t>
            </w:r>
          </w:p>
        </w:tc>
        <w:tc>
          <w:tcPr>
            <w:tcW w:type="dxa" w:w="388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Containerized microservice deployment with hot-swappable ONNX models.</w:t>
            </w:r>
          </w:p>
        </w:tc>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Zero-downtime rolling update</w:t>
            </w:r>
          </w:p>
        </w:tc>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Docker rolling deployment test.</w:t>
            </w:r>
          </w:p>
        </w:tc>
      </w:tr>
      <w:tr>
        <w:trPr>
          <w:cantSplit/>
        </w:trPr>
        <w:tc>
          <w:tcPr>
            <w:tcW w:type="dxa" w:w="115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NFR-08</w:t>
            </w:r>
          </w:p>
        </w:tc>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Safety</w:t>
            </w:r>
          </w:p>
        </w:tc>
        <w:tc>
          <w:tcPr>
            <w:tcW w:type="dxa" w:w="388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Deterministic hardware fail-safe disconnect upon watchdog timeout.</w:t>
            </w:r>
          </w:p>
        </w:tc>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Disconnect &lt; 500 ms</w:t>
            </w:r>
          </w:p>
        </w:tc>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Hardware fault injection test.</w:t>
            </w:r>
          </w:p>
        </w:tc>
      </w:tr>
    </w:tbl>
    <w:p>
      <w:pPr>
        <w:keepNext/>
        <w:spacing w:before="160" w:after="60"/>
      </w:pPr>
      <w:r>
        <w:rPr>
          <w:rFonts w:ascii="Calibri" w:hAnsi="Calibri"/>
          <w:b/>
          <w:color w:val="000000"/>
          <w:sz w:val="32"/>
        </w:rPr>
        <w:t>3. Identify Actors and Use Cases</w:t>
      </w:r>
    </w:p>
    <w:p>
      <w:pPr>
        <w:keepNext/>
        <w:spacing w:before="120" w:after="40"/>
      </w:pPr>
      <w:r>
        <w:rPr>
          <w:rFonts w:ascii="Calibri" w:hAnsi="Calibri"/>
          <w:b/>
          <w:color w:val="000000"/>
          <w:sz w:val="28"/>
        </w:rPr>
        <w:t>3.1 Actor Identification</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Primary (Human) Actors: </w:t>
      </w:r>
      <w:r>
        <w:rPr>
          <w:rFonts w:ascii="Calibri" w:hAnsi="Calibri"/>
          <w:color w:val="000000"/>
          <w:sz w:val="24"/>
        </w:rPr>
        <w:t>Control Room Operator, Metallurgical Engineer, Maintenance / Reliability Engineer, Automation Technician, Plant Safety Officer, System Administrator.</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Secondary (System) Actors: </w:t>
      </w:r>
      <w:r>
        <w:rPr>
          <w:rFonts w:ascii="Calibri" w:hAnsi="Calibri"/>
          <w:color w:val="000000"/>
          <w:sz w:val="24"/>
        </w:rPr>
        <w:t>Acoustic Sensor Array &amp; DAQ, Plant DCS / PLC (Honeywell/DeltaV/PCS7), Enterprise ERP / PIMS (SAP/OSIsoft PI).</w:t>
      </w:r>
    </w:p>
    <w:p>
      <w:pPr>
        <w:keepNext/>
        <w:spacing w:before="120" w:after="40"/>
      </w:pPr>
      <w:r>
        <w:rPr>
          <w:rFonts w:ascii="Calibri" w:hAnsi="Calibri"/>
          <w:b/>
          <w:color w:val="000000"/>
          <w:sz w:val="28"/>
        </w:rPr>
        <w:t>3.2 Actor-to-Use-Case Matrix</w:t>
      </w:r>
    </w:p>
    <w:tbl>
      <w:tblPr>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3168"/>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Use Case ID &amp; Title</w:t>
            </w:r>
          </w:p>
        </w:tc>
        <w:tc>
          <w:tcPr>
            <w:tcW w:type="dxa" w:w="864"/>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Operator</w:t>
            </w:r>
          </w:p>
        </w:tc>
        <w:tc>
          <w:tcPr>
            <w:tcW w:type="dxa" w:w="864"/>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Metallurgist</w:t>
            </w:r>
          </w:p>
        </w:tc>
        <w:tc>
          <w:tcPr>
            <w:tcW w:type="dxa" w:w="864"/>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Maint. Eng.</w:t>
            </w:r>
          </w:p>
        </w:tc>
        <w:tc>
          <w:tcPr>
            <w:tcW w:type="dxa" w:w="864"/>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Automation</w:t>
            </w:r>
          </w:p>
        </w:tc>
        <w:tc>
          <w:tcPr>
            <w:tcW w:type="dxa" w:w="864"/>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Safety Off.</w:t>
            </w:r>
          </w:p>
        </w:tc>
        <w:tc>
          <w:tcPr>
            <w:tcW w:type="dxa" w:w="864"/>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Sys Admin</w:t>
            </w:r>
          </w:p>
        </w:tc>
        <w:tc>
          <w:tcPr>
            <w:tcW w:type="dxa" w:w="864"/>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Sensor DAQ</w:t>
            </w:r>
          </w:p>
        </w:tc>
        <w:tc>
          <w:tcPr>
            <w:tcW w:type="dxa" w:w="864"/>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DCS / PLC</w:t>
            </w:r>
          </w:p>
        </w:tc>
        <w:tc>
          <w:tcPr>
            <w:tcW w:type="dxa" w:w="864"/>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ERP/PIMS</w:t>
            </w:r>
          </w:p>
        </w:tc>
      </w:tr>
      <w:tr>
        <w:trPr>
          <w:cantSplit/>
        </w:trPr>
        <w:tc>
          <w:tcPr>
            <w:tcW w:type="dxa" w:w="316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UC-01: Ingest Acoustic Telemetry</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X</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X</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r>
      <w:tr>
        <w:trPr>
          <w:cantSplit/>
        </w:trPr>
        <w:tc>
          <w:tcPr>
            <w:tcW w:type="dxa" w:w="316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UC-02: Preprocess Audio &amp; FFT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r>
      <w:tr>
        <w:trPr>
          <w:cantSplit/>
        </w:trPr>
        <w:tc>
          <w:tcPr>
            <w:tcW w:type="dxa" w:w="316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UC-03: Classify Mill Load State</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r>
      <w:tr>
        <w:trPr>
          <w:cantSplit/>
        </w:trPr>
        <w:tc>
          <w:tcPr>
            <w:tcW w:type="dxa" w:w="316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UC-04: Calculate Optimal Setpoints</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X</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X</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r>
      <w:tr>
        <w:trPr>
          <w:cantSplit/>
        </w:trPr>
        <w:tc>
          <w:tcPr>
            <w:tcW w:type="dxa" w:w="316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UC-05: Manual Setpoint Override</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X</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X</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r>
      <w:tr>
        <w:trPr>
          <w:cantSplit/>
        </w:trPr>
        <w:tc>
          <w:tcPr>
            <w:tcW w:type="dxa" w:w="316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UC-06: Monitor Live Mill Telemetry</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X</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X</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X</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X</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r>
      <w:tr>
        <w:trPr>
          <w:cantSplit/>
        </w:trPr>
        <w:tc>
          <w:tcPr>
            <w:tcW w:type="dxa" w:w="316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UC-07: Triage Anomaly Alarms</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X</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X</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X</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r>
      <w:tr>
        <w:trPr>
          <w:cantSplit/>
        </w:trPr>
        <w:tc>
          <w:tcPr>
            <w:tcW w:type="dxa" w:w="316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UC-08: Calibrate Sensor Baseline</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X</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X</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X</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r>
      <w:tr>
        <w:trPr>
          <w:cantSplit/>
        </w:trPr>
        <w:tc>
          <w:tcPr>
            <w:tcW w:type="dxa" w:w="316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UC-09: Generate OEE &amp; Energy Reports</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X</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X</w:t>
            </w:r>
          </w:p>
        </w:tc>
      </w:tr>
      <w:tr>
        <w:trPr>
          <w:cantSplit/>
        </w:trPr>
        <w:tc>
          <w:tcPr>
            <w:tcW w:type="dxa" w:w="316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UC-10: Execute Safety Watchdog Trip</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X</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X</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X</w:t>
            </w:r>
          </w:p>
        </w:tc>
        <w:tc>
          <w:tcPr>
            <w:tcW w:type="dxa" w:w="86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w:t>
            </w:r>
          </w:p>
        </w:tc>
      </w:tr>
    </w:tbl>
    <w:p>
      <w:pPr>
        <w:keepNext/>
        <w:spacing w:before="120" w:after="40"/>
      </w:pPr>
      <w:r>
        <w:rPr>
          <w:rFonts w:ascii="Calibri" w:hAnsi="Calibri"/>
          <w:b/>
          <w:color w:val="000000"/>
          <w:sz w:val="28"/>
        </w:rPr>
        <w:t>3.3 UML Use Case Diagram</w:t>
      </w:r>
    </w:p>
    <w:p>
      <w:pPr>
        <w:spacing w:before="30" w:after="50" w:line="276" w:lineRule="auto"/>
      </w:pPr>
      <w:r>
        <w:rPr>
          <w:rFonts w:ascii="Calibri" w:hAnsi="Calibri"/>
          <w:i w:val="0"/>
          <w:color w:val="000000"/>
          <w:sz w:val="24"/>
        </w:rPr>
        <w:t>Figure 1 models the system boundary, actor interactions, and architectural dependencies («include» and «extend»):</w:t>
      </w:r>
    </w:p>
    <w:p>
      <w:pPr>
        <w:spacing w:before="60" w:after="40"/>
        <w:jc w:val="center"/>
      </w:pPr>
      <w:r>
        <w:drawing>
          <wp:inline xmlns:a="http://schemas.openxmlformats.org/drawingml/2006/main" xmlns:pic="http://schemas.openxmlformats.org/drawingml/2006/picture">
            <wp:extent cx="4206240" cy="2870926"/>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8"/>
                    <a:stretch>
                      <a:fillRect/>
                    </a:stretch>
                  </pic:blipFill>
                  <pic:spPr>
                    <a:xfrm>
                      <a:off x="0" y="0"/>
                      <a:ext cx="4206240" cy="2870926"/>
                    </a:xfrm>
                    <a:prstGeom prst="rect"/>
                  </pic:spPr>
                </pic:pic>
              </a:graphicData>
            </a:graphic>
          </wp:inline>
        </w:drawing>
      </w:r>
    </w:p>
    <w:p>
      <w:pPr>
        <w:spacing w:before="20" w:after="80"/>
        <w:jc w:val="center"/>
      </w:pPr>
      <w:r>
        <w:rPr>
          <w:rFonts w:ascii="Calibri" w:hAnsi="Calibri"/>
          <w:b/>
          <w:color w:val="000000"/>
          <w:sz w:val="21"/>
        </w:rPr>
        <w:t>Figure 1: Formal UML Use Case Diagram for AcoustiMill AI</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«include» Dependencies: </w:t>
      </w:r>
      <w:r>
        <w:rPr>
          <w:rFonts w:ascii="Calibri" w:hAnsi="Calibri"/>
          <w:color w:val="000000"/>
          <w:sz w:val="24"/>
        </w:rPr>
        <w:t>UC-01 (Ingestion) «includes» UC-02 (FFT). UC-03 (Classification) «includes» UC-02. UC-04 (Supervisory Control) «includes» UC-03.</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«extend» Dependency: </w:t>
      </w:r>
      <w:r>
        <w:rPr>
          <w:rFonts w:ascii="Calibri" w:hAnsi="Calibri"/>
          <w:color w:val="000000"/>
          <w:sz w:val="24"/>
        </w:rPr>
        <w:t>UC-05 (Manual Override) «extends» UC-04 (Setpoint Calculation) at the 'Operator Discretion / Hardness Transition' extension point.</w:t>
      </w:r>
    </w:p>
    <w:p>
      <w:pPr>
        <w:keepNext/>
        <w:spacing w:before="160" w:after="60"/>
      </w:pPr>
      <w:r>
        <w:rPr>
          <w:rFonts w:ascii="Calibri" w:hAnsi="Calibri"/>
          <w:b/>
          <w:color w:val="000000"/>
          <w:sz w:val="32"/>
        </w:rPr>
        <w:t>4. Prepare the Software Requirement Specification (SRS)</w:t>
      </w:r>
    </w:p>
    <w:p>
      <w:pPr>
        <w:keepNext/>
        <w:spacing w:before="120" w:after="40"/>
      </w:pPr>
      <w:r>
        <w:rPr>
          <w:rFonts w:ascii="Calibri" w:hAnsi="Calibri"/>
          <w:b/>
          <w:color w:val="000000"/>
          <w:sz w:val="28"/>
        </w:rPr>
        <w:t>4.1 Introduction</w:t>
      </w:r>
    </w:p>
    <w:p>
      <w:pPr>
        <w:spacing w:before="30" w:after="50" w:line="276" w:lineRule="auto"/>
      </w:pPr>
      <w:r>
        <w:rPr>
          <w:rFonts w:ascii="Calibri" w:hAnsi="Calibri"/>
          <w:i w:val="0"/>
          <w:color w:val="000000"/>
          <w:sz w:val="24"/>
        </w:rPr>
        <w:t>This SRS conforms to IEEE Std 830-1998 and ISO/IEC/IEEE 29148:2018. It defines the complete specification for the AcoustiMill AI industrial edge platform. Requirements are tagged as FR-XX, NFR-XX, and UC-XX and prioritized via MoSCoW. The system acts as a supervisory co-pilot assisting control room operators and metallurgists in real-time grinding optimization.</w:t>
      </w:r>
    </w:p>
    <w:p>
      <w:pPr>
        <w:keepNext/>
        <w:spacing w:before="120" w:after="40"/>
      </w:pPr>
      <w:r>
        <w:rPr>
          <w:rFonts w:ascii="Calibri" w:hAnsi="Calibri"/>
          <w:b/>
          <w:color w:val="000000"/>
          <w:sz w:val="28"/>
        </w:rPr>
        <w:t>4.2 Problem Description</w:t>
      </w:r>
    </w:p>
    <w:p>
      <w:pPr>
        <w:spacing w:before="30" w:after="50" w:line="276" w:lineRule="auto"/>
      </w:pPr>
      <w:r>
        <w:rPr>
          <w:rFonts w:ascii="Calibri" w:hAnsi="Calibri"/>
          <w:i w:val="0"/>
          <w:color w:val="000000"/>
          <w:sz w:val="24"/>
        </w:rPr>
        <w:t>Comminution consumes 40% to 50% of concentrator electrical power. Feed variability pushes mills into either Underload (severe liner bolt shearing, ball fracturing, power waste) or Overload (slurry pooling, chute choking, motor trips costing &gt;$100,000). Traditional sensors (motor current, bearing pressure) lag by 10 to 15 minutes. Acoustic telemetry resolves this sensory blind spot, providing instantaneous mill charge signatures within 100 ms.</w:t>
      </w:r>
    </w:p>
    <w:p>
      <w:pPr>
        <w:keepNext/>
        <w:spacing w:before="120" w:after="40"/>
      </w:pPr>
      <w:r>
        <w:rPr>
          <w:rFonts w:ascii="Calibri" w:hAnsi="Calibri"/>
          <w:b/>
          <w:color w:val="000000"/>
          <w:sz w:val="28"/>
        </w:rPr>
        <w:t>4.3 Scope of the System</w:t>
      </w:r>
    </w:p>
    <w:p>
      <w:pPr>
        <w:spacing w:before="30" w:after="50" w:line="276" w:lineRule="auto"/>
      </w:pPr>
      <w:r>
        <w:rPr>
          <w:rFonts w:ascii="Calibri" w:hAnsi="Calibri"/>
          <w:i w:val="0"/>
          <w:color w:val="000000"/>
          <w:sz w:val="24"/>
        </w:rPr>
        <w:t>AcoustiMill AI operates at Purdue Model Level 2/3 (Supervisory Control &amp; Edge Analytics) directly above Level 1 DCS/PLCs. In-Scope: 48 kHz acoustic telemetry ingestion, 2048-pt FFT feature extraction, edge ML load classification, MPC supervisory feed &amp; water setpoint generation, ISA-101 web HMI, liner damage alarms, and OPC-UA/Modbus DCS interfacing. Out-of-Scope: Upstream mine blasting, downstream chemical flotation, switchgear trips, and Level 1 Safety Instrumented Systems (SIS).</w:t>
      </w:r>
    </w:p>
    <w:p>
      <w:pPr>
        <w:keepNext/>
        <w:spacing w:before="120" w:after="40"/>
      </w:pPr>
      <w:r>
        <w:rPr>
          <w:rFonts w:ascii="Calibri" w:hAnsi="Calibri"/>
          <w:b/>
          <w:color w:val="000000"/>
          <w:sz w:val="28"/>
        </w:rPr>
        <w:t>4.4 Functional Requirements</w:t>
      </w:r>
    </w:p>
    <w:p>
      <w:pPr>
        <w:spacing w:before="30" w:after="50" w:line="276" w:lineRule="auto"/>
      </w:pPr>
      <w:r>
        <w:rPr>
          <w:rFonts w:ascii="Calibri" w:hAnsi="Calibri"/>
          <w:i w:val="0"/>
          <w:color w:val="000000"/>
          <w:sz w:val="24"/>
        </w:rPr>
        <w:t>The system baseline incorporates the 12 core functional requirements detailed in Table 2 (Section 2.1), covering Signal Ingestion, DSP Engine, Machine Learning Inference, Closed-Loop Control, ISA-101 Operator Interface, Mechanical Diagnostics, and Fail-Safe Interlocks.</w:t>
      </w:r>
    </w:p>
    <w:p>
      <w:pPr>
        <w:keepNext/>
        <w:spacing w:before="120" w:after="40"/>
      </w:pPr>
      <w:r>
        <w:rPr>
          <w:rFonts w:ascii="Calibri" w:hAnsi="Calibri"/>
          <w:b/>
          <w:color w:val="000000"/>
          <w:sz w:val="28"/>
        </w:rPr>
        <w:t>4.5 Non-Functional Requirements</w:t>
      </w:r>
    </w:p>
    <w:p>
      <w:pPr>
        <w:spacing w:before="30" w:after="50" w:line="276" w:lineRule="auto"/>
      </w:pPr>
      <w:r>
        <w:rPr>
          <w:rFonts w:ascii="Calibri" w:hAnsi="Calibri"/>
          <w:i w:val="0"/>
          <w:color w:val="000000"/>
          <w:sz w:val="24"/>
        </w:rPr>
        <w:t>The platform guarantees the quality standards detailed in Table 3 (Section 2.2): Edge ML inference latency ≤ 150 ms (NFR-01), HMI refresh ≤ 500 ms (NFR-02), 99.95% continuous availability (NFR-03), ISA/IEC 62443 cybersecurity with TLS 1.3 / AES-256 (NFR-04), ISA-101 2-click ergonomics (NFR-05), multi-line scalability (NFR-06), Docker container modularity (NFR-07), and fail-safe disconnect &lt; 500 ms (NFR-08).</w:t>
      </w:r>
    </w:p>
    <w:p>
      <w:pPr>
        <w:keepNext/>
        <w:spacing w:before="120" w:after="40"/>
      </w:pPr>
      <w:r>
        <w:rPr>
          <w:rFonts w:ascii="Calibri" w:hAnsi="Calibri"/>
          <w:b/>
          <w:color w:val="000000"/>
          <w:sz w:val="28"/>
        </w:rPr>
        <w:t>4.6 Use Case Descriptions</w:t>
      </w:r>
    </w:p>
    <w:p>
      <w:pPr>
        <w:spacing w:before="30" w:after="50" w:line="276" w:lineRule="auto"/>
      </w:pPr>
      <w:r>
        <w:rPr>
          <w:rFonts w:ascii="Calibri" w:hAnsi="Calibri"/>
          <w:i w:val="0"/>
          <w:color w:val="000000"/>
          <w:sz w:val="24"/>
        </w:rPr>
        <w:t>Formal behavioral specifications for the primary operational use cases are consolidated below in Table 5 conforming to Cockburn/IEEE standards:</w:t>
      </w:r>
    </w:p>
    <w:tbl>
      <w:tblPr>
        <w:tblW w:type="auto" w:w="0"/>
        <w:jc w:val="center"/>
        <w:tblLook w:firstColumn="1" w:firstRow="1" w:lastColumn="0" w:lastRow="0" w:noHBand="0" w:noVBand="1" w:val="04A0"/>
      </w:tblPr>
      <w:tblGrid>
        <w:gridCol w:w="2520"/>
        <w:gridCol w:w="2520"/>
        <w:gridCol w:w="2520"/>
        <w:gridCol w:w="2520"/>
      </w:tblGrid>
      <w:tr>
        <w:tc>
          <w:tcPr>
            <w:tcW w:type="dxa" w:w="2160"/>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Attribute</w:t>
            </w:r>
          </w:p>
        </w:tc>
        <w:tc>
          <w:tcPr>
            <w:tcW w:type="dxa" w:w="2736"/>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UC-03: Real-Time Mill Load Classification</w:t>
            </w:r>
          </w:p>
        </w:tc>
        <w:tc>
          <w:tcPr>
            <w:tcW w:type="dxa" w:w="2736"/>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UC-04: Closed-Loop Supervisory Control</w:t>
            </w:r>
          </w:p>
        </w:tc>
        <w:tc>
          <w:tcPr>
            <w:tcW w:type="dxa" w:w="2736"/>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UC-05: Manual Override &amp; Bump-less Transfer</w:t>
            </w:r>
          </w:p>
        </w:tc>
      </w:tr>
      <w:tr>
        <w:trPr>
          <w:cantSplit/>
        </w:trPr>
        <w:tc>
          <w:tcPr>
            <w:tcW w:type="dxa" w:w="216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6"/>
              </w:rPr>
              <w:t>Primary Actor</w:t>
            </w:r>
          </w:p>
        </w:tc>
        <w:tc>
          <w:tcPr>
            <w:tcW w:type="dxa" w:w="273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6"/>
              </w:rPr>
              <w:t>ML Inference Engine (System)</w:t>
            </w:r>
          </w:p>
        </w:tc>
        <w:tc>
          <w:tcPr>
            <w:tcW w:type="dxa" w:w="273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6"/>
              </w:rPr>
              <w:t>DCS &amp; Supervisory Controller (System)</w:t>
            </w:r>
          </w:p>
        </w:tc>
        <w:tc>
          <w:tcPr>
            <w:tcW w:type="dxa" w:w="273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6"/>
              </w:rPr>
              <w:t>Control Room Operator (Human)</w:t>
            </w:r>
          </w:p>
        </w:tc>
      </w:tr>
      <w:tr>
        <w:trPr>
          <w:cantSplit/>
        </w:trPr>
        <w:tc>
          <w:tcPr>
            <w:tcW w:type="dxa" w:w="216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6"/>
              </w:rPr>
              <w:t>Trigger</w:t>
            </w:r>
          </w:p>
        </w:tc>
        <w:tc>
          <w:tcPr>
            <w:tcW w:type="dxa" w:w="273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6"/>
              </w:rPr>
              <w:t>Arrival of 100 ms spectral feature vector.</w:t>
            </w:r>
          </w:p>
        </w:tc>
        <w:tc>
          <w:tcPr>
            <w:tcW w:type="dxa" w:w="273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6"/>
              </w:rPr>
              <w:t>Periodic 1.0-second MPC control timer.</w:t>
            </w:r>
          </w:p>
        </w:tc>
        <w:tc>
          <w:tcPr>
            <w:tcW w:type="dxa" w:w="273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6"/>
              </w:rPr>
              <w:t>Operator clicks 'Manual Override' toggle.</w:t>
            </w:r>
          </w:p>
        </w:tc>
      </w:tr>
      <w:tr>
        <w:trPr>
          <w:cantSplit/>
        </w:trPr>
        <w:tc>
          <w:tcPr>
            <w:tcW w:type="dxa" w:w="216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6"/>
              </w:rPr>
              <w:t>Preconditions</w:t>
            </w:r>
          </w:p>
        </w:tc>
        <w:tc>
          <w:tcPr>
            <w:tcW w:type="dxa" w:w="273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6"/>
              </w:rPr>
              <w:t>2048-pt FFT vector computed; model loaded.</w:t>
            </w:r>
          </w:p>
        </w:tc>
        <w:tc>
          <w:tcPr>
            <w:tcW w:type="dxa" w:w="273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6"/>
              </w:rPr>
              <w:t>Valid Load Index available; Auto mode active.</w:t>
            </w:r>
          </w:p>
        </w:tc>
        <w:tc>
          <w:tcPr>
            <w:tcW w:type="dxa" w:w="273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6"/>
              </w:rPr>
              <w:t>System in Auto mode; operator authenticated.</w:t>
            </w:r>
          </w:p>
        </w:tc>
      </w:tr>
      <w:tr>
        <w:trPr>
          <w:cantSplit/>
        </w:trPr>
        <w:tc>
          <w:tcPr>
            <w:tcW w:type="dxa" w:w="216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6"/>
              </w:rPr>
              <w:t>Main Success Flow</w:t>
            </w:r>
          </w:p>
        </w:tc>
        <w:tc>
          <w:tcPr>
            <w:tcW w:type="dxa" w:w="273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6"/>
              </w:rPr>
              <w:t>1. Extracts 32 Mel bands &amp; centroid;</w:t>
              <w:br/>
              <w:t>2. Evaluates 1D-CNN/Random Forest;</w:t>
              <w:br/>
              <w:t>3. Outputs Load Index (0.00-1.00) and Slurry Pool Index (0-100%);</w:t>
              <w:br/>
              <w:t>4. Publishes state within 45 ms.</w:t>
            </w:r>
          </w:p>
        </w:tc>
        <w:tc>
          <w:tcPr>
            <w:tcW w:type="dxa" w:w="273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6"/>
              </w:rPr>
              <w:t>1. Evaluates MPC objective function;</w:t>
              <w:br/>
              <w:t>2. If Underload, increases feed (+15 TPH);</w:t>
              <w:br/>
              <w:t>3. If Overload, reduces feed (-35 TPH);</w:t>
              <w:br/>
              <w:t>4. Applies rate clamp (±10 TPH/min);</w:t>
              <w:br/>
              <w:t>5. Writes setpoints to DCS via OPC-UA.</w:t>
            </w:r>
          </w:p>
        </w:tc>
        <w:tc>
          <w:tcPr>
            <w:tcW w:type="dxa" w:w="273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6"/>
              </w:rPr>
              <w:t>1. Intercepts override command;</w:t>
              <w:br/>
              <w:t>2. Sends handshake to decouple AI write tags;</w:t>
              <w:br/>
              <w:t>3. Latches running feed &amp; water setpoints (bump-less transfer);</w:t>
              <w:br/>
              <w:t>4. Displays MANUAL mode; logs audit trail.</w:t>
            </w:r>
          </w:p>
        </w:tc>
      </w:tr>
      <w:tr>
        <w:trPr>
          <w:cantSplit/>
        </w:trPr>
        <w:tc>
          <w:tcPr>
            <w:tcW w:type="dxa" w:w="216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6"/>
              </w:rPr>
              <w:t>Alternative / Exception Flow</w:t>
            </w:r>
          </w:p>
        </w:tc>
        <w:tc>
          <w:tcPr>
            <w:tcW w:type="dxa" w:w="273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6"/>
              </w:rPr>
              <w:t>Low confidence (&lt; 0.60): Flags TRANSITIONAL, holds previous state.</w:t>
              <w:br/>
              <w:t>SNR &lt; 12 dB: Alerts operator; halts auto-control.</w:t>
            </w:r>
          </w:p>
        </w:tc>
        <w:tc>
          <w:tcPr>
            <w:tcW w:type="dxa" w:w="273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6"/>
              </w:rPr>
              <w:t>Boundary exceeded: Clamps strictly within 300-650 TPH.</w:t>
              <w:br/>
              <w:t>OPC write fails: Retries once; disengages Auto mode.</w:t>
            </w:r>
          </w:p>
        </w:tc>
        <w:tc>
          <w:tcPr>
            <w:tcW w:type="dxa" w:w="273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6"/>
              </w:rPr>
              <w:t>Handshake timeout (&gt; 1000 ms): Reverts to Level 1 DCS lock; sounds console chime.</w:t>
            </w:r>
          </w:p>
        </w:tc>
      </w:tr>
      <w:tr>
        <w:trPr>
          <w:cantSplit/>
        </w:trPr>
        <w:tc>
          <w:tcPr>
            <w:tcW w:type="dxa" w:w="216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6"/>
              </w:rPr>
              <w:t>Gherkin BDD Verification</w:t>
            </w:r>
          </w:p>
        </w:tc>
        <w:tc>
          <w:tcPr>
            <w:tcW w:type="dxa" w:w="273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6"/>
              </w:rPr>
              <w:t>GIVEN SNR &gt; 20 dB</w:t>
              <w:br/>
              <w:t>WHEN 100 ms audio shows high-frequency impacts</w:t>
              <w:br/>
              <w:t>THEN output 'UNDERLOAD' with Index &lt; 0.25 within 150 ms.</w:t>
            </w:r>
          </w:p>
        </w:tc>
        <w:tc>
          <w:tcPr>
            <w:tcW w:type="dxa" w:w="273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6"/>
              </w:rPr>
              <w:t>GIVEN Load Index is 0.88 (Overload)</w:t>
              <w:br/>
              <w:t>WHEN 1-sec control loop executes</w:t>
              <w:br/>
              <w:t>THEN issue -35 TPH feed cut subject to rate clamping.</w:t>
            </w:r>
          </w:p>
        </w:tc>
        <w:tc>
          <w:tcPr>
            <w:tcW w:type="dxa" w:w="273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6"/>
              </w:rPr>
              <w:t>GIVEN system running at 480 TPH</w:t>
              <w:br/>
              <w:t>WHEN operator engages Manual Override</w:t>
              <w:br/>
              <w:t>THEN AI setpoint writes halt and DCS holds steady 480 TPH.</w:t>
            </w:r>
          </w:p>
        </w:tc>
      </w:tr>
    </w:tbl>
    <w:p>
      <w:pPr>
        <w:spacing w:before="30" w:after="50" w:line="276" w:lineRule="auto"/>
      </w:pPr>
      <w:r>
        <w:rPr>
          <w:rFonts w:ascii="Calibri" w:hAnsi="Calibri"/>
          <w:b/>
          <w:color w:val="000000"/>
          <w:sz w:val="24"/>
        </w:rPr>
        <w:t xml:space="preserve">Supporting Use Cases: </w:t>
      </w:r>
      <w:r>
        <w:rPr>
          <w:rFonts w:ascii="Calibri" w:hAnsi="Calibri"/>
          <w:i w:val="0"/>
          <w:color w:val="000000"/>
          <w:sz w:val="24"/>
        </w:rPr>
        <w:t>Additional System Use Case Summaries:</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UC-01: </w:t>
      </w:r>
      <w:r>
        <w:rPr>
          <w:rFonts w:ascii="Calibri" w:hAnsi="Calibri"/>
          <w:color w:val="000000"/>
          <w:sz w:val="24"/>
        </w:rPr>
        <w:t>UC-01 (Acoustic Ingestion): Ingests 48 kHz 24-bit PCM streams into DMA ring buffer; monitors microphone health &amp; SNR.</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UC-07: </w:t>
      </w:r>
      <w:r>
        <w:rPr>
          <w:rFonts w:ascii="Calibri" w:hAnsi="Calibri"/>
          <w:color w:val="000000"/>
          <w:sz w:val="24"/>
        </w:rPr>
        <w:t>UC-07 (Liner Diagnostics): Correlates &gt;14 kHz acoustic transients with mill shell angle; alerts maintenance of loosened liner bolts.</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UC-10: </w:t>
      </w:r>
      <w:r>
        <w:rPr>
          <w:rFonts w:ascii="Calibri" w:hAnsi="Calibri"/>
          <w:color w:val="000000"/>
          <w:sz w:val="24"/>
        </w:rPr>
        <w:t>UC-10 (Watchdog Trip): De-energizes physical watchdog dry contact within &lt; 20 ms if software heartbeat halts for 1000 ms.</w:t>
      </w:r>
    </w:p>
    <w:p>
      <w:pPr>
        <w:keepNext/>
        <w:spacing w:before="120" w:after="40"/>
      </w:pPr>
      <w:r>
        <w:rPr>
          <w:rFonts w:ascii="Calibri" w:hAnsi="Calibri"/>
          <w:b/>
          <w:color w:val="000000"/>
          <w:sz w:val="28"/>
        </w:rPr>
        <w:t>4.7 Data Requirements</w:t>
      </w:r>
    </w:p>
    <w:p>
      <w:pPr>
        <w:spacing w:before="30" w:after="50" w:line="276" w:lineRule="auto"/>
      </w:pPr>
      <w:r>
        <w:rPr>
          <w:rFonts w:ascii="Calibri" w:hAnsi="Calibri"/>
          <w:i w:val="0"/>
          <w:color w:val="000000"/>
          <w:sz w:val="24"/>
        </w:rPr>
        <w:t>AcoustiMill AI implements a multi-tiered data pipeline: In-memory DMA circular buffers for 48 kHz raw audio; TimescaleDB for 1-second spectral summaries and state predictions; and PostgreSQL for supervisory logs, alarms, and shift OEE reports.</w:t>
      </w:r>
    </w:p>
    <w:tbl>
      <w:tblPr>
        <w:tblW w:type="auto" w:w="0"/>
        <w:jc w:val="center"/>
        <w:tblLook w:firstColumn="1" w:firstRow="1" w:lastColumn="0" w:lastRow="0" w:noHBand="0" w:noVBand="1" w:val="04A0"/>
      </w:tblPr>
      <w:tblGrid>
        <w:gridCol w:w="2520"/>
        <w:gridCol w:w="2520"/>
        <w:gridCol w:w="2520"/>
        <w:gridCol w:w="2520"/>
      </w:tblGrid>
      <w:tr>
        <w:tc>
          <w:tcPr>
            <w:tcW w:type="dxa" w:w="2160"/>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Entity / Table Name</w:t>
            </w:r>
          </w:p>
        </w:tc>
        <w:tc>
          <w:tcPr>
            <w:tcW w:type="dxa" w:w="1872"/>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Storage Engine</w:t>
            </w:r>
          </w:p>
        </w:tc>
        <w:tc>
          <w:tcPr>
            <w:tcW w:type="dxa" w:w="3600"/>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Key Schema Attributes &amp; Datatypes</w:t>
            </w:r>
          </w:p>
        </w:tc>
        <w:tc>
          <w:tcPr>
            <w:tcW w:type="dxa" w:w="2160"/>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Volume &amp; Retention SLA</w:t>
            </w:r>
          </w:p>
        </w:tc>
      </w:tr>
      <w:tr>
        <w:trPr>
          <w:cantSplit/>
        </w:trPr>
        <w:tc>
          <w:tcPr>
            <w:tcW w:type="dxa" w:w="216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RawAcousticBuffer</w:t>
            </w:r>
          </w:p>
        </w:tc>
        <w:tc>
          <w:tcPr>
            <w:tcW w:type="dxa" w:w="187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In-Memory Ring Buffer</w:t>
            </w:r>
          </w:p>
        </w:tc>
        <w:tc>
          <w:tcPr>
            <w:tcW w:type="dxa" w:w="360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timestamp_ns (int64), channel_id (int8), pcm_samples (float32[4800]), snr_db</w:t>
            </w:r>
          </w:p>
        </w:tc>
        <w:tc>
          <w:tcPr>
            <w:tcW w:type="dxa" w:w="216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15.3 MB rolling 10s ring cache; volatile.</w:t>
            </w:r>
          </w:p>
        </w:tc>
      </w:tr>
      <w:tr>
        <w:trPr>
          <w:cantSplit/>
        </w:trPr>
        <w:tc>
          <w:tcPr>
            <w:tcW w:type="dxa" w:w="216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SpectralTelemetryLog</w:t>
            </w:r>
          </w:p>
        </w:tc>
        <w:tc>
          <w:tcPr>
            <w:tcW w:type="dxa" w:w="187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TimescaleDB</w:t>
            </w:r>
          </w:p>
        </w:tc>
        <w:tc>
          <w:tcPr>
            <w:tcW w:type="dxa" w:w="360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time (timestamptz), mill_id, centroid_hz, flux, mel_energies (float32[32])</w:t>
            </w:r>
          </w:p>
        </w:tc>
        <w:tc>
          <w:tcPr>
            <w:tcW w:type="dxa" w:w="216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1 row/sec; 86.4k rows/day; 90-day retention.</w:t>
            </w:r>
          </w:p>
        </w:tc>
      </w:tr>
      <w:tr>
        <w:trPr>
          <w:cantSplit/>
        </w:trPr>
        <w:tc>
          <w:tcPr>
            <w:tcW w:type="dxa" w:w="216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MillLoadPrediction</w:t>
            </w:r>
          </w:p>
        </w:tc>
        <w:tc>
          <w:tcPr>
            <w:tcW w:type="dxa" w:w="187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TimescaleDB</w:t>
            </w:r>
          </w:p>
        </w:tc>
        <w:tc>
          <w:tcPr>
            <w:tcW w:type="dxa" w:w="360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time (timestamptz), load_state (enum), load_index, pooling_idx, confidence</w:t>
            </w:r>
          </w:p>
        </w:tc>
        <w:tc>
          <w:tcPr>
            <w:tcW w:type="dxa" w:w="216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1 row/sec; compressed; retained 1 year.</w:t>
            </w:r>
          </w:p>
        </w:tc>
      </w:tr>
      <w:tr>
        <w:trPr>
          <w:cantSplit/>
        </w:trPr>
        <w:tc>
          <w:tcPr>
            <w:tcW w:type="dxa" w:w="216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AdvisoryControlLog</w:t>
            </w:r>
          </w:p>
        </w:tc>
        <w:tc>
          <w:tcPr>
            <w:tcW w:type="dxa" w:w="187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PostgreSQL</w:t>
            </w:r>
          </w:p>
        </w:tc>
        <w:tc>
          <w:tcPr>
            <w:tcW w:type="dxa" w:w="360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log_id (uuid PK), time, rec_tph, dcs_tph, mode, operator_id</w:t>
            </w:r>
          </w:p>
        </w:tc>
        <w:tc>
          <w:tcPr>
            <w:tcW w:type="dxa" w:w="216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Permanent regulatory audit log (7 years).</w:t>
            </w:r>
          </w:p>
        </w:tc>
      </w:tr>
      <w:tr>
        <w:trPr>
          <w:cantSplit/>
        </w:trPr>
        <w:tc>
          <w:tcPr>
            <w:tcW w:type="dxa" w:w="216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AnomalyAlarmRegistry</w:t>
            </w:r>
          </w:p>
        </w:tc>
        <w:tc>
          <w:tcPr>
            <w:tcW w:type="dxa" w:w="187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PostgreSQL</w:t>
            </w:r>
          </w:p>
        </w:tc>
        <w:tc>
          <w:tcPr>
            <w:tcW w:type="dxa" w:w="360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alarm_id (uuid PK), time, severity, fault_type, shell_deg, ack_by</w:t>
            </w:r>
          </w:p>
        </w:tc>
        <w:tc>
          <w:tcPr>
            <w:tcW w:type="dxa" w:w="216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Permanent maintenance log (10 years).</w:t>
            </w:r>
          </w:p>
        </w:tc>
      </w:tr>
    </w:tbl>
    <w:p>
      <w:pPr>
        <w:keepNext/>
        <w:spacing w:before="120" w:after="40"/>
      </w:pPr>
      <w:r>
        <w:rPr>
          <w:rFonts w:ascii="Calibri" w:hAnsi="Calibri"/>
          <w:b/>
          <w:color w:val="000000"/>
          <w:sz w:val="28"/>
        </w:rPr>
        <w:t>4.8 External Interface Requirements</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1. User Interfaces (HMI): </w:t>
      </w:r>
      <w:r>
        <w:rPr>
          <w:rFonts w:ascii="Calibri" w:hAnsi="Calibri"/>
          <w:color w:val="000000"/>
          <w:sz w:val="24"/>
        </w:rPr>
        <w:t>ISA-101 High-Performance dark-themed dashboard; polar charge toe dial; real-time spectrogram waterfall; mode toggle.</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2. Hardware Interfaces: </w:t>
      </w:r>
      <w:r>
        <w:rPr>
          <w:rFonts w:ascii="Calibri" w:hAnsi="Calibri"/>
          <w:color w:val="000000"/>
          <w:sz w:val="24"/>
        </w:rPr>
        <w:t>Four IP67 stainless-steel directional microphones; 24-bit delta-sigma ADC DAQ; optical mill trunnion angle resolver; fanless edge IPC.</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3. Software Interfaces: </w:t>
      </w:r>
      <w:r>
        <w:rPr>
          <w:rFonts w:ascii="Calibri" w:hAnsi="Calibri"/>
          <w:color w:val="000000"/>
          <w:sz w:val="24"/>
        </w:rPr>
        <w:t>Ubuntu Core / PREEMPT_RT Linux; ONNX Runtime engine; TimescaleDB / PostgreSQL; Docker container runtime; NGINX WebSockets.</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4. Communications Interfaces: </w:t>
      </w:r>
      <w:r>
        <w:rPr>
          <w:rFonts w:ascii="Calibri" w:hAnsi="Calibri"/>
          <w:color w:val="000000"/>
          <w:sz w:val="24"/>
        </w:rPr>
        <w:t>OPC-UA (IEC 62541 binary TCP) for DCS tags; Modbus TCP fallback; MQTT Sparkplug B for cloud enterprise KPIs; hardware watchdog relay.</w:t>
      </w:r>
    </w:p>
    <w:p>
      <w:pPr>
        <w:keepNext/>
        <w:spacing w:before="120" w:after="40"/>
      </w:pPr>
      <w:r>
        <w:rPr>
          <w:rFonts w:ascii="Calibri" w:hAnsi="Calibri"/>
          <w:b/>
          <w:color w:val="000000"/>
          <w:sz w:val="28"/>
        </w:rPr>
        <w:t>4.9 System Features</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Feature 1: Real-Time Spectral Decomposition: </w:t>
      </w:r>
      <w:r>
        <w:rPr>
          <w:rFonts w:ascii="Calibri" w:hAnsi="Calibri"/>
          <w:color w:val="000000"/>
          <w:sz w:val="24"/>
        </w:rPr>
        <w:t>Ingests 48 kHz streams, filters background noise, and computes 2048-pt FFTs every 100 ms to capture rock fracture acoustics.</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Feature 2: Machine Learning Charge Dynamics: </w:t>
      </w:r>
      <w:r>
        <w:rPr>
          <w:rFonts w:ascii="Calibri" w:hAnsi="Calibri"/>
          <w:color w:val="000000"/>
          <w:sz w:val="24"/>
        </w:rPr>
        <w:t>Executes edge 1D-CNN ensemble predicting Load Index (0.00-1.00) and pooling depth 10 minutes before motor current reacts.</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Feature 3: Closed-Loop Model Predictive Optimization: </w:t>
      </w:r>
      <w:r>
        <w:rPr>
          <w:rFonts w:ascii="Calibri" w:hAnsi="Calibri"/>
          <w:color w:val="000000"/>
          <w:sz w:val="24"/>
        </w:rPr>
        <w:t>Solves MPC control loop every 1.0 s, calculating feed (TPH) and water setpoints with rate clamps (±10 TPH/min).</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Feature 4: Predictive Mechanical Diagnostics: </w:t>
      </w:r>
      <w:r>
        <w:rPr>
          <w:rFonts w:ascii="Calibri" w:hAnsi="Calibri"/>
          <w:color w:val="000000"/>
          <w:sz w:val="24"/>
        </w:rPr>
        <w:t>Detects periodic &gt;14 kHz acoustic transients synchronized with mill angle to identify loosened liner bolts before failure.</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Feature 5: High-Performance Operator Console: </w:t>
      </w:r>
      <w:r>
        <w:rPr>
          <w:rFonts w:ascii="Calibri" w:hAnsi="Calibri"/>
          <w:color w:val="000000"/>
          <w:sz w:val="24"/>
        </w:rPr>
        <w:t>Delivers 60 FPS HTML5 spectrogram waterfalls and polar charge dials with single-click bump-less manual transfer.</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Feature 6: Enterprise Historian &amp; Shift Auditing: </w:t>
      </w:r>
      <w:r>
        <w:rPr>
          <w:rFonts w:ascii="Calibri" w:hAnsi="Calibri"/>
          <w:color w:val="000000"/>
          <w:sz w:val="24"/>
        </w:rPr>
        <w:t>Aggregates 1s metrics into shift OEE logs, energy consumption (kWh/t), and cryptographic audit trails for ERP systems.</w:t>
      </w:r>
    </w:p>
    <w:p>
      <w:pPr>
        <w:keepNext/>
        <w:spacing w:before="160" w:after="60"/>
      </w:pPr>
      <w:r>
        <w:rPr>
          <w:rFonts w:ascii="Calibri" w:hAnsi="Calibri"/>
          <w:b/>
          <w:color w:val="000000"/>
          <w:sz w:val="32"/>
        </w:rPr>
        <w:t>5. Identify Assumptions and Constraints</w:t>
      </w:r>
    </w:p>
    <w:p>
      <w:pPr>
        <w:keepNext/>
        <w:spacing w:before="120" w:after="40"/>
      </w:pPr>
      <w:r>
        <w:rPr>
          <w:rFonts w:ascii="Calibri" w:hAnsi="Calibri"/>
          <w:b/>
          <w:color w:val="000000"/>
          <w:sz w:val="28"/>
        </w:rPr>
        <w:t>5.1 List of Assumptions Considered While Developing the System</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1. Operational Steady-State: </w:t>
      </w:r>
      <w:r>
        <w:rPr>
          <w:rFonts w:ascii="Calibri" w:hAnsi="Calibri"/>
          <w:color w:val="000000"/>
          <w:sz w:val="24"/>
        </w:rPr>
        <w:t>Continuous 24/7 grinding operation; feed conveyor has functioning VFD and weightometer modulating feed between 300 and 650 TPH.</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2. Acoustic Line-of-Sight: </w:t>
      </w:r>
      <w:r>
        <w:rPr>
          <w:rFonts w:ascii="Calibri" w:hAnsi="Calibri"/>
          <w:color w:val="000000"/>
          <w:sz w:val="24"/>
        </w:rPr>
        <w:t>Unobstructed line-of-sight to the shell toe impact zone (120°-160°) at 2.0-3.5 m standoff; background noise remains predominantly below 800 Hz.</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3. Sensor &amp; Hardware Hygiene: </w:t>
      </w:r>
      <w:r>
        <w:rPr>
          <w:rFonts w:ascii="Calibri" w:hAnsi="Calibri"/>
          <w:color w:val="000000"/>
          <w:sz w:val="24"/>
        </w:rPr>
        <w:t>Plant supplies clean, dry instrument air (4-6 bar) for vortex-purge microphone cooling jackets; dual-redundant 24V DC UPS provides ≥ 30 min runtime.</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4. Industrial Network Determinism: </w:t>
      </w:r>
      <w:r>
        <w:rPr>
          <w:rFonts w:ascii="Calibri" w:hAnsi="Calibri"/>
          <w:color w:val="000000"/>
          <w:sz w:val="24"/>
        </w:rPr>
        <w:t>Deterministic plant Ethernet network with latency &lt; 50 ms and packet loss &lt; 0.01%; DCS supports OPC-UA supervisory setpoint writes.</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5. Metallurgical Feed Dynamics: </w:t>
      </w:r>
      <w:r>
        <w:rPr>
          <w:rFonts w:ascii="Calibri" w:hAnsi="Calibri"/>
          <w:color w:val="000000"/>
          <w:sz w:val="24"/>
        </w:rPr>
        <w:t>Ore hardness (Bond Work Index) and sizing distribution remain relatively consistent within an 8-hour shift, with step changes occurring smoothly.</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6. Personnel Competence: </w:t>
      </w:r>
      <w:r>
        <w:rPr>
          <w:rFonts w:ascii="Calibri" w:hAnsi="Calibri"/>
          <w:color w:val="000000"/>
          <w:sz w:val="24"/>
        </w:rPr>
        <w:t>Operators possess standard grinding circuit certifications and ISA-101 training; maintenance strictly enforces Lock-Out/Tag-Out (LOTO).</w:t>
      </w:r>
    </w:p>
    <w:p>
      <w:pPr>
        <w:keepNext/>
        <w:spacing w:before="120" w:after="40"/>
      </w:pPr>
      <w:r>
        <w:rPr>
          <w:rFonts w:ascii="Calibri" w:hAnsi="Calibri"/>
          <w:b/>
          <w:color w:val="000000"/>
          <w:sz w:val="28"/>
        </w:rPr>
        <w:t>5.2 Multi-Dimensional Constraints Analysis</w:t>
      </w:r>
    </w:p>
    <w:tbl>
      <w:tblPr>
        <w:tblW w:type="auto" w:w="0"/>
        <w:jc w:val="center"/>
        <w:tblLook w:firstColumn="1" w:firstRow="1" w:lastColumn="0" w:lastRow="0" w:noHBand="0" w:noVBand="1" w:val="04A0"/>
      </w:tblPr>
      <w:tblGrid>
        <w:gridCol w:w="2520"/>
        <w:gridCol w:w="2520"/>
        <w:gridCol w:w="2520"/>
        <w:gridCol w:w="2520"/>
      </w:tblGrid>
      <w:tr>
        <w:tc>
          <w:tcPr>
            <w:tcW w:type="dxa" w:w="2016"/>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Constraint Domain</w:t>
            </w:r>
          </w:p>
        </w:tc>
        <w:tc>
          <w:tcPr>
            <w:tcW w:type="dxa" w:w="2448"/>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Identified Constraint</w:t>
            </w:r>
          </w:p>
        </w:tc>
        <w:tc>
          <w:tcPr>
            <w:tcW w:type="dxa" w:w="2880"/>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Operational Risk &amp; Engineering Impact</w:t>
            </w:r>
          </w:p>
        </w:tc>
        <w:tc>
          <w:tcPr>
            <w:tcW w:type="dxa" w:w="3024"/>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System Mitigation Strategy</w:t>
            </w:r>
          </w:p>
        </w:tc>
      </w:tr>
      <w:tr>
        <w:trPr>
          <w:cantSplit/>
        </w:trPr>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Technical (Compute)</w:t>
            </w:r>
          </w:p>
        </w:tc>
        <w:tc>
          <w:tcPr>
            <w:tcW w:type="dxa" w:w="244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Ruggedized Fanless Edge IPC</w:t>
            </w:r>
          </w:p>
        </w:tc>
        <w:tc>
          <w:tcPr>
            <w:tcW w:type="dxa" w:w="288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Zero reliance on cloud connectivity; restricted edge compute envelope.</w:t>
            </w:r>
          </w:p>
        </w:tc>
        <w:tc>
          <w:tcPr>
            <w:tcW w:type="dxa" w:w="302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Optimized C++ DSP pipeline; 8-bit quantized ONNX inference; latency &lt; 150 ms.</w:t>
            </w:r>
          </w:p>
        </w:tc>
      </w:tr>
      <w:tr>
        <w:trPr>
          <w:cantSplit/>
        </w:trPr>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Technical (EMI)</w:t>
            </w:r>
          </w:p>
        </w:tc>
        <w:tc>
          <w:tcPr>
            <w:tcW w:type="dxa" w:w="244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Severe High-Power EMI</w:t>
            </w:r>
          </w:p>
        </w:tc>
        <w:tc>
          <w:tcPr>
            <w:tcW w:type="dxa" w:w="288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15-25 MW VFDs induce huge ground loops and RF noise into sensor cables.</w:t>
            </w:r>
          </w:p>
        </w:tc>
        <w:tc>
          <w:tcPr>
            <w:tcW w:type="dxa" w:w="302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Double-shielded twisted pairs; differential audio signaling; optical isolation.</w:t>
            </w:r>
          </w:p>
        </w:tc>
      </w:tr>
      <w:tr>
        <w:trPr>
          <w:cantSplit/>
        </w:trPr>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Operational</w:t>
            </w:r>
          </w:p>
        </w:tc>
        <w:tc>
          <w:tcPr>
            <w:tcW w:type="dxa" w:w="244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24/7/365 Concentrator Uptime</w:t>
            </w:r>
          </w:p>
        </w:tc>
        <w:tc>
          <w:tcPr>
            <w:tcW w:type="dxa" w:w="288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Grinding circuits cannot stop for software upgrades; crashes risk choked mills.</w:t>
            </w:r>
          </w:p>
        </w:tc>
        <w:tc>
          <w:tcPr>
            <w:tcW w:type="dxa" w:w="302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Docker microservices with rolling updates; hardware watchdog fail-safe relay.</w:t>
            </w:r>
          </w:p>
        </w:tc>
      </w:tr>
      <w:tr>
        <w:trPr>
          <w:cantSplit/>
        </w:trPr>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Economic</w:t>
            </w:r>
          </w:p>
        </w:tc>
        <w:tc>
          <w:tcPr>
            <w:tcW w:type="dxa" w:w="244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Strict CapEx Payback &lt; 6 Months</w:t>
            </w:r>
          </w:p>
        </w:tc>
        <w:tc>
          <w:tcPr>
            <w:tcW w:type="dxa" w:w="288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Mining executive committee requires demonstrated ROI within 180 operating days.</w:t>
            </w:r>
          </w:p>
        </w:tc>
        <w:tc>
          <w:tcPr>
            <w:tcW w:type="dxa" w:w="302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3-5% power cut ($350k/yr) and downtime reduction yields full payback in 4.2 months.</w:t>
            </w:r>
          </w:p>
        </w:tc>
      </w:tr>
      <w:tr>
        <w:trPr>
          <w:cantSplit/>
        </w:trPr>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Legal &amp; Safety</w:t>
            </w:r>
          </w:p>
        </w:tc>
        <w:tc>
          <w:tcPr>
            <w:tcW w:type="dxa" w:w="244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MSHA/OSHA &amp; ATEX Dust Safety</w:t>
            </w:r>
          </w:p>
        </w:tc>
        <w:tc>
          <w:tcPr>
            <w:tcW w:type="dxa" w:w="288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Regulations mandate explosion-proof enclosures in combustible mineral dust zones.</w:t>
            </w:r>
          </w:p>
        </w:tc>
        <w:tc>
          <w:tcPr>
            <w:tcW w:type="dxa" w:w="302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Microphones and field junction boxes certified ATEX Zone 22 / NEC Class II, Div 2.</w:t>
            </w:r>
          </w:p>
        </w:tc>
      </w:tr>
      <w:tr>
        <w:trPr>
          <w:cantSplit/>
        </w:trPr>
        <w:tc>
          <w:tcPr>
            <w:tcW w:type="dxa" w:w="201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Project Schedule</w:t>
            </w:r>
          </w:p>
        </w:tc>
        <w:tc>
          <w:tcPr>
            <w:tcW w:type="dxa" w:w="244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72-Hour Relining Window</w:t>
            </w:r>
          </w:p>
        </w:tc>
        <w:tc>
          <w:tcPr>
            <w:tcW w:type="dxa" w:w="2880"/>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Physical mounting permitted only during scheduled mill relining turnarounds.</w:t>
            </w:r>
          </w:p>
        </w:tc>
        <w:tc>
          <w:tcPr>
            <w:tcW w:type="dxa" w:w="302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Pre-fabricated magnetic clamp mounts and plug-and-play IP67 M12 harness wiring.</w:t>
            </w:r>
          </w:p>
        </w:tc>
      </w:tr>
    </w:tbl>
    <w:p>
      <w:pPr>
        <w:keepNext/>
        <w:spacing w:before="160" w:after="60"/>
      </w:pPr>
      <w:r>
        <w:rPr>
          <w:rFonts w:ascii="Calibri" w:hAnsi="Calibri"/>
          <w:b/>
          <w:color w:val="000000"/>
          <w:sz w:val="32"/>
        </w:rPr>
        <w:t>6. Validate Requirement Completeness and Consistency</w:t>
      </w:r>
    </w:p>
    <w:p>
      <w:pPr>
        <w:keepNext/>
        <w:spacing w:before="120" w:after="40"/>
      </w:pPr>
      <w:r>
        <w:rPr>
          <w:rFonts w:ascii="Calibri" w:hAnsi="Calibri"/>
          <w:b/>
          <w:color w:val="000000"/>
          <w:sz w:val="28"/>
        </w:rPr>
        <w:t>6.1 Verification of Stakeholder Requirements Coverage</w:t>
      </w:r>
    </w:p>
    <w:p>
      <w:pPr>
        <w:spacing w:before="30" w:after="50" w:line="276" w:lineRule="auto"/>
      </w:pPr>
      <w:r>
        <w:rPr>
          <w:rFonts w:ascii="Calibri" w:hAnsi="Calibri"/>
          <w:i w:val="0"/>
          <w:color w:val="000000"/>
          <w:sz w:val="24"/>
        </w:rPr>
        <w:t>A Requirements Traceability Matrix (RTM) validates that 100% of stakeholder operational needs are addressed without omissions: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1872"/>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Stakeholder Role</w:t>
            </w:r>
          </w:p>
        </w:tc>
        <w:tc>
          <w:tcPr>
            <w:tcW w:type="dxa" w:w="2592"/>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Operational Need Addressed</w:t>
            </w:r>
          </w:p>
        </w:tc>
        <w:tc>
          <w:tcPr>
            <w:tcW w:type="dxa" w:w="1728"/>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Mapped Req ID</w:t>
            </w:r>
          </w:p>
        </w:tc>
        <w:tc>
          <w:tcPr>
            <w:tcW w:type="dxa" w:w="1872"/>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Non-Functional SLA</w:t>
            </w:r>
          </w:p>
        </w:tc>
        <w:tc>
          <w:tcPr>
            <w:tcW w:type="dxa" w:w="2304"/>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Verification &amp; Acceptance Method</w:t>
            </w:r>
          </w:p>
        </w:tc>
      </w:tr>
      <w:tr>
        <w:trPr>
          <w:cantSplit/>
        </w:trPr>
        <w:tc>
          <w:tcPr>
            <w:tcW w:type="dxa" w:w="187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Control Room Operator</w:t>
            </w:r>
          </w:p>
        </w:tc>
        <w:tc>
          <w:tcPr>
            <w:tcW w:type="dxa" w:w="259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Prevent unexpected mill chute overloads; reduce fatigue.</w:t>
            </w:r>
          </w:p>
        </w:tc>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FR-05, FR-07, FR-09</w:t>
            </w:r>
          </w:p>
        </w:tc>
        <w:tc>
          <w:tcPr>
            <w:tcW w:type="dxa" w:w="187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NFR-02 (HMI &lt; 500 ms)</w:t>
            </w:r>
          </w:p>
        </w:tc>
        <w:tc>
          <w:tcPr>
            <w:tcW w:type="dxa" w:w="230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Synthetic overload stress injection; UX audit.</w:t>
            </w:r>
          </w:p>
        </w:tc>
      </w:tr>
      <w:tr>
        <w:trPr>
          <w:cantSplit/>
        </w:trPr>
        <w:tc>
          <w:tcPr>
            <w:tcW w:type="dxa" w:w="187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Control Room Operator</w:t>
            </w:r>
          </w:p>
        </w:tc>
        <w:tc>
          <w:tcPr>
            <w:tcW w:type="dxa" w:w="259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Seamless manual override without conveyor feed bumps.</w:t>
            </w:r>
          </w:p>
        </w:tc>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FR-10, FR-08</w:t>
            </w:r>
          </w:p>
        </w:tc>
        <w:tc>
          <w:tcPr>
            <w:tcW w:type="dxa" w:w="187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NFR-08 (Bump-less transfer)</w:t>
            </w:r>
          </w:p>
        </w:tc>
        <w:tc>
          <w:tcPr>
            <w:tcW w:type="dxa" w:w="230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Bump-less transfer toggle test on DCS simulator.</w:t>
            </w:r>
          </w:p>
        </w:tc>
      </w:tr>
      <w:tr>
        <w:trPr>
          <w:cantSplit/>
        </w:trPr>
        <w:tc>
          <w:tcPr>
            <w:tcW w:type="dxa" w:w="187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Metallurgical Engineer</w:t>
            </w:r>
          </w:p>
        </w:tc>
        <w:tc>
          <w:tcPr>
            <w:tcW w:type="dxa" w:w="259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Maximize throughput (TPH); maintain target P80 slurry sizing.</w:t>
            </w:r>
          </w:p>
        </w:tc>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FR-05, FR-06, FR-07</w:t>
            </w:r>
          </w:p>
        </w:tc>
        <w:tc>
          <w:tcPr>
            <w:tcW w:type="dxa" w:w="187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NFR-01 (Inference &lt; 150 ms)</w:t>
            </w:r>
          </w:p>
        </w:tc>
        <w:tc>
          <w:tcPr>
            <w:tcW w:type="dxa" w:w="230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30-day continuous metallurgical yield comparison.</w:t>
            </w:r>
          </w:p>
        </w:tc>
      </w:tr>
      <w:tr>
        <w:trPr>
          <w:cantSplit/>
        </w:trPr>
        <w:tc>
          <w:tcPr>
            <w:tcW w:type="dxa" w:w="187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Reliability Engineer</w:t>
            </w:r>
          </w:p>
        </w:tc>
        <w:tc>
          <w:tcPr>
            <w:tcW w:type="dxa" w:w="259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Detect liner bolt loosening before catastrophic shearing.</w:t>
            </w:r>
          </w:p>
        </w:tc>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FR-11, FR-12</w:t>
            </w:r>
          </w:p>
        </w:tc>
        <w:tc>
          <w:tcPr>
            <w:tcW w:type="dxa" w:w="187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NFR-01 (High-freq sampling)</w:t>
            </w:r>
          </w:p>
        </w:tc>
        <w:tc>
          <w:tcPr>
            <w:tcW w:type="dxa" w:w="230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Acoustic transient pulse injection &amp; angular audit.</w:t>
            </w:r>
          </w:p>
        </w:tc>
      </w:tr>
      <w:tr>
        <w:trPr>
          <w:cantSplit/>
        </w:trPr>
        <w:tc>
          <w:tcPr>
            <w:tcW w:type="dxa" w:w="187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Automation Technician</w:t>
            </w:r>
          </w:p>
        </w:tc>
        <w:tc>
          <w:tcPr>
            <w:tcW w:type="dxa" w:w="259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Standardized fieldbus integration; sensor health diagnostics.</w:t>
            </w:r>
          </w:p>
        </w:tc>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FR-01, FR-02, FR-12</w:t>
            </w:r>
          </w:p>
        </w:tc>
        <w:tc>
          <w:tcPr>
            <w:tcW w:type="dxa" w:w="187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NFR-04 (IEC 62443), NFR-08</w:t>
            </w:r>
          </w:p>
        </w:tc>
        <w:tc>
          <w:tcPr>
            <w:tcW w:type="dxa" w:w="230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Acoustic cable disconnect test; watchdog trip test.</w:t>
            </w:r>
          </w:p>
        </w:tc>
      </w:tr>
      <w:tr>
        <w:trPr>
          <w:cantSplit/>
        </w:trPr>
        <w:tc>
          <w:tcPr>
            <w:tcW w:type="dxa" w:w="187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Plant General Manager</w:t>
            </w:r>
          </w:p>
        </w:tc>
        <w:tc>
          <w:tcPr>
            <w:tcW w:type="dxa" w:w="259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Reduce power costs by 3-5%; achieve CapEx payback &lt; 6 mo.</w:t>
            </w:r>
          </w:p>
        </w:tc>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FR-07, FR-09</w:t>
            </w:r>
          </w:p>
        </w:tc>
        <w:tc>
          <w:tcPr>
            <w:tcW w:type="dxa" w:w="187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NFR-03 (Continuous uptime)</w:t>
            </w:r>
          </w:p>
        </w:tc>
        <w:tc>
          <w:tcPr>
            <w:tcW w:type="dxa" w:w="2304"/>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Quarterly energy tariff audit; verified CapEx ROI.</w:t>
            </w:r>
          </w:p>
        </w:tc>
      </w:tr>
    </w:tbl>
    <w:p>
      <w:pPr>
        <w:keepNext/>
        <w:spacing w:before="120" w:after="40"/>
      </w:pPr>
      <w:r>
        <w:rPr>
          <w:rFonts w:ascii="Calibri" w:hAnsi="Calibri"/>
          <w:b/>
          <w:color w:val="000000"/>
          <w:sz w:val="28"/>
        </w:rPr>
        <w:t>6.2 Requirement Defect Review &amp; Consistency Verification</w:t>
      </w:r>
    </w:p>
    <w:p>
      <w:pPr>
        <w:spacing w:before="30" w:after="50" w:line="276" w:lineRule="auto"/>
      </w:pPr>
      <w:r>
        <w:rPr>
          <w:rFonts w:ascii="Calibri" w:hAnsi="Calibri"/>
          <w:i w:val="0"/>
          <w:color w:val="000000"/>
          <w:sz w:val="24"/>
        </w:rPr>
        <w:t>Requirements were systematically audited for ambiguity, redundancy, inconsistency, and missing edge cases:</w:t>
      </w:r>
    </w:p>
    <w:tbl>
      <w:tblPr>
        <w:tblW w:type="auto" w:w="0"/>
        <w:jc w:val="center"/>
        <w:tblLook w:firstColumn="1" w:firstRow="1" w:lastColumn="0" w:lastRow="0" w:noHBand="0" w:noVBand="1" w:val="04A0"/>
      </w:tblPr>
      <w:tblGrid>
        <w:gridCol w:w="2520"/>
        <w:gridCol w:w="2520"/>
        <w:gridCol w:w="2520"/>
        <w:gridCol w:w="2520"/>
      </w:tblGrid>
      <w:tr>
        <w:tc>
          <w:tcPr>
            <w:tcW w:type="dxa" w:w="1728"/>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Defect Category</w:t>
            </w:r>
          </w:p>
        </w:tc>
        <w:tc>
          <w:tcPr>
            <w:tcW w:type="dxa" w:w="2592"/>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Initial Defective Formulation</w:t>
            </w:r>
          </w:p>
        </w:tc>
        <w:tc>
          <w:tcPr>
            <w:tcW w:type="dxa" w:w="2592"/>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Identified Quality Hazard</w:t>
            </w:r>
          </w:p>
        </w:tc>
        <w:tc>
          <w:tcPr>
            <w:tcW w:type="dxa" w:w="3456"/>
            <w:tcMar>
              <w:top w:w="45" w:type="dxa"/>
              <w:bottom w:w="45" w:type="dxa"/>
              <w:left w:w="60" w:type="dxa"/>
              <w:right w:w="60" w:type="dxa"/>
            </w:tcMar>
            <w:tcBorders>
              <w:top w:val="single" w:sz="6" w:space="0" w:color="000000"/>
              <w:left w:val="single" w:sz="6" w:space="0" w:color="000000"/>
              <w:bottom w:val="single" w:sz="6" w:space="0" w:color="000000"/>
              <w:right w:val="single" w:sz="6" w:space="0" w:color="000000"/>
            </w:tcBorders>
          </w:tcPr>
          <w:p>
            <w:pPr>
              <w:spacing w:before="30" w:after="30"/>
              <w:jc w:val="center"/>
            </w:pPr>
            <w:r>
              <w:rPr>
                <w:rFonts w:ascii="Calibri" w:hAnsi="Calibri"/>
                <w:b/>
                <w:color w:val="000000"/>
                <w:sz w:val="20"/>
              </w:rPr>
              <w:t>Remediated Engineering Specification</w:t>
            </w:r>
          </w:p>
        </w:tc>
      </w:tr>
      <w:tr>
        <w:trPr>
          <w:cantSplit/>
        </w:trPr>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Ambiguity</w:t>
            </w:r>
          </w:p>
        </w:tc>
        <w:tc>
          <w:tcPr>
            <w:tcW w:type="dxa" w:w="259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'System shall detect mill overloads quickly.'</w:t>
            </w:r>
          </w:p>
        </w:tc>
        <w:tc>
          <w:tcPr>
            <w:tcW w:type="dxa" w:w="259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Subjective word 'quickly' is untestable; lacks metric.</w:t>
            </w:r>
          </w:p>
        </w:tc>
        <w:tc>
          <w:tcPr>
            <w:tcW w:type="dxa" w:w="345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Remediated in FR-05 &amp; NFR-01: 'Classify load every 100 ms with latency ≤ 150 ms; alarm within ≤ 500 ms when Load Index &gt; 0.75.'</w:t>
            </w:r>
          </w:p>
        </w:tc>
      </w:tr>
      <w:tr>
        <w:trPr>
          <w:cantSplit/>
        </w:trPr>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Redundancy</w:t>
            </w:r>
          </w:p>
        </w:tc>
        <w:tc>
          <w:tcPr>
            <w:tcW w:type="dxa" w:w="259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FR-01 &amp; FR-03 both executed independent FFT transforms.</w:t>
            </w:r>
          </w:p>
        </w:tc>
        <w:tc>
          <w:tcPr>
            <w:tcW w:type="dxa" w:w="259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Duplicating 2048-pt FFT wastes CPU and creates race conditions.</w:t>
            </w:r>
          </w:p>
        </w:tc>
        <w:tc>
          <w:tcPr>
            <w:tcW w:type="dxa" w:w="345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Remediated: FR-01 exclusively manages DMA buffers; FR-03 centralizes FFT transforms via shared memory.</w:t>
            </w:r>
          </w:p>
        </w:tc>
      </w:tr>
      <w:tr>
        <w:trPr>
          <w:cantSplit/>
        </w:trPr>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Inconsistency</w:t>
            </w:r>
          </w:p>
        </w:tc>
        <w:tc>
          <w:tcPr>
            <w:tcW w:type="dxa" w:w="259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NFR-01 set 150 ms latency; FR-07 allowed 5000 ms solver timeout.</w:t>
            </w:r>
          </w:p>
        </w:tc>
        <w:tc>
          <w:tcPr>
            <w:tcW w:type="dxa" w:w="259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5-second solver timeout blocks real-time audio threads.</w:t>
            </w:r>
          </w:p>
        </w:tc>
        <w:tc>
          <w:tcPr>
            <w:tcW w:type="dxa" w:w="345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Remediated: Decoupled high-frequency DSP thread (100 ms) from MPC supervisory solver (1.0 s) via non-blocking queues.</w:t>
            </w:r>
          </w:p>
        </w:tc>
      </w:tr>
      <w:tr>
        <w:trPr>
          <w:cantSplit/>
        </w:trPr>
        <w:tc>
          <w:tcPr>
            <w:tcW w:type="dxa" w:w="1728"/>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b/>
                <w:color w:val="000000"/>
                <w:sz w:val="17"/>
              </w:rPr>
              <w:t>Missing Edge Case</w:t>
            </w:r>
          </w:p>
        </w:tc>
        <w:tc>
          <w:tcPr>
            <w:tcW w:type="dxa" w:w="259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No handling specified for disconnected microphone cables.</w:t>
            </w:r>
          </w:p>
        </w:tc>
        <w:tc>
          <w:tcPr>
            <w:tcW w:type="dxa" w:w="2592"/>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Zero signal misclassified by ML as severe slurry pooling.</w:t>
            </w:r>
          </w:p>
        </w:tc>
        <w:tc>
          <w:tcPr>
            <w:tcW w:type="dxa" w:w="3456"/>
            <w:tcMar>
              <w:top w:w="35" w:type="dxa"/>
              <w:bottom w:w="35" w:type="dxa"/>
              <w:left w:w="55" w:type="dxa"/>
              <w:right w:w="55" w:type="dxa"/>
            </w:tcMar>
            <w:tcBorders>
              <w:top w:val="single" w:sz="6" w:space="0" w:color="000000"/>
              <w:left w:val="single" w:sz="6" w:space="0" w:color="000000"/>
              <w:bottom w:val="single" w:sz="6" w:space="0" w:color="000000"/>
              <w:right w:val="single" w:sz="6" w:space="0" w:color="000000"/>
            </w:tcBorders>
          </w:tcPr>
          <w:p>
            <w:pPr>
              <w:spacing w:before="20" w:after="30" w:line="259" w:lineRule="auto"/>
            </w:pPr>
            <w:r>
              <w:rPr>
                <w:rFonts w:ascii="Calibri" w:hAnsi="Calibri"/>
                <w:color w:val="000000"/>
                <w:sz w:val="17"/>
              </w:rPr>
              <w:t>Remediated: Added FR-02 (Watchdog): SNR &lt; 12 dB for &gt; 2s triggers SENSOR_FAULT, inhibits auto-tuning, and reverts to DCS baseline.</w:t>
            </w:r>
          </w:p>
        </w:tc>
      </w:tr>
    </w:tbl>
    <w:p>
      <w:pPr>
        <w:keepNext/>
        <w:spacing w:before="120" w:after="40"/>
      </w:pPr>
      <w:r>
        <w:rPr>
          <w:rFonts w:ascii="Calibri" w:hAnsi="Calibri"/>
          <w:b/>
          <w:color w:val="000000"/>
          <w:sz w:val="28"/>
        </w:rPr>
        <w:t>6.3 Strategic Quality Improvements &amp; Future Technical Roadmap</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1. Physics-Informed Digital Twin Acoustic Modeling: </w:t>
      </w:r>
      <w:r>
        <w:rPr>
          <w:rFonts w:ascii="Calibri" w:hAnsi="Calibri"/>
          <w:color w:val="000000"/>
          <w:sz w:val="24"/>
        </w:rPr>
        <w:t>Couple Discrete Element Method (DEM) rock-ball trajectories with Finite Element Method (FEM) acoustic radiation modeling to generate synthetic training data for rare liner wear and choked overloads.</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2. Phased Acoustic Beamforming Microphone Arrays: </w:t>
      </w:r>
      <w:r>
        <w:rPr>
          <w:rFonts w:ascii="Calibri" w:hAnsi="Calibri"/>
          <w:color w:val="000000"/>
          <w:sz w:val="24"/>
        </w:rPr>
        <w:t>Deploy 16-element MEMS phased microphone arrays with delay-and-sum beamforming to spatially isolate the charge toe impact zone and filter neighboring pump noise.</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3. Multi-Site Federated Edge Learning: </w:t>
      </w:r>
      <w:r>
        <w:rPr>
          <w:rFonts w:ascii="Calibri" w:hAnsi="Calibri"/>
          <w:color w:val="000000"/>
          <w:sz w:val="24"/>
        </w:rPr>
        <w:t>Implement multi-site federated edge learning across mining operations to collaboratively train neural networks without sharing confidential production tonnage.</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4. Coordinated Mill Speed (RPM) and Water Optimization: </w:t>
      </w:r>
      <w:r>
        <w:rPr>
          <w:rFonts w:ascii="Calibri" w:hAnsi="Calibri"/>
          <w:color w:val="000000"/>
          <w:sz w:val="24"/>
        </w:rPr>
        <w:t>Expand MPC supervisory boundaries to simultaneously modulate mill variable speed drive RPM and water addition, saving an additional 2.0% to 3.5% energy.</w:t>
      </w:r>
    </w:p>
    <w:p>
      <w:pPr>
        <w:spacing w:before="20" w:after="40" w:line="276" w:lineRule="auto"/>
        <w:ind w:left="288"/>
      </w:pPr>
      <w:r>
        <w:rPr>
          <w:rFonts w:ascii="Calibri" w:hAnsi="Calibri"/>
          <w:b/>
          <w:color w:val="000000"/>
          <w:sz w:val="24"/>
        </w:rPr>
        <w:t xml:space="preserve">•  </w:t>
      </w:r>
      <w:r>
        <w:rPr>
          <w:rFonts w:ascii="Calibri" w:hAnsi="Calibri"/>
          <w:b/>
          <w:color w:val="000000"/>
          <w:sz w:val="24"/>
        </w:rPr>
        <w:t xml:space="preserve">5. Automated Closed-Loop Synthetic Acoustic Calibration: </w:t>
      </w:r>
      <w:r>
        <w:rPr>
          <w:rFonts w:ascii="Calibri" w:hAnsi="Calibri"/>
          <w:color w:val="000000"/>
          <w:sz w:val="24"/>
        </w:rPr>
        <w:t>Mount a calibrated piezoelectric acoustic emitter adjacent to microphones to emit an automated 5 kHz synthetic pulse per shift, verifying calibration without entering the grinding bay.</w:t>
      </w:r>
    </w:p>
    <w:sectPr w:rsidR="00F5182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FD3D4B0-4C35-494B-B17F-3ACBD7B4AA80}"/>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79A5CC85-28BD-417E-9EC9-69C78E32BA35}"/>
  </w:font>
  <w:font w:name="Cambria">
    <w:panose1 w:val="02040503050406030204"/>
    <w:charset w:val="00"/>
    <w:family w:val="roman"/>
    <w:pitch w:val="variable"/>
    <w:sig w:usb0="E00006FF" w:usb1="420024FF" w:usb2="02000000" w:usb3="00000000" w:csb0="0000019F" w:csb1="00000000"/>
    <w:embedRegular r:id="rId3" w:fontKey="{58C5B0F0-EA60-400E-9B02-42C06573E543}"/>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0"/>
  </w:num>
  <w:num w:numId="4">
    <w:abstractNumId w:val="2"/>
  </w:num>
  <w:num w:numId="5">
    <w:abstractNumId w:val="12"/>
  </w:num>
  <w:num w:numId="6">
    <w:abstractNumId w:val="5"/>
  </w:num>
  <w:num w:numId="7">
    <w:abstractNumId w:val="7"/>
  </w:num>
  <w:num w:numId="8">
    <w:abstractNumId w:val="4"/>
  </w:num>
  <w:num w:numId="9">
    <w:abstractNumId w:val="6"/>
  </w:num>
  <w:num w:numId="10">
    <w:abstractNumId w:val="1"/>
  </w:num>
  <w:num w:numId="11">
    <w:abstractNumId w:val="11"/>
  </w:num>
  <w:num w:numId="12">
    <w:abstractNumId w:val="1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C74"/>
    <w:rsid w:val="0002332D"/>
    <w:rsid w:val="00065E6D"/>
    <w:rsid w:val="000E4A13"/>
    <w:rsid w:val="001854D8"/>
    <w:rsid w:val="001B61CC"/>
    <w:rsid w:val="0023550A"/>
    <w:rsid w:val="00380818"/>
    <w:rsid w:val="00383BC8"/>
    <w:rsid w:val="003A40C5"/>
    <w:rsid w:val="003E54D9"/>
    <w:rsid w:val="004169DD"/>
    <w:rsid w:val="00434CF9"/>
    <w:rsid w:val="004E6682"/>
    <w:rsid w:val="004F729E"/>
    <w:rsid w:val="00530C51"/>
    <w:rsid w:val="005B1443"/>
    <w:rsid w:val="00672CD0"/>
    <w:rsid w:val="00684378"/>
    <w:rsid w:val="006F2A9C"/>
    <w:rsid w:val="007808C1"/>
    <w:rsid w:val="007F3AA7"/>
    <w:rsid w:val="00867736"/>
    <w:rsid w:val="00876C74"/>
    <w:rsid w:val="009A2417"/>
    <w:rsid w:val="009B702B"/>
    <w:rsid w:val="009E7898"/>
    <w:rsid w:val="00CA79E7"/>
    <w:rsid w:val="00D86540"/>
    <w:rsid w:val="00DF49DF"/>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4CF9"/>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customStyle="1" w:styleId="Heading3Char">
    <w:name w:val="Heading 3 Char"/>
    <w:basedOn w:val="DefaultParagraphFont"/>
    <w:link w:val="Heading3"/>
    <w:uiPriority w:val="9"/>
    <w:rsid w:val="00434CF9"/>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760</Words>
  <Characters>4334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Rathinavel</cp:lastModifiedBy>
  <cp:revision>9</cp:revision>
  <dcterms:created xsi:type="dcterms:W3CDTF">2026-07-23T07:33:00Z</dcterms:created>
  <dcterms:modified xsi:type="dcterms:W3CDTF">2026-10-03T06:31:00Z</dcterms:modified>
</cp:coreProperties>
</file>