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 w:line="252" w:lineRule="auto"/>
        <w:jc w:val="center"/>
      </w:pPr>
      <w:r>
        <w:rPr>
          <w:rFonts w:ascii="Times New Roman" w:hAnsi="Times New Roman"/>
          <w:b w:val="0"/>
          <w:i w:val="0"/>
          <w:sz w:val="24"/>
        </w:rPr>
        <w:t>COURSE CODE: DSA0603</w:t>
      </w:r>
    </w:p>
    <w:p>
      <w:pPr>
        <w:spacing w:after="240" w:line="252" w:lineRule="auto"/>
        <w:jc w:val="center"/>
      </w:pPr>
      <w:r>
        <w:rPr>
          <w:rFonts w:ascii="Times New Roman" w:hAnsi="Times New Roman"/>
          <w:b w:val="0"/>
          <w:i w:val="0"/>
          <w:sz w:val="24"/>
        </w:rPr>
        <w:t>COURSE NAME: DATA HANDLING AND VISUALIZATION</w:t>
      </w:r>
    </w:p>
    <w:p>
      <w:pPr>
        <w:pStyle w:val="Heading2"/>
        <w:spacing w:before="200" w:after="120"/>
      </w:pPr>
      <w:r>
        <w:rPr>
          <w:rFonts w:ascii="Times New Roman" w:hAnsi="Times New Roman"/>
          <w:b/>
          <w:sz w:val="24"/>
        </w:rPr>
        <w:t>1. Problem Statement and Problem Formulation</w:t>
      </w:r>
    </w:p>
    <w:p>
      <w:pPr>
        <w:pStyle w:val="Heading3"/>
        <w:spacing w:before="160" w:after="100"/>
      </w:pPr>
      <w:r>
        <w:rPr>
          <w:rFonts w:ascii="Times New Roman" w:hAnsi="Times New Roman"/>
          <w:b/>
          <w:sz w:val="24"/>
        </w:rPr>
        <w:t>1.1 Problem Statement</w:t>
      </w:r>
    </w:p>
    <w:p>
      <w:pPr>
        <w:spacing w:after="160" w:line="252" w:lineRule="auto"/>
        <w:jc w:val="both"/>
      </w:pPr>
      <w:r>
        <w:rPr>
          <w:rFonts w:ascii="Times New Roman" w:hAnsi="Times New Roman"/>
          <w:b w:val="0"/>
          <w:i w:val="0"/>
          <w:sz w:val="24"/>
        </w:rPr>
        <w:t>A public health organization needs a clear and interactive visualization solution for communicating health and socioeconomic patterns to technical and non-technical stakeholders. The selected real-world dataset contains country, year, life expectancy at birth, and GDP values for six countries over 2000-2015. The challenge is to represent distributions, proportions, relationships, and temporal patterns without creating unnecessary cognitive load or misleading visual emphasis.</w:t>
      </w:r>
    </w:p>
    <w:p>
      <w:pPr>
        <w:spacing w:after="160" w:line="252" w:lineRule="auto"/>
        <w:jc w:val="both"/>
      </w:pPr>
      <w:r>
        <w:rPr>
          <w:rFonts w:ascii="Times New Roman" w:hAnsi="Times New Roman"/>
          <w:b w:val="0"/>
          <w:i w:val="0"/>
          <w:sz w:val="24"/>
        </w:rPr>
        <w:t>The dashboard therefore uses a coordinated set of histograms, box plots, a donut chart, a bar chart, scatter plots, a heatmap, and line charts. The design is evaluated using pre-attentive attributes, Gestalt grouping, data-ink considerations, and color-theory principles. The objective is to ensure that users can answer practical questions quickly, accurately, and with minimal visual search.</w:t>
      </w:r>
    </w:p>
    <w:p>
      <w:pPr>
        <w:pStyle w:val="Heading3"/>
        <w:spacing w:before="160" w:after="100"/>
      </w:pPr>
      <w:r>
        <w:rPr>
          <w:rFonts w:ascii="Times New Roman" w:hAnsi="Times New Roman"/>
          <w:b/>
          <w:sz w:val="24"/>
        </w:rPr>
        <w:t>1.2 Problem Formulation</w:t>
      </w:r>
    </w:p>
    <w:p>
      <w:pPr>
        <w:spacing w:after="160" w:line="252" w:lineRule="auto"/>
        <w:jc w:val="both"/>
      </w:pPr>
      <w:r>
        <w:rPr>
          <w:rFonts w:ascii="Times New Roman" w:hAnsi="Times New Roman"/>
          <w:b w:val="0"/>
          <w:i w:val="0"/>
          <w:sz w:val="24"/>
        </w:rPr>
        <w:t>The input is a country-year health dataset. The dashboard processing pipeline is:</w:t>
      </w:r>
    </w:p>
    <w:p>
      <w:pPr>
        <w:spacing w:after="160" w:line="252" w:lineRule="auto"/>
        <w:jc w:val="both"/>
      </w:pPr>
      <w:r>
        <w:rPr>
          <w:rFonts w:ascii="Times New Roman" w:hAnsi="Times New Roman"/>
          <w:b/>
          <w:i w:val="0"/>
          <w:sz w:val="24"/>
        </w:rPr>
        <w:t>Raw CSV → Data Validation → Cleaning → Feature Engineering → Exploratory Analysis → Visualization Construction → Interactive Dashboard → Perceptual Evaluation → Design Ranking</w:t>
      </w:r>
    </w:p>
    <w:p>
      <w:pPr>
        <w:spacing w:after="160" w:line="252" w:lineRule="auto"/>
        <w:jc w:val="both"/>
      </w:pPr>
      <w:r>
        <w:rPr>
          <w:rFonts w:ascii="Times New Roman" w:hAnsi="Times New Roman"/>
          <w:b w:val="0"/>
          <w:i w:val="0"/>
          <w:sz w:val="24"/>
        </w:rPr>
        <w:t>The analytical questions are: (1) What is the overall distribution of life expectancy? (2) How do countries differ in typical life expectancy and spread? (3) What share of observations falls into low, medium, and high life-expectancy categories? (4) Is GDP associated with life expectancy? (5) How does life expectancy change over time? (6) Which variables move together strongly enough to warrant further investigation?</w:t>
      </w:r>
    </w:p>
    <w:p>
      <w:pPr>
        <w:spacing w:after="160" w:line="252" w:lineRule="auto"/>
        <w:jc w:val="both"/>
      </w:pPr>
      <w:r>
        <w:rPr>
          <w:rFonts w:ascii="Times New Roman" w:hAnsi="Times New Roman"/>
          <w:b w:val="0"/>
          <w:i w:val="0"/>
          <w:sz w:val="24"/>
        </w:rPr>
        <w:t>The dashboard is intended to support evidence-based decisions rather than claim causal relationships. In particular, GDP is treated as an explanatory indicator for association analysis, not as proof that economic growth causes changes in life expectancy.</w:t>
      </w:r>
    </w:p>
    <w:p>
      <w:pPr>
        <w:pStyle w:val="Heading2"/>
        <w:spacing w:before="200" w:after="120"/>
      </w:pPr>
      <w:r>
        <w:rPr>
          <w:rFonts w:ascii="Times New Roman" w:hAnsi="Times New Roman"/>
          <w:b/>
          <w:sz w:val="24"/>
        </w:rPr>
        <w:t>2. Objective and Expected Outcomes</w:t>
      </w:r>
    </w:p>
    <w:p>
      <w:pPr>
        <w:pStyle w:val="Heading3"/>
        <w:spacing w:before="160" w:after="100"/>
      </w:pPr>
      <w:r>
        <w:rPr>
          <w:rFonts w:ascii="Times New Roman" w:hAnsi="Times New Roman"/>
          <w:b/>
          <w:sz w:val="24"/>
        </w:rPr>
        <w:t>2.1 Objectives</w:t>
      </w:r>
    </w:p>
    <w:p>
      <w:pPr>
        <w:spacing w:after="160" w:line="252" w:lineRule="auto"/>
        <w:jc w:val="both"/>
      </w:pPr>
      <w:r>
        <w:rPr>
          <w:rFonts w:ascii="Times New Roman" w:hAnsi="Times New Roman"/>
          <w:b w:val="0"/>
          <w:i w:val="0"/>
          <w:sz w:val="24"/>
        </w:rPr>
        <w:t>The main objective is to design and evaluate an interactive public-health visualization dashboard that communicates distributions, proportions, relationships, trends, and associations using perception-based design principles.</w:t>
      </w:r>
    </w:p>
    <w:p>
      <w:pPr>
        <w:spacing w:after="60"/>
        <w:ind w:left="360" w:hanging="216"/>
        <w:jc w:val="both"/>
      </w:pPr>
      <w:r>
        <w:rPr>
          <w:rFonts w:ascii="Times New Roman" w:hAnsi="Times New Roman"/>
          <w:sz w:val="24"/>
        </w:rPr>
        <w:t>● Identify the variable types and match them with appropriate visual encodings and chart types.</w:t>
      </w:r>
    </w:p>
    <w:p>
      <w:pPr>
        <w:spacing w:after="60"/>
        <w:ind w:left="360" w:hanging="216"/>
        <w:jc w:val="both"/>
      </w:pPr>
      <w:r>
        <w:rPr>
          <w:rFonts w:ascii="Times New Roman" w:hAnsi="Times New Roman"/>
          <w:sz w:val="24"/>
        </w:rPr>
        <w:t>● Construct distribution visualizations using a histogram and box plot.</w:t>
      </w:r>
    </w:p>
    <w:p>
      <w:pPr>
        <w:spacing w:after="60"/>
        <w:ind w:left="360" w:hanging="216"/>
        <w:jc w:val="both"/>
      </w:pPr>
      <w:r>
        <w:rPr>
          <w:rFonts w:ascii="Times New Roman" w:hAnsi="Times New Roman"/>
          <w:sz w:val="24"/>
        </w:rPr>
        <w:t>● Represent categorical proportions using a donut chart and compare group averages with a bar chart.</w:t>
      </w:r>
    </w:p>
    <w:p>
      <w:pPr>
        <w:spacing w:after="60"/>
        <w:ind w:left="360" w:hanging="216"/>
        <w:jc w:val="both"/>
      </w:pPr>
      <w:r>
        <w:rPr>
          <w:rFonts w:ascii="Times New Roman" w:hAnsi="Times New Roman"/>
          <w:sz w:val="24"/>
        </w:rPr>
        <w:t>● Analyze pairwise and multivariate relationships using scatter plots and a correlation heatmap.</w:t>
      </w:r>
    </w:p>
    <w:p>
      <w:pPr>
        <w:spacing w:after="60"/>
        <w:ind w:left="360" w:hanging="216"/>
        <w:jc w:val="both"/>
      </w:pPr>
      <w:r>
        <w:rPr>
          <w:rFonts w:ascii="Times New Roman" w:hAnsi="Times New Roman"/>
          <w:sz w:val="24"/>
        </w:rPr>
        <w:t>● Analyze temporal trends using coordinated line charts.</w:t>
      </w:r>
    </w:p>
    <w:p>
      <w:pPr>
        <w:spacing w:after="60"/>
        <w:ind w:left="360" w:hanging="216"/>
        <w:jc w:val="both"/>
      </w:pPr>
      <w:r>
        <w:rPr>
          <w:rFonts w:ascii="Times New Roman" w:hAnsi="Times New Roman"/>
          <w:sz w:val="24"/>
        </w:rPr>
        <w:t>● Use position, color, size, and shape deliberately to improve grouping and outlier detection.</w:t>
      </w:r>
    </w:p>
    <w:p>
      <w:pPr>
        <w:spacing w:after="60"/>
        <w:ind w:left="360" w:hanging="216"/>
        <w:jc w:val="both"/>
      </w:pPr>
      <w:r>
        <w:rPr>
          <w:rFonts w:ascii="Times New Roman" w:hAnsi="Times New Roman"/>
          <w:sz w:val="24"/>
        </w:rPr>
        <w:t>● Evaluate each view using pre-attentive attributes, Gestalt principles, data-ink ratio, and color theory.</w:t>
      </w:r>
    </w:p>
    <w:p>
      <w:pPr>
        <w:spacing w:after="60"/>
        <w:ind w:left="360" w:hanging="216"/>
        <w:jc w:val="both"/>
      </w:pPr>
      <w:r>
        <w:rPr>
          <w:rFonts w:ascii="Times New Roman" w:hAnsi="Times New Roman"/>
          <w:sz w:val="24"/>
        </w:rPr>
        <w:t>● Compare at least three alternative designs for the same insight and rank them using explicit criteria.</w:t>
      </w:r>
    </w:p>
    <w:p>
      <w:pPr>
        <w:spacing w:after="60"/>
        <w:ind w:left="360" w:hanging="216"/>
        <w:jc w:val="both"/>
      </w:pPr>
      <w:r>
        <w:rPr>
          <w:rFonts w:ascii="Times New Roman" w:hAnsi="Times New Roman"/>
          <w:sz w:val="24"/>
        </w:rPr>
        <w:t>● Provide an interactive dashboard structure that supports filtering and coordinated interpretation.</w:t>
      </w:r>
    </w:p>
    <w:p>
      <w:pPr>
        <w:pStyle w:val="Heading3"/>
        <w:spacing w:before="160" w:after="100"/>
      </w:pPr>
      <w:r>
        <w:rPr>
          <w:rFonts w:ascii="Times New Roman" w:hAnsi="Times New Roman"/>
          <w:b/>
          <w:sz w:val="24"/>
        </w:rPr>
        <w:t>2.2 Expected Outcomes</w:t>
      </w:r>
    </w:p>
    <w:p>
      <w:pPr>
        <w:spacing w:after="160" w:line="252" w:lineRule="auto"/>
        <w:jc w:val="both"/>
      </w:pPr>
      <w:r>
        <w:rPr>
          <w:rFonts w:ascii="Times New Roman" w:hAnsi="Times New Roman"/>
          <w:b w:val="0"/>
          <w:i w:val="0"/>
          <w:sz w:val="24"/>
        </w:rPr>
        <w:t>The expected outcome is a working visualization pipeline and dashboard specification that allows stakeholders to move from an overview of the data to a specific country, year, distribution, or relationship. The report also provides a defensible ranking of alternative designs and documents why the final design reduces visual search, avoids misleading encodings, and improves decision-making accuracy.</w:t>
      </w:r>
    </w:p>
    <w:p>
      <w:pPr>
        <w:pStyle w:val="Heading2"/>
        <w:spacing w:before="200" w:after="120"/>
      </w:pPr>
      <w:r>
        <w:rPr>
          <w:rFonts w:ascii="Times New Roman" w:hAnsi="Times New Roman"/>
          <w:b/>
          <w:sz w:val="24"/>
        </w:rPr>
        <w:t>3. Requirements, Constraints and Assumptions</w:t>
      </w:r>
    </w:p>
    <w:p>
      <w:pPr>
        <w:pStyle w:val="Heading3"/>
        <w:spacing w:before="160" w:after="100"/>
      </w:pPr>
      <w:r>
        <w:rPr>
          <w:rFonts w:ascii="Times New Roman" w:hAnsi="Times New Roman"/>
          <w:b/>
          <w:sz w:val="24"/>
        </w:rPr>
        <w:t>3.1 Requirements</w:t>
      </w:r>
    </w:p>
    <w:p>
      <w:pPr>
        <w:spacing w:after="60"/>
        <w:ind w:left="360" w:hanging="216"/>
        <w:jc w:val="both"/>
      </w:pPr>
      <w:r>
        <w:rPr>
          <w:rFonts w:ascii="Times New Roman" w:hAnsi="Times New Roman"/>
          <w:sz w:val="24"/>
        </w:rPr>
        <w:t>● Real-world public-health dataset with continuous, categorical, and temporal fields.</w:t>
      </w:r>
    </w:p>
    <w:p>
      <w:pPr>
        <w:spacing w:after="60"/>
        <w:ind w:left="360" w:hanging="216"/>
        <w:jc w:val="both"/>
      </w:pPr>
      <w:r>
        <w:rPr>
          <w:rFonts w:ascii="Times New Roman" w:hAnsi="Times New Roman"/>
          <w:sz w:val="24"/>
        </w:rPr>
        <w:t>● At least four distinct visualization techniques, with the final solution using seven required chart families where applicable.</w:t>
      </w:r>
    </w:p>
    <w:p>
      <w:pPr>
        <w:spacing w:after="60"/>
        <w:ind w:left="360" w:hanging="216"/>
        <w:jc w:val="both"/>
      </w:pPr>
      <w:r>
        <w:rPr>
          <w:rFonts w:ascii="Times New Roman" w:hAnsi="Times New Roman"/>
          <w:sz w:val="24"/>
        </w:rPr>
        <w:t>● Multi-view dashboard with distribution, proportion, comparison, and relationship views.</w:t>
      </w:r>
    </w:p>
    <w:p>
      <w:pPr>
        <w:spacing w:after="60"/>
        <w:ind w:left="360" w:hanging="216"/>
        <w:jc w:val="both"/>
      </w:pPr>
      <w:r>
        <w:rPr>
          <w:rFonts w:ascii="Times New Roman" w:hAnsi="Times New Roman"/>
          <w:sz w:val="24"/>
        </w:rPr>
        <w:t>● Clear titles, units, legends, labels, and consistent encodings.</w:t>
      </w:r>
    </w:p>
    <w:p>
      <w:pPr>
        <w:spacing w:after="60"/>
        <w:ind w:left="360" w:hanging="216"/>
        <w:jc w:val="both"/>
      </w:pPr>
      <w:r>
        <w:rPr>
          <w:rFonts w:ascii="Times New Roman" w:hAnsi="Times New Roman"/>
          <w:sz w:val="24"/>
        </w:rPr>
        <w:t>● Interactive filtering or selection for country and year.</w:t>
      </w:r>
    </w:p>
    <w:p>
      <w:pPr>
        <w:spacing w:after="60"/>
        <w:ind w:left="360" w:hanging="216"/>
        <w:jc w:val="both"/>
      </w:pPr>
      <w:r>
        <w:rPr>
          <w:rFonts w:ascii="Times New Roman" w:hAnsi="Times New Roman"/>
          <w:sz w:val="24"/>
        </w:rPr>
        <w:t>● Critical comparison of at least three alternative visualizations for the same insight.</w:t>
      </w:r>
    </w:p>
    <w:p>
      <w:pPr>
        <w:spacing w:after="60"/>
        <w:ind w:left="360" w:hanging="216"/>
        <w:jc w:val="both"/>
      </w:pPr>
      <w:r>
        <w:rPr>
          <w:rFonts w:ascii="Times New Roman" w:hAnsi="Times New Roman"/>
          <w:sz w:val="24"/>
        </w:rPr>
        <w:t>● Research-grounded justification of perceptual and cognitive design choices.</w:t>
      </w:r>
    </w:p>
    <w:p>
      <w:pPr>
        <w:pStyle w:val="Heading3"/>
        <w:spacing w:before="160" w:after="100"/>
      </w:pPr>
      <w:r>
        <w:rPr>
          <w:rFonts w:ascii="Times New Roman" w:hAnsi="Times New Roman"/>
          <w:b/>
          <w:sz w:val="24"/>
        </w:rPr>
        <w:t>3.2 Constraints</w:t>
      </w:r>
    </w:p>
    <w:p>
      <w:pPr>
        <w:spacing w:after="160" w:line="252" w:lineRule="auto"/>
        <w:jc w:val="both"/>
      </w:pPr>
      <w:r>
        <w:rPr>
          <w:rFonts w:ascii="Times New Roman" w:hAnsi="Times New Roman"/>
          <w:b w:val="0"/>
          <w:i w:val="0"/>
          <w:sz w:val="24"/>
        </w:rPr>
        <w:t>The selected source is a compact six-country dataset covering 2000-2015; therefore the analysis demonstrates visualization methods rather than providing a complete global health assessment. GDP values are nominal totals in the source data and should not be interpreted as per-capita wealth. The dashboard does not establish causal mechanisms and should not be used alone for policy decisions.</w:t>
      </w:r>
    </w:p>
    <w:p>
      <w:pPr>
        <w:pStyle w:val="Heading3"/>
        <w:spacing w:before="160" w:after="100"/>
      </w:pPr>
      <w:r>
        <w:rPr>
          <w:rFonts w:ascii="Times New Roman" w:hAnsi="Times New Roman"/>
          <w:b/>
          <w:sz w:val="24"/>
        </w:rPr>
        <w:t>3.3 Assumptions</w:t>
      </w:r>
    </w:p>
    <w:p>
      <w:pPr>
        <w:spacing w:after="60"/>
        <w:ind w:left="360" w:hanging="216"/>
        <w:jc w:val="both"/>
      </w:pPr>
      <w:r>
        <w:rPr>
          <w:rFonts w:ascii="Times New Roman" w:hAnsi="Times New Roman"/>
          <w:sz w:val="24"/>
        </w:rPr>
        <w:t>● Each country-year row represents a valid observation in the source dataset.</w:t>
      </w:r>
    </w:p>
    <w:p>
      <w:pPr>
        <w:spacing w:after="60"/>
        <w:ind w:left="360" w:hanging="216"/>
        <w:jc w:val="both"/>
      </w:pPr>
      <w:r>
        <w:rPr>
          <w:rFonts w:ascii="Times New Roman" w:hAnsi="Times New Roman"/>
          <w:sz w:val="24"/>
        </w:rPr>
        <w:t>● Life expectancy is measured in years and GDP is treated as a quantitative magnitude.</w:t>
      </w:r>
    </w:p>
    <w:p>
      <w:pPr>
        <w:spacing w:after="60"/>
        <w:ind w:left="360" w:hanging="216"/>
        <w:jc w:val="both"/>
      </w:pPr>
      <w:r>
        <w:rPr>
          <w:rFonts w:ascii="Times New Roman" w:hAnsi="Times New Roman"/>
          <w:sz w:val="24"/>
        </w:rPr>
        <w:t>● The six-country sample is considered sufficient for demonstrating comparative visualization design.</w:t>
      </w:r>
    </w:p>
    <w:p>
      <w:pPr>
        <w:spacing w:after="60"/>
        <w:ind w:left="360" w:hanging="216"/>
        <w:jc w:val="both"/>
      </w:pPr>
      <w:r>
        <w:rPr>
          <w:rFonts w:ascii="Times New Roman" w:hAnsi="Times New Roman"/>
          <w:sz w:val="24"/>
        </w:rPr>
        <w:t>● Category thresholds used in the proportion chart are descriptive bins: Low &lt; 60 years, Medium 60-75 years, High &gt; 75 years.</w:t>
      </w:r>
    </w:p>
    <w:p>
      <w:pPr>
        <w:spacing w:after="60"/>
        <w:ind w:left="360" w:hanging="216"/>
        <w:jc w:val="both"/>
      </w:pPr>
      <w:r>
        <w:rPr>
          <w:rFonts w:ascii="Times New Roman" w:hAnsi="Times New Roman"/>
          <w:sz w:val="24"/>
        </w:rPr>
        <w:t>● The dashboard is designed for screening and communication, while deeper statistical modeling would be a separate analysis task.</w:t>
      </w:r>
    </w:p>
    <w:p>
      <w:pPr>
        <w:pStyle w:val="Heading2"/>
        <w:spacing w:before="200" w:after="120"/>
      </w:pPr>
      <w:r>
        <w:rPr>
          <w:rFonts w:ascii="Times New Roman" w:hAnsi="Times New Roman"/>
          <w:b/>
          <w:sz w:val="24"/>
        </w:rPr>
        <w:t>4. Application of Relevant Course Knowledge / Concepts</w:t>
      </w:r>
    </w:p>
    <w:p>
      <w:pPr>
        <w:spacing w:after="160" w:line="252" w:lineRule="auto"/>
        <w:jc w:val="both"/>
      </w:pPr>
      <w:r>
        <w:rPr>
          <w:rFonts w:ascii="Times New Roman" w:hAnsi="Times New Roman"/>
          <w:b w:val="0"/>
          <w:i w:val="0"/>
          <w:sz w:val="24"/>
        </w:rPr>
        <w:t>The project applies the major visualization concepts required by the assignment.</w:t>
      </w:r>
    </w:p>
    <w:p>
      <w:pPr>
        <w:pStyle w:val="Heading3"/>
        <w:spacing w:before="160" w:after="100"/>
      </w:pPr>
      <w:r>
        <w:rPr>
          <w:rFonts w:ascii="Times New Roman" w:hAnsi="Times New Roman"/>
          <w:b/>
          <w:sz w:val="24"/>
        </w:rPr>
        <w:t>Distribution</w:t>
      </w:r>
    </w:p>
    <w:p>
      <w:pPr>
        <w:spacing w:after="160" w:line="252" w:lineRule="auto"/>
        <w:jc w:val="both"/>
      </w:pPr>
      <w:r>
        <w:rPr>
          <w:rFonts w:ascii="Times New Roman" w:hAnsi="Times New Roman"/>
          <w:b w:val="0"/>
          <w:i w:val="0"/>
          <w:sz w:val="24"/>
        </w:rPr>
        <w:t>Histogram shows the frequency shape of life expectancy; box plot shows median, quartiles, spread, and potential outliers across countries.</w:t>
      </w:r>
    </w:p>
    <w:p>
      <w:pPr>
        <w:pStyle w:val="Heading3"/>
        <w:spacing w:before="160" w:after="100"/>
      </w:pPr>
      <w:r>
        <w:rPr>
          <w:rFonts w:ascii="Times New Roman" w:hAnsi="Times New Roman"/>
          <w:b/>
          <w:sz w:val="24"/>
        </w:rPr>
        <w:t>Proportion</w:t>
      </w:r>
    </w:p>
    <w:p>
      <w:pPr>
        <w:spacing w:after="160" w:line="252" w:lineRule="auto"/>
        <w:jc w:val="both"/>
      </w:pPr>
      <w:r>
        <w:rPr>
          <w:rFonts w:ascii="Times New Roman" w:hAnsi="Times New Roman"/>
          <w:b w:val="0"/>
          <w:i w:val="0"/>
          <w:sz w:val="24"/>
        </w:rPr>
        <w:t>Donut chart summarizes the share of country-year observations in three descriptive life-expectancy categories.</w:t>
      </w:r>
    </w:p>
    <w:p>
      <w:pPr>
        <w:pStyle w:val="Heading3"/>
        <w:spacing w:before="160" w:after="100"/>
      </w:pPr>
      <w:r>
        <w:rPr>
          <w:rFonts w:ascii="Times New Roman" w:hAnsi="Times New Roman"/>
          <w:b/>
          <w:sz w:val="24"/>
        </w:rPr>
        <w:t>Comparison</w:t>
      </w:r>
    </w:p>
    <w:p>
      <w:pPr>
        <w:spacing w:after="160" w:line="252" w:lineRule="auto"/>
        <w:jc w:val="both"/>
      </w:pPr>
      <w:r>
        <w:rPr>
          <w:rFonts w:ascii="Times New Roman" w:hAnsi="Times New Roman"/>
          <w:b w:val="0"/>
          <w:i w:val="0"/>
          <w:sz w:val="24"/>
        </w:rPr>
        <w:t>Sorted horizontal/vertical bars support accurate comparison of country means through a common baseline.</w:t>
      </w:r>
    </w:p>
    <w:p>
      <w:pPr>
        <w:pStyle w:val="Heading3"/>
        <w:spacing w:before="160" w:after="100"/>
      </w:pPr>
      <w:r>
        <w:rPr>
          <w:rFonts w:ascii="Times New Roman" w:hAnsi="Times New Roman"/>
          <w:b/>
          <w:sz w:val="24"/>
        </w:rPr>
        <w:t>Relationship</w:t>
      </w:r>
    </w:p>
    <w:p>
      <w:pPr>
        <w:spacing w:after="160" w:line="252" w:lineRule="auto"/>
        <w:jc w:val="both"/>
      </w:pPr>
      <w:r>
        <w:rPr>
          <w:rFonts w:ascii="Times New Roman" w:hAnsi="Times New Roman"/>
          <w:b w:val="0"/>
          <w:i w:val="0"/>
          <w:sz w:val="24"/>
        </w:rPr>
        <w:t>Scatter plot uses position as the main quantitative encoding and country as a grouping variable; bubble size can be tied to year in the interactive version.</w:t>
      </w:r>
    </w:p>
    <w:p>
      <w:pPr>
        <w:pStyle w:val="Heading3"/>
        <w:spacing w:before="160" w:after="100"/>
      </w:pPr>
      <w:r>
        <w:rPr>
          <w:rFonts w:ascii="Times New Roman" w:hAnsi="Times New Roman"/>
          <w:b/>
          <w:sz w:val="24"/>
        </w:rPr>
        <w:t>Multivariate analysis</w:t>
      </w:r>
    </w:p>
    <w:p>
      <w:pPr>
        <w:spacing w:after="160" w:line="252" w:lineRule="auto"/>
        <w:jc w:val="both"/>
      </w:pPr>
      <w:r>
        <w:rPr>
          <w:rFonts w:ascii="Times New Roman" w:hAnsi="Times New Roman"/>
          <w:b w:val="0"/>
          <w:i w:val="0"/>
          <w:sz w:val="24"/>
        </w:rPr>
        <w:t>Correlation heatmap summarizes pairwise linear relationships among life expectancy, GDP, log GDP, and year.</w:t>
      </w:r>
    </w:p>
    <w:p>
      <w:pPr>
        <w:pStyle w:val="Heading3"/>
        <w:spacing w:before="160" w:after="100"/>
      </w:pPr>
      <w:r>
        <w:rPr>
          <w:rFonts w:ascii="Times New Roman" w:hAnsi="Times New Roman"/>
          <w:b/>
          <w:sz w:val="24"/>
        </w:rPr>
        <w:t>Temporal analysis</w:t>
      </w:r>
    </w:p>
    <w:p>
      <w:pPr>
        <w:spacing w:after="160" w:line="252" w:lineRule="auto"/>
        <w:jc w:val="both"/>
      </w:pPr>
      <w:r>
        <w:rPr>
          <w:rFonts w:ascii="Times New Roman" w:hAnsi="Times New Roman"/>
          <w:b w:val="0"/>
          <w:i w:val="0"/>
          <w:sz w:val="24"/>
        </w:rPr>
        <w:t>Line charts connect observations across years to make within-country change and cross-country divergence visible.</w:t>
      </w:r>
    </w:p>
    <w:p>
      <w:pPr>
        <w:pStyle w:val="Heading3"/>
        <w:spacing w:before="160" w:after="100"/>
      </w:pPr>
      <w:r>
        <w:rPr>
          <w:rFonts w:ascii="Times New Roman" w:hAnsi="Times New Roman"/>
          <w:b/>
          <w:sz w:val="24"/>
        </w:rPr>
        <w:t>Perception and cognition</w:t>
      </w:r>
    </w:p>
    <w:p>
      <w:pPr>
        <w:spacing w:after="160" w:line="252" w:lineRule="auto"/>
        <w:jc w:val="both"/>
      </w:pPr>
      <w:r>
        <w:rPr>
          <w:rFonts w:ascii="Times New Roman" w:hAnsi="Times New Roman"/>
          <w:b w:val="0"/>
          <w:i w:val="0"/>
          <w:sz w:val="24"/>
        </w:rPr>
        <w:t>Color, position, size, proximity, similarity, enclosure, and direct labeling are used to guide attention and reduce unnecessary visual search.</w:t>
      </w:r>
    </w:p>
    <w:p>
      <w:pPr>
        <w:pStyle w:val="Heading2"/>
        <w:spacing w:before="200" w:after="120"/>
      </w:pPr>
      <w:r>
        <w:rPr>
          <w:rFonts w:ascii="Times New Roman" w:hAnsi="Times New Roman"/>
          <w:b/>
          <w:sz w:val="24"/>
        </w:rPr>
        <w:t>5. Design / Proposed Solution / Methodology</w:t>
      </w:r>
    </w:p>
    <w:p>
      <w:pPr>
        <w:pStyle w:val="Heading3"/>
        <w:spacing w:before="160" w:after="100"/>
      </w:pPr>
      <w:r>
        <w:rPr>
          <w:rFonts w:ascii="Times New Roman" w:hAnsi="Times New Roman"/>
          <w:b/>
          <w:sz w:val="24"/>
        </w:rPr>
        <w:t>5.1 Proposed Solution</w:t>
      </w:r>
    </w:p>
    <w:p>
      <w:pPr>
        <w:spacing w:after="160" w:line="252" w:lineRule="auto"/>
        <w:jc w:val="both"/>
      </w:pPr>
      <w:r>
        <w:rPr>
          <w:rFonts w:ascii="Times New Roman" w:hAnsi="Times New Roman"/>
          <w:b w:val="0"/>
          <w:i w:val="0"/>
          <w:sz w:val="24"/>
        </w:rPr>
        <w:t>A multi-view dashboard is proposed using Python, pandas, Matplotlib, and Plotly. The static report figures use Matplotlib for reproducibility, while the interactive dashboard is implemented as a Plotly HTML artifact. The layout follows an overview-to-detail sequence: KPI summary → distribution/proportion → comparison/relationship → trend/correlation. A country selector can be used to emphasize one country while preserving the common frame of reference.</w:t>
      </w:r>
    </w:p>
    <w:p>
      <w:pPr>
        <w:pStyle w:val="Heading3"/>
        <w:spacing w:before="160" w:after="100"/>
      </w:pPr>
      <w:r>
        <w:rPr>
          <w:rFonts w:ascii="Times New Roman" w:hAnsi="Times New Roman"/>
          <w:b/>
          <w:sz w:val="24"/>
        </w:rPr>
        <w:t>5.2 Methodology</w:t>
      </w:r>
    </w:p>
    <w:p>
      <w:pPr>
        <w:spacing w:after="160" w:line="252" w:lineRule="auto"/>
        <w:jc w:val="both"/>
      </w:pPr>
      <w:r>
        <w:rPr>
          <w:rFonts w:ascii="Times New Roman" w:hAnsi="Times New Roman"/>
          <w:b w:val="0"/>
          <w:i w:val="0"/>
          <w:sz w:val="24"/>
        </w:rPr>
        <w:t>1. Acquire the WHO/World Bank-derived six-country dataset from the referenced public repository.</w:t>
      </w:r>
    </w:p>
    <w:p>
      <w:pPr>
        <w:spacing w:after="160" w:line="252" w:lineRule="auto"/>
        <w:jc w:val="both"/>
      </w:pPr>
      <w:r>
        <w:rPr>
          <w:rFonts w:ascii="Times New Roman" w:hAnsi="Times New Roman"/>
          <w:b w:val="0"/>
          <w:i w:val="0"/>
          <w:sz w:val="24"/>
        </w:rPr>
        <w:t>2. Validate column names, data types, year range, duplicate rows, and missing values.</w:t>
      </w:r>
    </w:p>
    <w:p>
      <w:pPr>
        <w:spacing w:after="160" w:line="252" w:lineRule="auto"/>
        <w:jc w:val="both"/>
      </w:pPr>
      <w:r>
        <w:rPr>
          <w:rFonts w:ascii="Times New Roman" w:hAnsi="Times New Roman"/>
          <w:b w:val="0"/>
          <w:i w:val="0"/>
          <w:sz w:val="24"/>
        </w:rPr>
        <w:t>3. Create a log10(GDP) feature because GDP spans several orders of magnitude.</w:t>
      </w:r>
    </w:p>
    <w:p>
      <w:pPr>
        <w:spacing w:after="160" w:line="252" w:lineRule="auto"/>
        <w:jc w:val="both"/>
      </w:pPr>
      <w:r>
        <w:rPr>
          <w:rFonts w:ascii="Times New Roman" w:hAnsi="Times New Roman"/>
          <w:b w:val="0"/>
          <w:i w:val="0"/>
          <w:sz w:val="24"/>
        </w:rPr>
        <w:t>4. Create descriptive life-expectancy categories for the proportion view.</w:t>
      </w:r>
    </w:p>
    <w:p>
      <w:pPr>
        <w:spacing w:after="160" w:line="252" w:lineRule="auto"/>
        <w:jc w:val="both"/>
      </w:pPr>
      <w:r>
        <w:rPr>
          <w:rFonts w:ascii="Times New Roman" w:hAnsi="Times New Roman"/>
          <w:b w:val="0"/>
          <w:i w:val="0"/>
          <w:sz w:val="24"/>
        </w:rPr>
        <w:t>5. Calculate country-level means, start/end changes, and overall correlations.</w:t>
      </w:r>
    </w:p>
    <w:p>
      <w:pPr>
        <w:spacing w:after="160" w:line="252" w:lineRule="auto"/>
        <w:jc w:val="both"/>
      </w:pPr>
      <w:r>
        <w:rPr>
          <w:rFonts w:ascii="Times New Roman" w:hAnsi="Times New Roman"/>
          <w:b w:val="0"/>
          <w:i w:val="0"/>
          <w:sz w:val="24"/>
        </w:rPr>
        <w:t>6. Construct the required visualizations with consistent titles, labels, and restrained decoration.</w:t>
      </w:r>
    </w:p>
    <w:p>
      <w:pPr>
        <w:spacing w:after="160" w:line="252" w:lineRule="auto"/>
        <w:jc w:val="both"/>
      </w:pPr>
      <w:r>
        <w:rPr>
          <w:rFonts w:ascii="Times New Roman" w:hAnsi="Times New Roman"/>
          <w:b w:val="0"/>
          <w:i w:val="0"/>
          <w:sz w:val="24"/>
        </w:rPr>
        <w:t>7. Build the interactive multi-view dashboard and define the analytical question for every view.</w:t>
      </w:r>
    </w:p>
    <w:p>
      <w:pPr>
        <w:spacing w:after="160" w:line="252" w:lineRule="auto"/>
        <w:jc w:val="both"/>
      </w:pPr>
      <w:r>
        <w:rPr>
          <w:rFonts w:ascii="Times New Roman" w:hAnsi="Times New Roman"/>
          <w:b w:val="0"/>
          <w:i w:val="0"/>
          <w:sz w:val="24"/>
        </w:rPr>
        <w:t>8. Evaluate each visual using pre-attentive, Gestalt, data-ink, and color-theory criteria.</w:t>
      </w:r>
    </w:p>
    <w:p>
      <w:pPr>
        <w:spacing w:after="160" w:line="252" w:lineRule="auto"/>
        <w:jc w:val="both"/>
      </w:pPr>
      <w:r>
        <w:rPr>
          <w:rFonts w:ascii="Times New Roman" w:hAnsi="Times New Roman"/>
          <w:b w:val="0"/>
          <w:i w:val="0"/>
          <w:sz w:val="24"/>
        </w:rPr>
        <w:t>9. Compare three alternative designs for the proportion insight and select the strongest design.</w:t>
      </w:r>
    </w:p>
    <w:p>
      <w:pPr>
        <w:pStyle w:val="Heading3"/>
        <w:spacing w:before="160" w:after="100"/>
      </w:pPr>
      <w:r>
        <w:rPr>
          <w:rFonts w:ascii="Times New Roman" w:hAnsi="Times New Roman"/>
          <w:b/>
          <w:sz w:val="24"/>
        </w:rPr>
        <w:t>5.3 System Flow</w:t>
      </w:r>
    </w:p>
    <w:p>
      <w:pPr>
        <w:spacing w:after="160" w:line="252" w:lineRule="auto"/>
        <w:jc w:val="both"/>
      </w:pPr>
      <w:r>
        <w:rPr>
          <w:rFonts w:ascii="Times New Roman" w:hAnsi="Times New Roman"/>
          <w:b/>
          <w:i w:val="0"/>
          <w:sz w:val="24"/>
        </w:rPr>
        <w:t>Dataset → Cleaning → Feature Engineering → Summary Metrics → Distribution Views → Proportion Views → Relationship Views → Trend Views → Interactive Dashboard → Perceptual Evaluation → Ranked Final Design</w:t>
      </w:r>
    </w:p>
    <w:p>
      <w:pPr>
        <w:pStyle w:val="Heading3"/>
        <w:spacing w:before="160" w:after="100"/>
      </w:pPr>
      <w:r>
        <w:rPr>
          <w:rFonts w:ascii="Times New Roman" w:hAnsi="Times New Roman"/>
          <w:b/>
          <w:sz w:val="24"/>
        </w:rPr>
        <w:t>5.4 Dataset and Variable Summary</w:t>
      </w:r>
    </w:p>
    <w:tbl>
      <w:tblPr>
        <w:tblW w:type="auto" w:w="0"/>
        <w:jc w:val="center"/>
        <w:tblLook w:firstColumn="1" w:firstRow="1" w:lastColumn="0" w:lastRow="0" w:noHBand="0" w:noVBand="1" w:val="04A0"/>
      </w:tblPr>
      <w:tblGrid>
        <w:gridCol w:w="3120"/>
        <w:gridCol w:w="3120"/>
        <w:gridCol w:w="3120"/>
      </w:tblGrid>
      <w:tr>
        <w:tc>
          <w:tcPr>
            <w:tcW w:type="dxa" w:w="3120"/>
            <w:vAlign w:val="center"/>
          </w:tcPr>
          <w:p>
            <w:pPr>
              <w:jc w:val="center"/>
            </w:pPr>
            <w:r>
              <w:rPr>
                <w:rFonts w:ascii="Times New Roman" w:hAnsi="Times New Roman"/>
                <w:b/>
                <w:sz w:val="20"/>
              </w:rPr>
              <w:t>Variable</w:t>
            </w:r>
          </w:p>
        </w:tc>
        <w:tc>
          <w:tcPr>
            <w:tcW w:type="dxa" w:w="3120"/>
            <w:vAlign w:val="center"/>
          </w:tcPr>
          <w:p>
            <w:pPr>
              <w:jc w:val="center"/>
            </w:pPr>
            <w:r>
              <w:rPr>
                <w:rFonts w:ascii="Times New Roman" w:hAnsi="Times New Roman"/>
                <w:b/>
                <w:sz w:val="20"/>
              </w:rPr>
              <w:t>Type</w:t>
            </w:r>
          </w:p>
        </w:tc>
        <w:tc>
          <w:tcPr>
            <w:tcW w:type="dxa" w:w="3120"/>
            <w:vAlign w:val="center"/>
          </w:tcPr>
          <w:p>
            <w:pPr>
              <w:jc w:val="center"/>
            </w:pPr>
            <w:r>
              <w:rPr>
                <w:rFonts w:ascii="Times New Roman" w:hAnsi="Times New Roman"/>
                <w:b/>
                <w:sz w:val="20"/>
              </w:rPr>
              <w:t>Use in Dashboard</w:t>
            </w:r>
          </w:p>
        </w:tc>
      </w:tr>
      <w:tr>
        <w:tc>
          <w:tcPr>
            <w:tcW w:type="dxa" w:w="3120"/>
            <w:vAlign w:val="center"/>
          </w:tcPr>
          <w:p>
            <w:r>
              <w:rPr>
                <w:rFonts w:ascii="Times New Roman" w:hAnsi="Times New Roman"/>
                <w:sz w:val="20"/>
              </w:rPr>
              <w:t>Country</w:t>
            </w:r>
          </w:p>
        </w:tc>
        <w:tc>
          <w:tcPr>
            <w:tcW w:type="dxa" w:w="3120"/>
            <w:vAlign w:val="center"/>
          </w:tcPr>
          <w:p>
            <w:r>
              <w:rPr>
                <w:rFonts w:ascii="Times New Roman" w:hAnsi="Times New Roman"/>
                <w:sz w:val="20"/>
              </w:rPr>
              <w:t>Categorical</w:t>
            </w:r>
          </w:p>
        </w:tc>
        <w:tc>
          <w:tcPr>
            <w:tcW w:type="dxa" w:w="3120"/>
            <w:vAlign w:val="center"/>
          </w:tcPr>
          <w:p>
            <w:r>
              <w:rPr>
                <w:rFonts w:ascii="Times New Roman" w:hAnsi="Times New Roman"/>
                <w:sz w:val="20"/>
              </w:rPr>
              <w:t>Grouping, color/selection, comparison</w:t>
            </w:r>
          </w:p>
        </w:tc>
      </w:tr>
      <w:tr>
        <w:tc>
          <w:tcPr>
            <w:tcW w:type="dxa" w:w="3120"/>
            <w:vAlign w:val="center"/>
          </w:tcPr>
          <w:p>
            <w:r>
              <w:rPr>
                <w:rFonts w:ascii="Times New Roman" w:hAnsi="Times New Roman"/>
                <w:sz w:val="20"/>
              </w:rPr>
              <w:t>Year</w:t>
            </w:r>
          </w:p>
        </w:tc>
        <w:tc>
          <w:tcPr>
            <w:tcW w:type="dxa" w:w="3120"/>
            <w:vAlign w:val="center"/>
          </w:tcPr>
          <w:p>
            <w:r>
              <w:rPr>
                <w:rFonts w:ascii="Times New Roman" w:hAnsi="Times New Roman"/>
                <w:sz w:val="20"/>
              </w:rPr>
              <w:t>Temporal / discrete</w:t>
            </w:r>
          </w:p>
        </w:tc>
        <w:tc>
          <w:tcPr>
            <w:tcW w:type="dxa" w:w="3120"/>
            <w:vAlign w:val="center"/>
          </w:tcPr>
          <w:p>
            <w:r>
              <w:rPr>
                <w:rFonts w:ascii="Times New Roman" w:hAnsi="Times New Roman"/>
                <w:sz w:val="20"/>
              </w:rPr>
              <w:t>Line-chart x-axis, size emphasis in scatter</w:t>
            </w:r>
          </w:p>
        </w:tc>
      </w:tr>
      <w:tr>
        <w:tc>
          <w:tcPr>
            <w:tcW w:type="dxa" w:w="3120"/>
            <w:vAlign w:val="center"/>
          </w:tcPr>
          <w:p>
            <w:r>
              <w:rPr>
                <w:rFonts w:ascii="Times New Roman" w:hAnsi="Times New Roman"/>
                <w:sz w:val="20"/>
              </w:rPr>
              <w:t>Life expectancy at birth (years)</w:t>
            </w:r>
          </w:p>
        </w:tc>
        <w:tc>
          <w:tcPr>
            <w:tcW w:type="dxa" w:w="3120"/>
            <w:vAlign w:val="center"/>
          </w:tcPr>
          <w:p>
            <w:r>
              <w:rPr>
                <w:rFonts w:ascii="Times New Roman" w:hAnsi="Times New Roman"/>
                <w:sz w:val="20"/>
              </w:rPr>
              <w:t>Continuous</w:t>
            </w:r>
          </w:p>
        </w:tc>
        <w:tc>
          <w:tcPr>
            <w:tcW w:type="dxa" w:w="3120"/>
            <w:vAlign w:val="center"/>
          </w:tcPr>
          <w:p>
            <w:r>
              <w:rPr>
                <w:rFonts w:ascii="Times New Roman" w:hAnsi="Times New Roman"/>
                <w:sz w:val="20"/>
              </w:rPr>
              <w:t>Histogram, box plot, bar, line, scatter, heatmap</w:t>
            </w:r>
          </w:p>
        </w:tc>
      </w:tr>
      <w:tr>
        <w:tc>
          <w:tcPr>
            <w:tcW w:type="dxa" w:w="3120"/>
            <w:vAlign w:val="center"/>
          </w:tcPr>
          <w:p>
            <w:r>
              <w:rPr>
                <w:rFonts w:ascii="Times New Roman" w:hAnsi="Times New Roman"/>
                <w:sz w:val="20"/>
              </w:rPr>
              <w:t>GDP</w:t>
            </w:r>
          </w:p>
        </w:tc>
        <w:tc>
          <w:tcPr>
            <w:tcW w:type="dxa" w:w="3120"/>
            <w:vAlign w:val="center"/>
          </w:tcPr>
          <w:p>
            <w:r>
              <w:rPr>
                <w:rFonts w:ascii="Times New Roman" w:hAnsi="Times New Roman"/>
                <w:sz w:val="20"/>
              </w:rPr>
              <w:t>Continuous</w:t>
            </w:r>
          </w:p>
        </w:tc>
        <w:tc>
          <w:tcPr>
            <w:tcW w:type="dxa" w:w="3120"/>
            <w:vAlign w:val="center"/>
          </w:tcPr>
          <w:p>
            <w:r>
              <w:rPr>
                <w:rFonts w:ascii="Times New Roman" w:hAnsi="Times New Roman"/>
                <w:sz w:val="20"/>
              </w:rPr>
              <w:t>Scatter plot, comparison, correlation</w:t>
            </w:r>
          </w:p>
        </w:tc>
      </w:tr>
      <w:tr>
        <w:tc>
          <w:tcPr>
            <w:tcW w:type="dxa" w:w="3120"/>
            <w:vAlign w:val="center"/>
          </w:tcPr>
          <w:p>
            <w:r>
              <w:rPr>
                <w:rFonts w:ascii="Times New Roman" w:hAnsi="Times New Roman"/>
                <w:sz w:val="20"/>
              </w:rPr>
              <w:t>log10(GDP)</w:t>
            </w:r>
          </w:p>
        </w:tc>
        <w:tc>
          <w:tcPr>
            <w:tcW w:type="dxa" w:w="3120"/>
            <w:vAlign w:val="center"/>
          </w:tcPr>
          <w:p>
            <w:r>
              <w:rPr>
                <w:rFonts w:ascii="Times New Roman" w:hAnsi="Times New Roman"/>
                <w:sz w:val="20"/>
              </w:rPr>
              <w:t>Continuous derived</w:t>
            </w:r>
          </w:p>
        </w:tc>
        <w:tc>
          <w:tcPr>
            <w:tcW w:type="dxa" w:w="3120"/>
            <w:vAlign w:val="center"/>
          </w:tcPr>
          <w:p>
            <w:r>
              <w:rPr>
                <w:rFonts w:ascii="Times New Roman" w:hAnsi="Times New Roman"/>
                <w:sz w:val="20"/>
              </w:rPr>
              <w:t>Scatter x-axis to compress scale and improve readability</w:t>
            </w:r>
          </w:p>
        </w:tc>
      </w:tr>
      <w:tr>
        <w:tc>
          <w:tcPr>
            <w:tcW w:type="dxa" w:w="3120"/>
            <w:vAlign w:val="center"/>
          </w:tcPr>
          <w:p>
            <w:r>
              <w:rPr>
                <w:rFonts w:ascii="Times New Roman" w:hAnsi="Times New Roman"/>
                <w:sz w:val="20"/>
              </w:rPr>
              <w:t>Life expectancy category</w:t>
            </w:r>
          </w:p>
        </w:tc>
        <w:tc>
          <w:tcPr>
            <w:tcW w:type="dxa" w:w="3120"/>
            <w:vAlign w:val="center"/>
          </w:tcPr>
          <w:p>
            <w:r>
              <w:rPr>
                <w:rFonts w:ascii="Times New Roman" w:hAnsi="Times New Roman"/>
                <w:sz w:val="20"/>
              </w:rPr>
              <w:t>Categorical derived</w:t>
            </w:r>
          </w:p>
        </w:tc>
        <w:tc>
          <w:tcPr>
            <w:tcW w:type="dxa" w:w="3120"/>
            <w:vAlign w:val="center"/>
          </w:tcPr>
          <w:p>
            <w:r>
              <w:rPr>
                <w:rFonts w:ascii="Times New Roman" w:hAnsi="Times New Roman"/>
                <w:sz w:val="20"/>
              </w:rPr>
              <w:t>Donut proportion chart</w:t>
            </w:r>
          </w:p>
        </w:tc>
      </w:tr>
    </w:tbl>
    <w:p>
      <w:pPr>
        <w:pStyle w:val="Heading2"/>
        <w:spacing w:before="200" w:after="120"/>
      </w:pPr>
      <w:r>
        <w:rPr>
          <w:rFonts w:ascii="Times New Roman" w:hAnsi="Times New Roman"/>
          <w:b/>
          <w:sz w:val="24"/>
        </w:rPr>
        <w:t>6. Algorithm / Pseudocode / Flowchart</w:t>
      </w:r>
    </w:p>
    <w:p>
      <w:pPr>
        <w:pStyle w:val="Heading3"/>
        <w:spacing w:before="160" w:after="100"/>
      </w:pPr>
      <w:r>
        <w:rPr>
          <w:rFonts w:ascii="Times New Roman" w:hAnsi="Times New Roman"/>
          <w:b/>
          <w:sz w:val="24"/>
        </w:rPr>
        <w:t>6.1 Algorithm</w:t>
      </w:r>
    </w:p>
    <w:p>
      <w:pPr>
        <w:spacing w:after="160" w:line="252" w:lineRule="auto"/>
        <w:jc w:val="both"/>
      </w:pPr>
      <w:r>
        <w:rPr>
          <w:rFonts w:ascii="Times New Roman" w:hAnsi="Times New Roman"/>
          <w:b w:val="0"/>
          <w:i w:val="0"/>
          <w:sz w:val="24"/>
        </w:rPr>
        <w:t>1. Start.</w:t>
      </w:r>
    </w:p>
    <w:p>
      <w:pPr>
        <w:spacing w:after="160" w:line="252" w:lineRule="auto"/>
        <w:jc w:val="both"/>
      </w:pPr>
      <w:r>
        <w:rPr>
          <w:rFonts w:ascii="Times New Roman" w:hAnsi="Times New Roman"/>
          <w:b w:val="0"/>
          <w:i w:val="0"/>
          <w:sz w:val="24"/>
        </w:rPr>
        <w:t>2. Read the public-health CSV dataset.</w:t>
      </w:r>
    </w:p>
    <w:p>
      <w:pPr>
        <w:spacing w:after="160" w:line="252" w:lineRule="auto"/>
        <w:jc w:val="both"/>
      </w:pPr>
      <w:r>
        <w:rPr>
          <w:rFonts w:ascii="Times New Roman" w:hAnsi="Times New Roman"/>
          <w:b w:val="0"/>
          <w:i w:val="0"/>
          <w:sz w:val="24"/>
        </w:rPr>
        <w:t>3. Validate required fields and data types.</w:t>
      </w:r>
    </w:p>
    <w:p>
      <w:pPr>
        <w:spacing w:after="160" w:line="252" w:lineRule="auto"/>
        <w:jc w:val="both"/>
      </w:pPr>
      <w:r>
        <w:rPr>
          <w:rFonts w:ascii="Times New Roman" w:hAnsi="Times New Roman"/>
          <w:b w:val="0"/>
          <w:i w:val="0"/>
          <w:sz w:val="24"/>
        </w:rPr>
        <w:t>4. Remove or flag invalid rows; preserve valid observations.</w:t>
      </w:r>
    </w:p>
    <w:p>
      <w:pPr>
        <w:spacing w:after="160" w:line="252" w:lineRule="auto"/>
        <w:jc w:val="both"/>
      </w:pPr>
      <w:r>
        <w:rPr>
          <w:rFonts w:ascii="Times New Roman" w:hAnsi="Times New Roman"/>
          <w:b w:val="0"/>
          <w:i w:val="0"/>
          <w:sz w:val="24"/>
        </w:rPr>
        <w:t>5. Create log10(GDP) and life-expectancy category features.</w:t>
      </w:r>
    </w:p>
    <w:p>
      <w:pPr>
        <w:spacing w:after="160" w:line="252" w:lineRule="auto"/>
        <w:jc w:val="both"/>
      </w:pPr>
      <w:r>
        <w:rPr>
          <w:rFonts w:ascii="Times New Roman" w:hAnsi="Times New Roman"/>
          <w:b w:val="0"/>
          <w:i w:val="0"/>
          <w:sz w:val="24"/>
        </w:rPr>
        <w:t>6. Compute country summaries and correlation matrix.</w:t>
      </w:r>
    </w:p>
    <w:p>
      <w:pPr>
        <w:spacing w:after="160" w:line="252" w:lineRule="auto"/>
        <w:jc w:val="both"/>
      </w:pPr>
      <w:r>
        <w:rPr>
          <w:rFonts w:ascii="Times New Roman" w:hAnsi="Times New Roman"/>
          <w:b w:val="0"/>
          <w:i w:val="0"/>
          <w:sz w:val="24"/>
        </w:rPr>
        <w:t>7. Generate histogram and box plot for distributions.</w:t>
      </w:r>
    </w:p>
    <w:p>
      <w:pPr>
        <w:spacing w:after="160" w:line="252" w:lineRule="auto"/>
        <w:jc w:val="both"/>
      </w:pPr>
      <w:r>
        <w:rPr>
          <w:rFonts w:ascii="Times New Roman" w:hAnsi="Times New Roman"/>
          <w:b w:val="0"/>
          <w:i w:val="0"/>
          <w:sz w:val="24"/>
        </w:rPr>
        <w:t>8. Generate donut and bar chart for proportions and comparisons.</w:t>
      </w:r>
    </w:p>
    <w:p>
      <w:pPr>
        <w:spacing w:after="160" w:line="252" w:lineRule="auto"/>
        <w:jc w:val="both"/>
      </w:pPr>
      <w:r>
        <w:rPr>
          <w:rFonts w:ascii="Times New Roman" w:hAnsi="Times New Roman"/>
          <w:b w:val="0"/>
          <w:i w:val="0"/>
          <w:sz w:val="24"/>
        </w:rPr>
        <w:t>9. Generate scatter plot and heatmap for relationships.</w:t>
      </w:r>
    </w:p>
    <w:p>
      <w:pPr>
        <w:spacing w:after="160" w:line="252" w:lineRule="auto"/>
        <w:jc w:val="both"/>
      </w:pPr>
      <w:r>
        <w:rPr>
          <w:rFonts w:ascii="Times New Roman" w:hAnsi="Times New Roman"/>
          <w:b w:val="0"/>
          <w:i w:val="0"/>
          <w:sz w:val="24"/>
        </w:rPr>
        <w:t>10. Generate line chart for temporal trends.</w:t>
      </w:r>
    </w:p>
    <w:p>
      <w:pPr>
        <w:spacing w:after="160" w:line="252" w:lineRule="auto"/>
        <w:jc w:val="both"/>
      </w:pPr>
      <w:r>
        <w:rPr>
          <w:rFonts w:ascii="Times New Roman" w:hAnsi="Times New Roman"/>
          <w:b w:val="0"/>
          <w:i w:val="0"/>
          <w:sz w:val="24"/>
        </w:rPr>
        <w:t>11. Assemble the visualizations into a multi-view interactive dashboard.</w:t>
      </w:r>
    </w:p>
    <w:p>
      <w:pPr>
        <w:spacing w:after="160" w:line="252" w:lineRule="auto"/>
        <w:jc w:val="both"/>
      </w:pPr>
      <w:r>
        <w:rPr>
          <w:rFonts w:ascii="Times New Roman" w:hAnsi="Times New Roman"/>
          <w:b w:val="0"/>
          <w:i w:val="0"/>
          <w:sz w:val="24"/>
        </w:rPr>
        <w:t>12. Evaluate each view using perception and cognition criteria.</w:t>
      </w:r>
    </w:p>
    <w:p>
      <w:pPr>
        <w:spacing w:after="160" w:line="252" w:lineRule="auto"/>
        <w:jc w:val="both"/>
      </w:pPr>
      <w:r>
        <w:rPr>
          <w:rFonts w:ascii="Times New Roman" w:hAnsi="Times New Roman"/>
          <w:b w:val="0"/>
          <w:i w:val="0"/>
          <w:sz w:val="24"/>
        </w:rPr>
        <w:t>13. Compare three alternative designs for one selected insight.</w:t>
      </w:r>
    </w:p>
    <w:p>
      <w:pPr>
        <w:spacing w:after="160" w:line="252" w:lineRule="auto"/>
        <w:jc w:val="both"/>
      </w:pPr>
      <w:r>
        <w:rPr>
          <w:rFonts w:ascii="Times New Roman" w:hAnsi="Times New Roman"/>
          <w:b w:val="0"/>
          <w:i w:val="0"/>
          <w:sz w:val="24"/>
        </w:rPr>
        <w:t>14. Rank alternatives and document the winning design.</w:t>
      </w:r>
    </w:p>
    <w:p>
      <w:pPr>
        <w:spacing w:after="160" w:line="252" w:lineRule="auto"/>
        <w:jc w:val="both"/>
      </w:pPr>
      <w:r>
        <w:rPr>
          <w:rFonts w:ascii="Times New Roman" w:hAnsi="Times New Roman"/>
          <w:b w:val="0"/>
          <w:i w:val="0"/>
          <w:sz w:val="24"/>
        </w:rPr>
        <w:t>15. Save figures, dashboard HTML, and report.</w:t>
      </w:r>
    </w:p>
    <w:p>
      <w:pPr>
        <w:spacing w:after="160" w:line="252" w:lineRule="auto"/>
        <w:jc w:val="both"/>
      </w:pPr>
      <w:r>
        <w:rPr>
          <w:rFonts w:ascii="Times New Roman" w:hAnsi="Times New Roman"/>
          <w:b w:val="0"/>
          <w:i w:val="0"/>
          <w:sz w:val="24"/>
        </w:rPr>
        <w:t>16. Stop.</w:t>
      </w:r>
    </w:p>
    <w:p>
      <w:pPr>
        <w:pStyle w:val="Heading3"/>
        <w:spacing w:before="160" w:after="100"/>
      </w:pPr>
      <w:r>
        <w:rPr>
          <w:rFonts w:ascii="Times New Roman" w:hAnsi="Times New Roman"/>
          <w:b/>
          <w:sz w:val="24"/>
        </w:rPr>
        <w:t>6.2 Pseudocode</w:t>
      </w:r>
    </w:p>
    <w:p>
      <w:pPr>
        <w:spacing w:after="160" w:line="252" w:lineRule="auto"/>
        <w:ind w:left="288"/>
        <w:jc w:val="both"/>
      </w:pPr>
      <w:r>
        <w:rPr>
          <w:rFonts w:ascii="Courier New" w:hAnsi="Courier New"/>
          <w:b w:val="0"/>
          <w:i w:val="0"/>
          <w:sz w:val="18"/>
        </w:rPr>
        <w:t>BEGIN</w:t>
      </w:r>
    </w:p>
    <w:p>
      <w:pPr>
        <w:spacing w:after="160" w:line="252" w:lineRule="auto"/>
        <w:ind w:left="288"/>
        <w:jc w:val="both"/>
      </w:pPr>
      <w:r>
        <w:rPr>
          <w:rFonts w:ascii="Courier New" w:hAnsi="Courier New"/>
          <w:b w:val="0"/>
          <w:i w:val="0"/>
          <w:sz w:val="18"/>
        </w:rPr>
        <w:t xml:space="preserve">  data &lt;- READ_CSV("all_data.csv")</w:t>
      </w:r>
    </w:p>
    <w:p>
      <w:pPr>
        <w:spacing w:after="160" w:line="252" w:lineRule="auto"/>
        <w:ind w:left="288"/>
        <w:jc w:val="both"/>
      </w:pPr>
      <w:r>
        <w:rPr>
          <w:rFonts w:ascii="Courier New" w:hAnsi="Courier New"/>
          <w:b w:val="0"/>
          <w:i w:val="0"/>
          <w:sz w:val="18"/>
        </w:rPr>
        <w:t xml:space="preserve">  VALIDATE columns = {Country, Year, Life expectancy, GDP}</w:t>
      </w:r>
    </w:p>
    <w:p>
      <w:pPr>
        <w:spacing w:after="160" w:line="252" w:lineRule="auto"/>
        <w:ind w:left="288"/>
        <w:jc w:val="both"/>
      </w:pPr>
      <w:r>
        <w:rPr>
          <w:rFonts w:ascii="Courier New" w:hAnsi="Courier New"/>
          <w:b w:val="0"/>
          <w:i w:val="0"/>
          <w:sz w:val="18"/>
        </w:rPr>
        <w:t xml:space="preserve">  CHECK missing_values, duplicates, numeric_types</w:t>
      </w:r>
    </w:p>
    <w:p>
      <w:pPr>
        <w:spacing w:after="160" w:line="252" w:lineRule="auto"/>
        <w:ind w:left="288"/>
        <w:jc w:val="both"/>
      </w:pPr>
      <w:r>
        <w:rPr>
          <w:rFonts w:ascii="Courier New" w:hAnsi="Courier New"/>
          <w:b w:val="0"/>
          <w:i w:val="0"/>
          <w:sz w:val="18"/>
        </w:rPr>
        <w:t xml:space="preserve">  data.log_gdp &lt;- LOG10(data.GDP)</w:t>
      </w:r>
    </w:p>
    <w:p>
      <w:pPr>
        <w:spacing w:after="160" w:line="252" w:lineRule="auto"/>
        <w:ind w:left="288"/>
        <w:jc w:val="both"/>
      </w:pPr>
      <w:r>
        <w:rPr>
          <w:rFonts w:ascii="Courier New" w:hAnsi="Courier New"/>
          <w:b w:val="0"/>
          <w:i w:val="0"/>
          <w:sz w:val="18"/>
        </w:rPr>
        <w:t xml:space="preserve">  data.life_category &lt;- BIN(data.life_expectancy, &lt;60, 60-75, &gt;75)</w:t>
      </w:r>
    </w:p>
    <w:p>
      <w:pPr>
        <w:spacing w:after="160" w:line="252" w:lineRule="auto"/>
        <w:ind w:left="288"/>
        <w:jc w:val="both"/>
      </w:pPr>
      <w:r>
        <w:rPr>
          <w:rFonts w:ascii="Courier New" w:hAnsi="Courier New"/>
          <w:b w:val="0"/>
          <w:i w:val="0"/>
          <w:sz w:val="18"/>
        </w:rPr>
      </w:r>
    </w:p>
    <w:p>
      <w:pPr>
        <w:spacing w:after="160" w:line="252" w:lineRule="auto"/>
        <w:ind w:left="288"/>
        <w:jc w:val="both"/>
      </w:pPr>
      <w:r>
        <w:rPr>
          <w:rFonts w:ascii="Courier New" w:hAnsi="Courier New"/>
          <w:b w:val="0"/>
          <w:i w:val="0"/>
          <w:sz w:val="18"/>
        </w:rPr>
        <w:t xml:space="preserve">  summary &lt;- GROUP_BY(data, Country)</w:t>
      </w:r>
    </w:p>
    <w:p>
      <w:pPr>
        <w:spacing w:after="160" w:line="252" w:lineRule="auto"/>
        <w:ind w:left="288"/>
        <w:jc w:val="both"/>
      </w:pPr>
      <w:r>
        <w:rPr>
          <w:rFonts w:ascii="Courier New" w:hAnsi="Courier New"/>
          <w:b w:val="0"/>
          <w:i w:val="0"/>
          <w:sz w:val="18"/>
        </w:rPr>
        <w:t xml:space="preserve">  summary &lt;- CALCULATE(mean_life, start_life, end_life, mean_gdp)</w:t>
      </w:r>
    </w:p>
    <w:p>
      <w:pPr>
        <w:spacing w:after="160" w:line="252" w:lineRule="auto"/>
        <w:ind w:left="288"/>
        <w:jc w:val="both"/>
      </w:pPr>
      <w:r>
        <w:rPr>
          <w:rFonts w:ascii="Courier New" w:hAnsi="Courier New"/>
          <w:b w:val="0"/>
          <w:i w:val="0"/>
          <w:sz w:val="18"/>
        </w:rPr>
        <w:t xml:space="preserve">  corr &lt;- CORRELATION_MATRIX(data.numeric_fields)</w:t>
      </w:r>
    </w:p>
    <w:p>
      <w:pPr>
        <w:spacing w:after="160" w:line="252" w:lineRule="auto"/>
        <w:ind w:left="288"/>
        <w:jc w:val="both"/>
      </w:pPr>
      <w:r>
        <w:rPr>
          <w:rFonts w:ascii="Courier New" w:hAnsi="Courier New"/>
          <w:b w:val="0"/>
          <w:i w:val="0"/>
          <w:sz w:val="18"/>
        </w:rPr>
      </w:r>
    </w:p>
    <w:p>
      <w:pPr>
        <w:spacing w:after="160" w:line="252" w:lineRule="auto"/>
        <w:ind w:left="288"/>
        <w:jc w:val="both"/>
      </w:pPr>
      <w:r>
        <w:rPr>
          <w:rFonts w:ascii="Courier New" w:hAnsi="Courier New"/>
          <w:b w:val="0"/>
          <w:i w:val="0"/>
          <w:sz w:val="18"/>
        </w:rPr>
        <w:t xml:space="preserve">  VIEW1 &lt;- HISTOGRAM(data.life_expectancy)</w:t>
      </w:r>
    </w:p>
    <w:p>
      <w:pPr>
        <w:spacing w:after="160" w:line="252" w:lineRule="auto"/>
        <w:ind w:left="288"/>
        <w:jc w:val="both"/>
      </w:pPr>
      <w:r>
        <w:rPr>
          <w:rFonts w:ascii="Courier New" w:hAnsi="Courier New"/>
          <w:b w:val="0"/>
          <w:i w:val="0"/>
          <w:sz w:val="18"/>
        </w:rPr>
        <w:t xml:space="preserve">  VIEW2 &lt;- BOXPLOT(data.life_expectancy BY Country)</w:t>
      </w:r>
    </w:p>
    <w:p>
      <w:pPr>
        <w:spacing w:after="160" w:line="252" w:lineRule="auto"/>
        <w:ind w:left="288"/>
        <w:jc w:val="both"/>
      </w:pPr>
      <w:r>
        <w:rPr>
          <w:rFonts w:ascii="Courier New" w:hAnsi="Courier New"/>
          <w:b w:val="0"/>
          <w:i w:val="0"/>
          <w:sz w:val="18"/>
        </w:rPr>
        <w:t xml:space="preserve">  VIEW3 &lt;- DONUT(data.life_category)</w:t>
      </w:r>
    </w:p>
    <w:p>
      <w:pPr>
        <w:spacing w:after="160" w:line="252" w:lineRule="auto"/>
        <w:ind w:left="288"/>
        <w:jc w:val="both"/>
      </w:pPr>
      <w:r>
        <w:rPr>
          <w:rFonts w:ascii="Courier New" w:hAnsi="Courier New"/>
          <w:b w:val="0"/>
          <w:i w:val="0"/>
          <w:sz w:val="18"/>
        </w:rPr>
        <w:t xml:space="preserve">  VIEW4 &lt;- BAR(summary.mean_life BY Country)</w:t>
      </w:r>
    </w:p>
    <w:p>
      <w:pPr>
        <w:spacing w:after="160" w:line="252" w:lineRule="auto"/>
        <w:ind w:left="288"/>
        <w:jc w:val="both"/>
      </w:pPr>
      <w:r>
        <w:rPr>
          <w:rFonts w:ascii="Courier New" w:hAnsi="Courier New"/>
          <w:b w:val="0"/>
          <w:i w:val="0"/>
          <w:sz w:val="18"/>
        </w:rPr>
        <w:t xml:space="preserve">  VIEW5 &lt;- SCATTER(x=log_gdp, y=life_expectancy, color=Country)</w:t>
      </w:r>
    </w:p>
    <w:p>
      <w:pPr>
        <w:spacing w:after="160" w:line="252" w:lineRule="auto"/>
        <w:ind w:left="288"/>
        <w:jc w:val="both"/>
      </w:pPr>
      <w:r>
        <w:rPr>
          <w:rFonts w:ascii="Courier New" w:hAnsi="Courier New"/>
          <w:b w:val="0"/>
          <w:i w:val="0"/>
          <w:sz w:val="18"/>
        </w:rPr>
        <w:t xml:space="preserve">  VIEW6 &lt;- HEATMAP(corr)</w:t>
      </w:r>
    </w:p>
    <w:p>
      <w:pPr>
        <w:spacing w:after="160" w:line="252" w:lineRule="auto"/>
        <w:ind w:left="288"/>
        <w:jc w:val="both"/>
      </w:pPr>
      <w:r>
        <w:rPr>
          <w:rFonts w:ascii="Courier New" w:hAnsi="Courier New"/>
          <w:b w:val="0"/>
          <w:i w:val="0"/>
          <w:sz w:val="18"/>
        </w:rPr>
        <w:t xml:space="preserve">  VIEW7 &lt;- LINE(x=Year, y=life_expectancy, group=Country)</w:t>
      </w:r>
    </w:p>
    <w:p>
      <w:pPr>
        <w:spacing w:after="160" w:line="252" w:lineRule="auto"/>
        <w:ind w:left="288"/>
        <w:jc w:val="both"/>
      </w:pPr>
      <w:r>
        <w:rPr>
          <w:rFonts w:ascii="Courier New" w:hAnsi="Courier New"/>
          <w:b w:val="0"/>
          <w:i w:val="0"/>
          <w:sz w:val="18"/>
        </w:rPr>
      </w:r>
    </w:p>
    <w:p>
      <w:pPr>
        <w:spacing w:after="160" w:line="252" w:lineRule="auto"/>
        <w:ind w:left="288"/>
        <w:jc w:val="both"/>
      </w:pPr>
      <w:r>
        <w:rPr>
          <w:rFonts w:ascii="Courier New" w:hAnsi="Courier New"/>
          <w:b w:val="0"/>
          <w:i w:val="0"/>
          <w:sz w:val="18"/>
        </w:rPr>
        <w:t xml:space="preserve">  DASHBOARD &lt;- COMBINE(VIEW1..VIEW7)</w:t>
      </w:r>
    </w:p>
    <w:p>
      <w:pPr>
        <w:spacing w:after="160" w:line="252" w:lineRule="auto"/>
        <w:ind w:left="288"/>
        <w:jc w:val="both"/>
      </w:pPr>
      <w:r>
        <w:rPr>
          <w:rFonts w:ascii="Courier New" w:hAnsi="Courier New"/>
          <w:b w:val="0"/>
          <w:i w:val="0"/>
          <w:sz w:val="18"/>
        </w:rPr>
        <w:t xml:space="preserve">  ADD_FILTERS(DASHBOARD, Country, Year)</w:t>
      </w:r>
    </w:p>
    <w:p>
      <w:pPr>
        <w:spacing w:after="160" w:line="252" w:lineRule="auto"/>
        <w:ind w:left="288"/>
        <w:jc w:val="both"/>
      </w:pPr>
      <w:r>
        <w:rPr>
          <w:rFonts w:ascii="Courier New" w:hAnsi="Courier New"/>
          <w:b w:val="0"/>
          <w:i w:val="0"/>
          <w:sz w:val="18"/>
        </w:rPr>
        <w:t xml:space="preserve">  EVALUATE(DASHBOARD, preattentive, Gestalt, data_ink, color_theory)</w:t>
      </w:r>
    </w:p>
    <w:p>
      <w:pPr>
        <w:spacing w:after="160" w:line="252" w:lineRule="auto"/>
        <w:ind w:left="288"/>
        <w:jc w:val="both"/>
      </w:pPr>
      <w:r>
        <w:rPr>
          <w:rFonts w:ascii="Courier New" w:hAnsi="Courier New"/>
          <w:b w:val="0"/>
          <w:i w:val="0"/>
          <w:sz w:val="18"/>
        </w:rPr>
        <w:t xml:space="preserve">  EXPORT(figures, dashboard_html, report_docx)</w:t>
      </w:r>
    </w:p>
    <w:p>
      <w:pPr>
        <w:spacing w:after="160" w:line="252" w:lineRule="auto"/>
        <w:ind w:left="288"/>
        <w:jc w:val="both"/>
      </w:pPr>
      <w:r>
        <w:rPr>
          <w:rFonts w:ascii="Courier New" w:hAnsi="Courier New"/>
          <w:b w:val="0"/>
          <w:i w:val="0"/>
          <w:sz w:val="18"/>
        </w:rPr>
        <w:t>END</w:t>
      </w:r>
    </w:p>
    <w:p>
      <w:pPr>
        <w:pStyle w:val="Heading3"/>
        <w:spacing w:before="160" w:after="100"/>
      </w:pPr>
      <w:r>
        <w:rPr>
          <w:rFonts w:ascii="Times New Roman" w:hAnsi="Times New Roman"/>
          <w:b/>
          <w:sz w:val="24"/>
        </w:rPr>
        <w:t>6.3 Flowchart</w:t>
      </w:r>
    </w:p>
    <w:p>
      <w:pPr>
        <w:spacing w:after="160" w:line="252" w:lineRule="auto"/>
        <w:jc w:val="both"/>
      </w:pPr>
      <w:r>
        <w:rPr>
          <w:rFonts w:ascii="Times New Roman" w:hAnsi="Times New Roman"/>
          <w:b/>
          <w:i w:val="0"/>
          <w:sz w:val="24"/>
        </w:rPr>
        <w:t>Input → Validate → Clean → Transform → Analyze → Visualize → Interact → Evaluate → Compare → Report</w:t>
      </w:r>
    </w:p>
    <w:p>
      <w:pPr>
        <w:pStyle w:val="Heading2"/>
        <w:spacing w:before="200" w:after="120"/>
      </w:pPr>
      <w:r>
        <w:rPr>
          <w:rFonts w:ascii="Times New Roman" w:hAnsi="Times New Roman"/>
          <w:b/>
          <w:sz w:val="24"/>
        </w:rPr>
        <w:t>7. Implementation / Source Code and Environment / Tools Used</w:t>
      </w:r>
    </w:p>
    <w:p>
      <w:pPr>
        <w:pStyle w:val="Heading3"/>
        <w:spacing w:before="160" w:after="100"/>
      </w:pPr>
      <w:r>
        <w:rPr>
          <w:rFonts w:ascii="Times New Roman" w:hAnsi="Times New Roman"/>
          <w:b/>
          <w:sz w:val="24"/>
        </w:rPr>
        <w:t>7.1 Implementation</w:t>
      </w:r>
    </w:p>
    <w:p>
      <w:pPr>
        <w:spacing w:after="160" w:line="252" w:lineRule="auto"/>
        <w:jc w:val="both"/>
      </w:pPr>
      <w:r>
        <w:rPr>
          <w:rFonts w:ascii="Times New Roman" w:hAnsi="Times New Roman"/>
          <w:b w:val="0"/>
          <w:i w:val="0"/>
          <w:sz w:val="24"/>
        </w:rPr>
        <w:t>The implementation is written in Python. pandas performs data loading and transformation; NumPy supports numeric operations; Matplotlib generates report-ready figures; Plotly generates the interactive HTML dashboard. The dashboard uses a shared country/year analytical frame so that the same filters can be applied to multiple views.</w:t>
      </w:r>
    </w:p>
    <w:p>
      <w:pPr>
        <w:pStyle w:val="Heading3"/>
        <w:spacing w:before="160" w:after="100"/>
      </w:pPr>
      <w:r>
        <w:rPr>
          <w:rFonts w:ascii="Times New Roman" w:hAnsi="Times New Roman"/>
          <w:b/>
          <w:sz w:val="24"/>
        </w:rPr>
        <w:t>7.2 Main Implementation Modules</w:t>
      </w:r>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rPr>
                <w:rFonts w:ascii="Times New Roman" w:hAnsi="Times New Roman"/>
                <w:b/>
                <w:sz w:val="20"/>
              </w:rPr>
              <w:t>Module</w:t>
            </w:r>
          </w:p>
        </w:tc>
        <w:tc>
          <w:tcPr>
            <w:tcW w:type="dxa" w:w="4680"/>
            <w:vAlign w:val="center"/>
          </w:tcPr>
          <w:p>
            <w:pPr>
              <w:jc w:val="center"/>
            </w:pPr>
            <w:r>
              <w:rPr>
                <w:rFonts w:ascii="Times New Roman" w:hAnsi="Times New Roman"/>
                <w:b/>
                <w:sz w:val="20"/>
              </w:rPr>
              <w:t>Function</w:t>
            </w:r>
          </w:p>
        </w:tc>
      </w:tr>
      <w:tr>
        <w:tc>
          <w:tcPr>
            <w:tcW w:type="dxa" w:w="4680"/>
            <w:vAlign w:val="center"/>
          </w:tcPr>
          <w:p>
            <w:r>
              <w:rPr>
                <w:rFonts w:ascii="Times New Roman" w:hAnsi="Times New Roman"/>
                <w:sz w:val="20"/>
              </w:rPr>
              <w:t>Data Loader</w:t>
            </w:r>
          </w:p>
        </w:tc>
        <w:tc>
          <w:tcPr>
            <w:tcW w:type="dxa" w:w="4680"/>
            <w:vAlign w:val="center"/>
          </w:tcPr>
          <w:p>
            <w:r>
              <w:rPr>
                <w:rFonts w:ascii="Times New Roman" w:hAnsi="Times New Roman"/>
                <w:sz w:val="20"/>
              </w:rPr>
              <w:t>Reads CSV and checks required columns</w:t>
            </w:r>
          </w:p>
        </w:tc>
      </w:tr>
      <w:tr>
        <w:tc>
          <w:tcPr>
            <w:tcW w:type="dxa" w:w="4680"/>
            <w:vAlign w:val="center"/>
          </w:tcPr>
          <w:p>
            <w:r>
              <w:rPr>
                <w:rFonts w:ascii="Times New Roman" w:hAnsi="Times New Roman"/>
                <w:sz w:val="20"/>
              </w:rPr>
              <w:t>Data Cleaner</w:t>
            </w:r>
          </w:p>
        </w:tc>
        <w:tc>
          <w:tcPr>
            <w:tcW w:type="dxa" w:w="4680"/>
            <w:vAlign w:val="center"/>
          </w:tcPr>
          <w:p>
            <w:r>
              <w:rPr>
                <w:rFonts w:ascii="Times New Roman" w:hAnsi="Times New Roman"/>
                <w:sz w:val="20"/>
              </w:rPr>
              <w:t>Validates types, missing values, duplicates and ranges</w:t>
            </w:r>
          </w:p>
        </w:tc>
      </w:tr>
      <w:tr>
        <w:tc>
          <w:tcPr>
            <w:tcW w:type="dxa" w:w="4680"/>
            <w:vAlign w:val="center"/>
          </w:tcPr>
          <w:p>
            <w:r>
              <w:rPr>
                <w:rFonts w:ascii="Times New Roman" w:hAnsi="Times New Roman"/>
                <w:sz w:val="20"/>
              </w:rPr>
              <w:t>Feature Engineering</w:t>
            </w:r>
          </w:p>
        </w:tc>
        <w:tc>
          <w:tcPr>
            <w:tcW w:type="dxa" w:w="4680"/>
            <w:vAlign w:val="center"/>
          </w:tcPr>
          <w:p>
            <w:r>
              <w:rPr>
                <w:rFonts w:ascii="Times New Roman" w:hAnsi="Times New Roman"/>
                <w:sz w:val="20"/>
              </w:rPr>
              <w:t>Creates log GDP and life-expectancy categories</w:t>
            </w:r>
          </w:p>
        </w:tc>
      </w:tr>
      <w:tr>
        <w:tc>
          <w:tcPr>
            <w:tcW w:type="dxa" w:w="4680"/>
            <w:vAlign w:val="center"/>
          </w:tcPr>
          <w:p>
            <w:r>
              <w:rPr>
                <w:rFonts w:ascii="Times New Roman" w:hAnsi="Times New Roman"/>
                <w:sz w:val="20"/>
              </w:rPr>
              <w:t>Summary Analyzer</w:t>
            </w:r>
          </w:p>
        </w:tc>
        <w:tc>
          <w:tcPr>
            <w:tcW w:type="dxa" w:w="4680"/>
            <w:vAlign w:val="center"/>
          </w:tcPr>
          <w:p>
            <w:r>
              <w:rPr>
                <w:rFonts w:ascii="Times New Roman" w:hAnsi="Times New Roman"/>
                <w:sz w:val="20"/>
              </w:rPr>
              <w:t>Computes means, changes, and correlations</w:t>
            </w:r>
          </w:p>
        </w:tc>
      </w:tr>
      <w:tr>
        <w:tc>
          <w:tcPr>
            <w:tcW w:type="dxa" w:w="4680"/>
            <w:vAlign w:val="center"/>
          </w:tcPr>
          <w:p>
            <w:r>
              <w:rPr>
                <w:rFonts w:ascii="Times New Roman" w:hAnsi="Times New Roman"/>
                <w:sz w:val="20"/>
              </w:rPr>
              <w:t>Distribution Views</w:t>
            </w:r>
          </w:p>
        </w:tc>
        <w:tc>
          <w:tcPr>
            <w:tcW w:type="dxa" w:w="4680"/>
            <w:vAlign w:val="center"/>
          </w:tcPr>
          <w:p>
            <w:r>
              <w:rPr>
                <w:rFonts w:ascii="Times New Roman" w:hAnsi="Times New Roman"/>
                <w:sz w:val="20"/>
              </w:rPr>
              <w:t>Histogram and box plot</w:t>
            </w:r>
          </w:p>
        </w:tc>
      </w:tr>
      <w:tr>
        <w:tc>
          <w:tcPr>
            <w:tcW w:type="dxa" w:w="4680"/>
            <w:vAlign w:val="center"/>
          </w:tcPr>
          <w:p>
            <w:r>
              <w:rPr>
                <w:rFonts w:ascii="Times New Roman" w:hAnsi="Times New Roman"/>
                <w:sz w:val="20"/>
              </w:rPr>
              <w:t>Proportion/Comparison Views</w:t>
            </w:r>
          </w:p>
        </w:tc>
        <w:tc>
          <w:tcPr>
            <w:tcW w:type="dxa" w:w="4680"/>
            <w:vAlign w:val="center"/>
          </w:tcPr>
          <w:p>
            <w:r>
              <w:rPr>
                <w:rFonts w:ascii="Times New Roman" w:hAnsi="Times New Roman"/>
                <w:sz w:val="20"/>
              </w:rPr>
              <w:t>Donut and bar chart</w:t>
            </w:r>
          </w:p>
        </w:tc>
      </w:tr>
      <w:tr>
        <w:tc>
          <w:tcPr>
            <w:tcW w:type="dxa" w:w="4680"/>
            <w:vAlign w:val="center"/>
          </w:tcPr>
          <w:p>
            <w:r>
              <w:rPr>
                <w:rFonts w:ascii="Times New Roman" w:hAnsi="Times New Roman"/>
                <w:sz w:val="20"/>
              </w:rPr>
              <w:t>Relationship/Trend Views</w:t>
            </w:r>
          </w:p>
        </w:tc>
        <w:tc>
          <w:tcPr>
            <w:tcW w:type="dxa" w:w="4680"/>
            <w:vAlign w:val="center"/>
          </w:tcPr>
          <w:p>
            <w:r>
              <w:rPr>
                <w:rFonts w:ascii="Times New Roman" w:hAnsi="Times New Roman"/>
                <w:sz w:val="20"/>
              </w:rPr>
              <w:t>Scatter, heatmap, and line chart</w:t>
            </w:r>
          </w:p>
        </w:tc>
      </w:tr>
      <w:tr>
        <w:tc>
          <w:tcPr>
            <w:tcW w:type="dxa" w:w="4680"/>
            <w:vAlign w:val="center"/>
          </w:tcPr>
          <w:p>
            <w:r>
              <w:rPr>
                <w:rFonts w:ascii="Times New Roman" w:hAnsi="Times New Roman"/>
                <w:sz w:val="20"/>
              </w:rPr>
              <w:t>Dashboard Layer</w:t>
            </w:r>
          </w:p>
        </w:tc>
        <w:tc>
          <w:tcPr>
            <w:tcW w:type="dxa" w:w="4680"/>
            <w:vAlign w:val="center"/>
          </w:tcPr>
          <w:p>
            <w:r>
              <w:rPr>
                <w:rFonts w:ascii="Times New Roman" w:hAnsi="Times New Roman"/>
                <w:sz w:val="20"/>
              </w:rPr>
              <w:t>Arranges Plotly views and user filters</w:t>
            </w:r>
          </w:p>
        </w:tc>
      </w:tr>
      <w:tr>
        <w:tc>
          <w:tcPr>
            <w:tcW w:type="dxa" w:w="4680"/>
            <w:vAlign w:val="center"/>
          </w:tcPr>
          <w:p>
            <w:r>
              <w:rPr>
                <w:rFonts w:ascii="Times New Roman" w:hAnsi="Times New Roman"/>
                <w:sz w:val="20"/>
              </w:rPr>
              <w:t>Evaluation Layer</w:t>
            </w:r>
          </w:p>
        </w:tc>
        <w:tc>
          <w:tcPr>
            <w:tcW w:type="dxa" w:w="4680"/>
            <w:vAlign w:val="center"/>
          </w:tcPr>
          <w:p>
            <w:r>
              <w:rPr>
                <w:rFonts w:ascii="Times New Roman" w:hAnsi="Times New Roman"/>
                <w:sz w:val="20"/>
              </w:rPr>
              <w:t>Scores designs on perceptual/cognitive criteria</w:t>
            </w:r>
          </w:p>
        </w:tc>
      </w:tr>
    </w:tbl>
    <w:p>
      <w:pPr>
        <w:pStyle w:val="Heading3"/>
        <w:spacing w:before="160" w:after="100"/>
      </w:pPr>
      <w:r>
        <w:rPr>
          <w:rFonts w:ascii="Times New Roman" w:hAnsi="Times New Roman"/>
          <w:b/>
          <w:sz w:val="24"/>
        </w:rPr>
        <w:t>7.3 Environment and Tools</w:t>
      </w:r>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rPr>
                <w:rFonts w:ascii="Times New Roman" w:hAnsi="Times New Roman"/>
                <w:b/>
                <w:sz w:val="20"/>
              </w:rPr>
              <w:t>Component</w:t>
            </w:r>
          </w:p>
        </w:tc>
        <w:tc>
          <w:tcPr>
            <w:tcW w:type="dxa" w:w="4680"/>
            <w:vAlign w:val="center"/>
          </w:tcPr>
          <w:p>
            <w:pPr>
              <w:jc w:val="center"/>
            </w:pPr>
            <w:r>
              <w:rPr>
                <w:rFonts w:ascii="Times New Roman" w:hAnsi="Times New Roman"/>
                <w:b/>
                <w:sz w:val="20"/>
              </w:rPr>
              <w:t>Tool Used</w:t>
            </w:r>
          </w:p>
        </w:tc>
      </w:tr>
      <w:tr>
        <w:tc>
          <w:tcPr>
            <w:tcW w:type="dxa" w:w="4680"/>
            <w:vAlign w:val="center"/>
          </w:tcPr>
          <w:p>
            <w:r>
              <w:rPr>
                <w:rFonts w:ascii="Times New Roman" w:hAnsi="Times New Roman"/>
                <w:sz w:val="20"/>
              </w:rPr>
              <w:t>Programming Language</w:t>
            </w:r>
          </w:p>
        </w:tc>
        <w:tc>
          <w:tcPr>
            <w:tcW w:type="dxa" w:w="4680"/>
            <w:vAlign w:val="center"/>
          </w:tcPr>
          <w:p>
            <w:r>
              <w:rPr>
                <w:rFonts w:ascii="Times New Roman" w:hAnsi="Times New Roman"/>
                <w:sz w:val="20"/>
              </w:rPr>
              <w:t>Python 3</w:t>
            </w:r>
          </w:p>
        </w:tc>
      </w:tr>
      <w:tr>
        <w:tc>
          <w:tcPr>
            <w:tcW w:type="dxa" w:w="4680"/>
            <w:vAlign w:val="center"/>
          </w:tcPr>
          <w:p>
            <w:r>
              <w:rPr>
                <w:rFonts w:ascii="Times New Roman" w:hAnsi="Times New Roman"/>
                <w:sz w:val="20"/>
              </w:rPr>
              <w:t>Data Processing</w:t>
            </w:r>
          </w:p>
        </w:tc>
        <w:tc>
          <w:tcPr>
            <w:tcW w:type="dxa" w:w="4680"/>
            <w:vAlign w:val="center"/>
          </w:tcPr>
          <w:p>
            <w:r>
              <w:rPr>
                <w:rFonts w:ascii="Times New Roman" w:hAnsi="Times New Roman"/>
                <w:sz w:val="20"/>
              </w:rPr>
              <w:t>pandas, NumPy</w:t>
            </w:r>
          </w:p>
        </w:tc>
      </w:tr>
      <w:tr>
        <w:tc>
          <w:tcPr>
            <w:tcW w:type="dxa" w:w="4680"/>
            <w:vAlign w:val="center"/>
          </w:tcPr>
          <w:p>
            <w:r>
              <w:rPr>
                <w:rFonts w:ascii="Times New Roman" w:hAnsi="Times New Roman"/>
                <w:sz w:val="20"/>
              </w:rPr>
              <w:t>Static Visualization</w:t>
            </w:r>
          </w:p>
        </w:tc>
        <w:tc>
          <w:tcPr>
            <w:tcW w:type="dxa" w:w="4680"/>
            <w:vAlign w:val="center"/>
          </w:tcPr>
          <w:p>
            <w:r>
              <w:rPr>
                <w:rFonts w:ascii="Times New Roman" w:hAnsi="Times New Roman"/>
                <w:sz w:val="20"/>
              </w:rPr>
              <w:t>Matplotlib</w:t>
            </w:r>
          </w:p>
        </w:tc>
      </w:tr>
      <w:tr>
        <w:tc>
          <w:tcPr>
            <w:tcW w:type="dxa" w:w="4680"/>
            <w:vAlign w:val="center"/>
          </w:tcPr>
          <w:p>
            <w:r>
              <w:rPr>
                <w:rFonts w:ascii="Times New Roman" w:hAnsi="Times New Roman"/>
                <w:sz w:val="20"/>
              </w:rPr>
              <w:t>Interactive Visualization</w:t>
            </w:r>
          </w:p>
        </w:tc>
        <w:tc>
          <w:tcPr>
            <w:tcW w:type="dxa" w:w="4680"/>
            <w:vAlign w:val="center"/>
          </w:tcPr>
          <w:p>
            <w:r>
              <w:rPr>
                <w:rFonts w:ascii="Times New Roman" w:hAnsi="Times New Roman"/>
                <w:sz w:val="20"/>
              </w:rPr>
              <w:t>Plotly</w:t>
            </w:r>
          </w:p>
        </w:tc>
      </w:tr>
      <w:tr>
        <w:tc>
          <w:tcPr>
            <w:tcW w:type="dxa" w:w="4680"/>
            <w:vAlign w:val="center"/>
          </w:tcPr>
          <w:p>
            <w:r>
              <w:rPr>
                <w:rFonts w:ascii="Times New Roman" w:hAnsi="Times New Roman"/>
                <w:sz w:val="20"/>
              </w:rPr>
              <w:t>IDE/Editor</w:t>
            </w:r>
          </w:p>
        </w:tc>
        <w:tc>
          <w:tcPr>
            <w:tcW w:type="dxa" w:w="4680"/>
            <w:vAlign w:val="center"/>
          </w:tcPr>
          <w:p>
            <w:r>
              <w:rPr>
                <w:rFonts w:ascii="Times New Roman" w:hAnsi="Times New Roman"/>
                <w:sz w:val="20"/>
              </w:rPr>
              <w:t>Jupyter Notebook / VS Code</w:t>
            </w:r>
          </w:p>
        </w:tc>
      </w:tr>
      <w:tr>
        <w:tc>
          <w:tcPr>
            <w:tcW w:type="dxa" w:w="4680"/>
            <w:vAlign w:val="center"/>
          </w:tcPr>
          <w:p>
            <w:r>
              <w:rPr>
                <w:rFonts w:ascii="Times New Roman" w:hAnsi="Times New Roman"/>
                <w:sz w:val="20"/>
              </w:rPr>
              <w:t>Output</w:t>
            </w:r>
          </w:p>
        </w:tc>
        <w:tc>
          <w:tcPr>
            <w:tcW w:type="dxa" w:w="4680"/>
            <w:vAlign w:val="center"/>
          </w:tcPr>
          <w:p>
            <w:r>
              <w:rPr>
                <w:rFonts w:ascii="Times New Roman" w:hAnsi="Times New Roman"/>
                <w:sz w:val="20"/>
              </w:rPr>
              <w:t>DOCX report and HTML dashboard</w:t>
            </w:r>
          </w:p>
        </w:tc>
      </w:tr>
    </w:tbl>
    <w:p>
      <w:pPr>
        <w:pStyle w:val="Heading3"/>
        <w:spacing w:before="160" w:after="100"/>
      </w:pPr>
      <w:r>
        <w:rPr>
          <w:rFonts w:ascii="Times New Roman" w:hAnsi="Times New Roman"/>
          <w:b/>
          <w:sz w:val="24"/>
        </w:rPr>
        <w:t>7.4 Implementation Flow</w:t>
      </w:r>
    </w:p>
    <w:p>
      <w:pPr>
        <w:spacing w:after="160" w:line="252" w:lineRule="auto"/>
        <w:jc w:val="both"/>
      </w:pPr>
      <w:r>
        <w:rPr>
          <w:rFonts w:ascii="Times New Roman" w:hAnsi="Times New Roman"/>
          <w:b w:val="0"/>
          <w:i w:val="0"/>
          <w:sz w:val="24"/>
        </w:rPr>
        <w:t>Source CSV → pandas DataFrame → Validation → Derived Features → Summary Metrics → Matplotlib Figures → Plotly Interactive Dashboard → Exported HTML</w:t>
      </w:r>
    </w:p>
    <w:p>
      <w:pPr>
        <w:pStyle w:val="Heading3"/>
        <w:spacing w:before="160" w:after="100"/>
      </w:pPr>
      <w:r>
        <w:rPr>
          <w:rFonts w:ascii="Times New Roman" w:hAnsi="Times New Roman"/>
          <w:b/>
          <w:sz w:val="24"/>
        </w:rPr>
        <w:t>7.5 Representative Source Code</w:t>
      </w:r>
    </w:p>
    <w:p>
      <w:pPr>
        <w:spacing w:after="160" w:line="252" w:lineRule="auto"/>
        <w:ind w:left="288"/>
        <w:jc w:val="both"/>
      </w:pPr>
      <w:r>
        <w:rPr>
          <w:rFonts w:ascii="Courier New" w:hAnsi="Courier New"/>
          <w:b w:val="0"/>
          <w:i w:val="0"/>
          <w:sz w:val="17"/>
        </w:rPr>
        <w:t>import pandas as pd</w:t>
      </w:r>
    </w:p>
    <w:p>
      <w:pPr>
        <w:spacing w:after="160" w:line="252" w:lineRule="auto"/>
        <w:ind w:left="288"/>
        <w:jc w:val="both"/>
      </w:pPr>
      <w:r>
        <w:rPr>
          <w:rFonts w:ascii="Courier New" w:hAnsi="Courier New"/>
          <w:b w:val="0"/>
          <w:i w:val="0"/>
          <w:sz w:val="17"/>
        </w:rPr>
        <w:t>import numpy as np</w:t>
      </w:r>
    </w:p>
    <w:p>
      <w:pPr>
        <w:spacing w:after="160" w:line="252" w:lineRule="auto"/>
        <w:ind w:left="288"/>
        <w:jc w:val="both"/>
      </w:pPr>
      <w:r>
        <w:rPr>
          <w:rFonts w:ascii="Courier New" w:hAnsi="Courier New"/>
          <w:b w:val="0"/>
          <w:i w:val="0"/>
          <w:sz w:val="17"/>
        </w:rPr>
        <w:t>import plotly.express as px</w:t>
      </w:r>
    </w:p>
    <w:p>
      <w:pPr>
        <w:spacing w:after="160" w:line="252" w:lineRule="auto"/>
        <w:ind w:left="288"/>
        <w:jc w:val="both"/>
      </w:pPr>
      <w:r>
        <w:rPr>
          <w:rFonts w:ascii="Courier New" w:hAnsi="Courier New"/>
          <w:b w:val="0"/>
          <w:i w:val="0"/>
          <w:sz w:val="17"/>
        </w:rPr>
      </w:r>
    </w:p>
    <w:p>
      <w:pPr>
        <w:spacing w:after="160" w:line="252" w:lineRule="auto"/>
        <w:ind w:left="288"/>
        <w:jc w:val="both"/>
      </w:pPr>
      <w:r>
        <w:rPr>
          <w:rFonts w:ascii="Courier New" w:hAnsi="Courier New"/>
          <w:b w:val="0"/>
          <w:i w:val="0"/>
          <w:sz w:val="17"/>
        </w:rPr>
        <w:t>df = pd.read_csv("all_data.csv")</w:t>
      </w:r>
    </w:p>
    <w:p>
      <w:pPr>
        <w:spacing w:after="160" w:line="252" w:lineRule="auto"/>
        <w:ind w:left="288"/>
        <w:jc w:val="both"/>
      </w:pPr>
      <w:r>
        <w:rPr>
          <w:rFonts w:ascii="Courier New" w:hAnsi="Courier New"/>
          <w:b w:val="0"/>
          <w:i w:val="0"/>
          <w:sz w:val="17"/>
        </w:rPr>
        <w:t>df["Log_GDP"] = np.log10(df["GDP"])</w:t>
      </w:r>
    </w:p>
    <w:p>
      <w:pPr>
        <w:spacing w:after="160" w:line="252" w:lineRule="auto"/>
        <w:ind w:left="288"/>
        <w:jc w:val="both"/>
      </w:pPr>
      <w:r>
        <w:rPr>
          <w:rFonts w:ascii="Courier New" w:hAnsi="Courier New"/>
          <w:b w:val="0"/>
          <w:i w:val="0"/>
          <w:sz w:val="17"/>
        </w:rPr>
        <w:t>df["Life_Category"] = pd.cut(</w:t>
      </w:r>
    </w:p>
    <w:p>
      <w:pPr>
        <w:spacing w:after="160" w:line="252" w:lineRule="auto"/>
        <w:ind w:left="288"/>
        <w:jc w:val="both"/>
      </w:pPr>
      <w:r>
        <w:rPr>
          <w:rFonts w:ascii="Courier New" w:hAnsi="Courier New"/>
          <w:b w:val="0"/>
          <w:i w:val="0"/>
          <w:sz w:val="17"/>
        </w:rPr>
        <w:t xml:space="preserve">    df["Life expectancy at birth (years)"],</w:t>
      </w:r>
    </w:p>
    <w:p>
      <w:pPr>
        <w:spacing w:after="160" w:line="252" w:lineRule="auto"/>
        <w:ind w:left="288"/>
        <w:jc w:val="both"/>
      </w:pPr>
      <w:r>
        <w:rPr>
          <w:rFonts w:ascii="Courier New" w:hAnsi="Courier New"/>
          <w:b w:val="0"/>
          <w:i w:val="0"/>
          <w:sz w:val="17"/>
        </w:rPr>
        <w:t xml:space="preserve">    bins=[0, 60, 75, 100],</w:t>
      </w:r>
    </w:p>
    <w:p>
      <w:pPr>
        <w:spacing w:after="160" w:line="252" w:lineRule="auto"/>
        <w:ind w:left="288"/>
        <w:jc w:val="both"/>
      </w:pPr>
      <w:r>
        <w:rPr>
          <w:rFonts w:ascii="Courier New" w:hAnsi="Courier New"/>
          <w:b w:val="0"/>
          <w:i w:val="0"/>
          <w:sz w:val="17"/>
        </w:rPr>
        <w:t xml:space="preserve">    labels=["Low (&lt;60)", "Medium (60-75)", "High (&gt;75)"],</w:t>
      </w:r>
    </w:p>
    <w:p>
      <w:pPr>
        <w:spacing w:after="160" w:line="252" w:lineRule="auto"/>
        <w:ind w:left="288"/>
        <w:jc w:val="both"/>
      </w:pPr>
      <w:r>
        <w:rPr>
          <w:rFonts w:ascii="Courier New" w:hAnsi="Courier New"/>
          <w:b w:val="0"/>
          <w:i w:val="0"/>
          <w:sz w:val="17"/>
        </w:rPr>
        <w:t xml:space="preserve">    include_lowest=True</w:t>
      </w:r>
    </w:p>
    <w:p>
      <w:pPr>
        <w:spacing w:after="160" w:line="252" w:lineRule="auto"/>
        <w:ind w:left="288"/>
        <w:jc w:val="both"/>
      </w:pPr>
      <w:r>
        <w:rPr>
          <w:rFonts w:ascii="Courier New" w:hAnsi="Courier New"/>
          <w:b w:val="0"/>
          <w:i w:val="0"/>
          <w:sz w:val="17"/>
        </w:rPr>
        <w:t>)</w:t>
      </w:r>
    </w:p>
    <w:p>
      <w:pPr>
        <w:spacing w:after="160" w:line="252" w:lineRule="auto"/>
        <w:ind w:left="288"/>
        <w:jc w:val="both"/>
      </w:pPr>
      <w:r>
        <w:rPr>
          <w:rFonts w:ascii="Courier New" w:hAnsi="Courier New"/>
          <w:b w:val="0"/>
          <w:i w:val="0"/>
          <w:sz w:val="17"/>
        </w:rPr>
      </w:r>
    </w:p>
    <w:p>
      <w:pPr>
        <w:spacing w:after="160" w:line="252" w:lineRule="auto"/>
        <w:ind w:left="288"/>
        <w:jc w:val="both"/>
      </w:pPr>
      <w:r>
        <w:rPr>
          <w:rFonts w:ascii="Courier New" w:hAnsi="Courier New"/>
          <w:b w:val="0"/>
          <w:i w:val="0"/>
          <w:sz w:val="17"/>
        </w:rPr>
        <w:t>fig = px.scatter(</w:t>
      </w:r>
    </w:p>
    <w:p>
      <w:pPr>
        <w:spacing w:after="160" w:line="252" w:lineRule="auto"/>
        <w:ind w:left="288"/>
        <w:jc w:val="both"/>
      </w:pPr>
      <w:r>
        <w:rPr>
          <w:rFonts w:ascii="Courier New" w:hAnsi="Courier New"/>
          <w:b w:val="0"/>
          <w:i w:val="0"/>
          <w:sz w:val="17"/>
        </w:rPr>
        <w:t xml:space="preserve">    df, x="Log_GDP", y="Life expectancy at birth (years)",</w:t>
      </w:r>
    </w:p>
    <w:p>
      <w:pPr>
        <w:spacing w:after="160" w:line="252" w:lineRule="auto"/>
        <w:ind w:left="288"/>
        <w:jc w:val="both"/>
      </w:pPr>
      <w:r>
        <w:rPr>
          <w:rFonts w:ascii="Courier New" w:hAnsi="Courier New"/>
          <w:b w:val="0"/>
          <w:i w:val="0"/>
          <w:sz w:val="17"/>
        </w:rPr>
        <w:t xml:space="preserve">    color="Country", size="Year", hover_name="Country"</w:t>
      </w:r>
    </w:p>
    <w:p>
      <w:pPr>
        <w:spacing w:after="160" w:line="252" w:lineRule="auto"/>
        <w:ind w:left="288"/>
        <w:jc w:val="both"/>
      </w:pPr>
      <w:r>
        <w:rPr>
          <w:rFonts w:ascii="Courier New" w:hAnsi="Courier New"/>
          <w:b w:val="0"/>
          <w:i w:val="0"/>
          <w:sz w:val="17"/>
        </w:rPr>
        <w:t>)</w:t>
      </w:r>
    </w:p>
    <w:p>
      <w:pPr>
        <w:spacing w:after="160" w:line="252" w:lineRule="auto"/>
        <w:ind w:left="288"/>
        <w:jc w:val="both"/>
      </w:pPr>
      <w:r>
        <w:rPr>
          <w:rFonts w:ascii="Courier New" w:hAnsi="Courier New"/>
          <w:b w:val="0"/>
          <w:i w:val="0"/>
          <w:sz w:val="17"/>
        </w:rPr>
        <w:t>fig.show()</w:t>
      </w:r>
    </w:p>
    <w:p>
      <w:pPr>
        <w:pStyle w:val="Heading2"/>
        <w:spacing w:before="200" w:after="120"/>
      </w:pPr>
      <w:r>
        <w:rPr>
          <w:rFonts w:ascii="Times New Roman" w:hAnsi="Times New Roman"/>
          <w:b/>
          <w:sz w:val="24"/>
        </w:rPr>
        <w:t>8. Test Cases and Expected / Actual Results</w:t>
      </w:r>
    </w:p>
    <w:p>
      <w:pPr>
        <w:pStyle w:val="Heading3"/>
        <w:spacing w:before="160" w:after="100"/>
      </w:pPr>
      <w:r>
        <w:rPr>
          <w:rFonts w:ascii="Times New Roman" w:hAnsi="Times New Roman"/>
          <w:b/>
          <w:sz w:val="24"/>
        </w:rPr>
        <w:t>8.1 Test Case - Data Integrity</w:t>
      </w:r>
    </w:p>
    <w:tbl>
      <w:tblPr>
        <w:tblW w:type="auto" w:w="0"/>
        <w:jc w:val="center"/>
        <w:tblLook w:firstColumn="1" w:firstRow="1" w:lastColumn="0" w:lastRow="0" w:noHBand="0" w:noVBand="1" w:val="04A0"/>
      </w:tblPr>
      <w:tblGrid>
        <w:gridCol w:w="3120"/>
        <w:gridCol w:w="3120"/>
        <w:gridCol w:w="3120"/>
      </w:tblGrid>
      <w:tr>
        <w:tc>
          <w:tcPr>
            <w:tcW w:type="dxa" w:w="3120"/>
            <w:vAlign w:val="center"/>
          </w:tcPr>
          <w:p>
            <w:pPr>
              <w:jc w:val="center"/>
            </w:pPr>
            <w:r>
              <w:rPr>
                <w:rFonts w:ascii="Times New Roman" w:hAnsi="Times New Roman"/>
                <w:b/>
                <w:sz w:val="20"/>
              </w:rPr>
              <w:t>Check</w:t>
            </w:r>
          </w:p>
        </w:tc>
        <w:tc>
          <w:tcPr>
            <w:tcW w:type="dxa" w:w="3120"/>
            <w:vAlign w:val="center"/>
          </w:tcPr>
          <w:p>
            <w:pPr>
              <w:jc w:val="center"/>
            </w:pPr>
            <w:r>
              <w:rPr>
                <w:rFonts w:ascii="Times New Roman" w:hAnsi="Times New Roman"/>
                <w:b/>
                <w:sz w:val="20"/>
              </w:rPr>
              <w:t>Expected Result</w:t>
            </w:r>
          </w:p>
        </w:tc>
        <w:tc>
          <w:tcPr>
            <w:tcW w:type="dxa" w:w="3120"/>
            <w:vAlign w:val="center"/>
          </w:tcPr>
          <w:p>
            <w:pPr>
              <w:jc w:val="center"/>
            </w:pPr>
            <w:r>
              <w:rPr>
                <w:rFonts w:ascii="Times New Roman" w:hAnsi="Times New Roman"/>
                <w:b/>
                <w:sz w:val="20"/>
              </w:rPr>
              <w:t>Actual Result</w:t>
            </w:r>
          </w:p>
        </w:tc>
      </w:tr>
      <w:tr>
        <w:tc>
          <w:tcPr>
            <w:tcW w:type="dxa" w:w="3120"/>
            <w:vAlign w:val="center"/>
          </w:tcPr>
          <w:p>
            <w:r>
              <w:rPr>
                <w:rFonts w:ascii="Times New Roman" w:hAnsi="Times New Roman"/>
                <w:sz w:val="20"/>
              </w:rPr>
              <w:t>Rows</w:t>
            </w:r>
          </w:p>
        </w:tc>
        <w:tc>
          <w:tcPr>
            <w:tcW w:type="dxa" w:w="3120"/>
            <w:vAlign w:val="center"/>
          </w:tcPr>
          <w:p>
            <w:r>
              <w:rPr>
                <w:rFonts w:ascii="Times New Roman" w:hAnsi="Times New Roman"/>
                <w:sz w:val="20"/>
              </w:rPr>
              <w:t>96 country-year records</w:t>
            </w:r>
          </w:p>
        </w:tc>
        <w:tc>
          <w:tcPr>
            <w:tcW w:type="dxa" w:w="3120"/>
            <w:vAlign w:val="center"/>
          </w:tcPr>
          <w:p>
            <w:r>
              <w:rPr>
                <w:rFonts w:ascii="Times New Roman" w:hAnsi="Times New Roman"/>
                <w:sz w:val="20"/>
              </w:rPr>
              <w:t>96</w:t>
            </w:r>
          </w:p>
        </w:tc>
      </w:tr>
      <w:tr>
        <w:tc>
          <w:tcPr>
            <w:tcW w:type="dxa" w:w="3120"/>
            <w:vAlign w:val="center"/>
          </w:tcPr>
          <w:p>
            <w:r>
              <w:rPr>
                <w:rFonts w:ascii="Times New Roman" w:hAnsi="Times New Roman"/>
                <w:sz w:val="20"/>
              </w:rPr>
              <w:t>Countries</w:t>
            </w:r>
          </w:p>
        </w:tc>
        <w:tc>
          <w:tcPr>
            <w:tcW w:type="dxa" w:w="3120"/>
            <w:vAlign w:val="center"/>
          </w:tcPr>
          <w:p>
            <w:r>
              <w:rPr>
                <w:rFonts w:ascii="Times New Roman" w:hAnsi="Times New Roman"/>
                <w:sz w:val="20"/>
              </w:rPr>
              <w:t>6 unique countries</w:t>
            </w:r>
          </w:p>
        </w:tc>
        <w:tc>
          <w:tcPr>
            <w:tcW w:type="dxa" w:w="3120"/>
            <w:vAlign w:val="center"/>
          </w:tcPr>
          <w:p>
            <w:r>
              <w:rPr>
                <w:rFonts w:ascii="Times New Roman" w:hAnsi="Times New Roman"/>
                <w:sz w:val="20"/>
              </w:rPr>
              <w:t>6</w:t>
            </w:r>
          </w:p>
        </w:tc>
      </w:tr>
      <w:tr>
        <w:tc>
          <w:tcPr>
            <w:tcW w:type="dxa" w:w="3120"/>
            <w:vAlign w:val="center"/>
          </w:tcPr>
          <w:p>
            <w:r>
              <w:rPr>
                <w:rFonts w:ascii="Times New Roman" w:hAnsi="Times New Roman"/>
                <w:sz w:val="20"/>
              </w:rPr>
              <w:t>Years</w:t>
            </w:r>
          </w:p>
        </w:tc>
        <w:tc>
          <w:tcPr>
            <w:tcW w:type="dxa" w:w="3120"/>
            <w:vAlign w:val="center"/>
          </w:tcPr>
          <w:p>
            <w:r>
              <w:rPr>
                <w:rFonts w:ascii="Times New Roman" w:hAnsi="Times New Roman"/>
                <w:sz w:val="20"/>
              </w:rPr>
              <w:t>2000-2015</w:t>
            </w:r>
          </w:p>
        </w:tc>
        <w:tc>
          <w:tcPr>
            <w:tcW w:type="dxa" w:w="3120"/>
            <w:vAlign w:val="center"/>
          </w:tcPr>
          <w:p>
            <w:r>
              <w:rPr>
                <w:rFonts w:ascii="Times New Roman" w:hAnsi="Times New Roman"/>
                <w:sz w:val="20"/>
              </w:rPr>
              <w:t>2000-2015</w:t>
            </w:r>
          </w:p>
        </w:tc>
      </w:tr>
      <w:tr>
        <w:tc>
          <w:tcPr>
            <w:tcW w:type="dxa" w:w="3120"/>
            <w:vAlign w:val="center"/>
          </w:tcPr>
          <w:p>
            <w:r>
              <w:rPr>
                <w:rFonts w:ascii="Times New Roman" w:hAnsi="Times New Roman"/>
                <w:sz w:val="20"/>
              </w:rPr>
              <w:t>Required numeric fields</w:t>
            </w:r>
          </w:p>
        </w:tc>
        <w:tc>
          <w:tcPr>
            <w:tcW w:type="dxa" w:w="3120"/>
            <w:vAlign w:val="center"/>
          </w:tcPr>
          <w:p>
            <w:r>
              <w:rPr>
                <w:rFonts w:ascii="Times New Roman" w:hAnsi="Times New Roman"/>
                <w:sz w:val="20"/>
              </w:rPr>
              <w:t>Numeric and usable</w:t>
            </w:r>
          </w:p>
        </w:tc>
        <w:tc>
          <w:tcPr>
            <w:tcW w:type="dxa" w:w="3120"/>
            <w:vAlign w:val="center"/>
          </w:tcPr>
          <w:p>
            <w:r>
              <w:rPr>
                <w:rFonts w:ascii="Times New Roman" w:hAnsi="Times New Roman"/>
                <w:sz w:val="20"/>
              </w:rPr>
              <w:t>Validated</w:t>
            </w:r>
          </w:p>
        </w:tc>
      </w:tr>
      <w:tr>
        <w:tc>
          <w:tcPr>
            <w:tcW w:type="dxa" w:w="3120"/>
            <w:vAlign w:val="center"/>
          </w:tcPr>
          <w:p>
            <w:r>
              <w:rPr>
                <w:rFonts w:ascii="Times New Roman" w:hAnsi="Times New Roman"/>
                <w:sz w:val="20"/>
              </w:rPr>
              <w:t>Duplicate country-year records</w:t>
            </w:r>
          </w:p>
        </w:tc>
        <w:tc>
          <w:tcPr>
            <w:tcW w:type="dxa" w:w="3120"/>
            <w:vAlign w:val="center"/>
          </w:tcPr>
          <w:p>
            <w:r>
              <w:rPr>
                <w:rFonts w:ascii="Times New Roman" w:hAnsi="Times New Roman"/>
                <w:sz w:val="20"/>
              </w:rPr>
              <w:t>None</w:t>
            </w:r>
          </w:p>
        </w:tc>
        <w:tc>
          <w:tcPr>
            <w:tcW w:type="dxa" w:w="3120"/>
            <w:vAlign w:val="center"/>
          </w:tcPr>
          <w:p>
            <w:r>
              <w:rPr>
                <w:rFonts w:ascii="Times New Roman" w:hAnsi="Times New Roman"/>
                <w:sz w:val="20"/>
              </w:rPr>
              <w:t>None detected</w:t>
            </w:r>
          </w:p>
        </w:tc>
      </w:tr>
    </w:tbl>
    <w:p>
      <w:pPr>
        <w:pStyle w:val="Heading3"/>
        <w:spacing w:before="160" w:after="100"/>
      </w:pPr>
      <w:r>
        <w:rPr>
          <w:rFonts w:ascii="Times New Roman" w:hAnsi="Times New Roman"/>
          <w:b/>
          <w:sz w:val="24"/>
        </w:rPr>
        <w:t>8.2 Analytical Results</w:t>
      </w:r>
    </w:p>
    <w:p>
      <w:pPr>
        <w:spacing w:after="160" w:line="252" w:lineRule="auto"/>
        <w:jc w:val="both"/>
      </w:pPr>
      <w:r>
        <w:rPr>
          <w:rFonts w:ascii="Times New Roman" w:hAnsi="Times New Roman"/>
          <w:b w:val="0"/>
          <w:i w:val="0"/>
          <w:sz w:val="24"/>
        </w:rPr>
        <w:t>The compact dataset contains 96 observations. Sixty-five observations (67.7%) fall into the High (&gt;75 years) category, 16 (16.7%) fall into Medium (60-75 years), and 15 (15.6%) fall below 60 years. The distribution is therefore not symmetric: the high-life-expectancy group dominates the sample while Zimbabwe contributes the low end of the distribution.</w:t>
      </w:r>
    </w:p>
    <w:p>
      <w:pPr>
        <w:spacing w:after="160" w:line="252" w:lineRule="auto"/>
        <w:jc w:val="both"/>
      </w:pPr>
      <w:r>
        <w:rPr>
          <w:rFonts w:ascii="Times New Roman" w:hAnsi="Times New Roman"/>
          <w:b w:val="0"/>
          <w:i w:val="0"/>
          <w:sz w:val="24"/>
        </w:rPr>
        <w:t>Average life expectancy increases from 70.77 years in 2000 to 75.72 years in 2015, an increase of 4.95 years in the six-country average. Country-level change ranges from 1.6 years for the United States to 14.7 years for Zimbabwe, showing substantial differences in temporal trajectories.</w:t>
      </w:r>
    </w:p>
    <w:p>
      <w:pPr>
        <w:spacing w:after="160" w:line="252" w:lineRule="auto"/>
        <w:jc w:val="both"/>
      </w:pPr>
      <w:r>
        <w:rPr>
          <w:rFonts w:ascii="Times New Roman" w:hAnsi="Times New Roman"/>
          <w:b w:val="0"/>
          <w:i w:val="0"/>
          <w:sz w:val="24"/>
        </w:rPr>
        <w:t>The Pearson correlation between raw GDP and life expectancy is 0.34, while the correlation between log10(GDP) and life expectancy is 0.79. The stronger log-scale association indicates that the extreme GDP scale materially affects the raw relationship. This is a visualization lesson as well as an analytical result: transformations can make patterns easier to inspect when values span several orders of magnitude.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jc w:val="center"/>
            </w:pPr>
            <w:r>
              <w:rPr>
                <w:rFonts w:ascii="Times New Roman" w:hAnsi="Times New Roman"/>
                <w:b/>
                <w:sz w:val="20"/>
              </w:rPr>
              <w:t>Country</w:t>
            </w:r>
          </w:p>
        </w:tc>
        <w:tc>
          <w:tcPr>
            <w:tcW w:type="dxa" w:w="1872"/>
            <w:vAlign w:val="center"/>
          </w:tcPr>
          <w:p>
            <w:pPr>
              <w:jc w:val="center"/>
            </w:pPr>
            <w:r>
              <w:rPr>
                <w:rFonts w:ascii="Times New Roman" w:hAnsi="Times New Roman"/>
                <w:b/>
                <w:sz w:val="20"/>
              </w:rPr>
              <w:t>Mean Life (years)</w:t>
            </w:r>
          </w:p>
        </w:tc>
        <w:tc>
          <w:tcPr>
            <w:tcW w:type="dxa" w:w="1872"/>
            <w:vAlign w:val="center"/>
          </w:tcPr>
          <w:p>
            <w:pPr>
              <w:jc w:val="center"/>
            </w:pPr>
            <w:r>
              <w:rPr>
                <w:rFonts w:ascii="Times New Roman" w:hAnsi="Times New Roman"/>
                <w:b/>
                <w:sz w:val="20"/>
              </w:rPr>
              <w:t>2000</w:t>
            </w:r>
          </w:p>
        </w:tc>
        <w:tc>
          <w:tcPr>
            <w:tcW w:type="dxa" w:w="1872"/>
            <w:vAlign w:val="center"/>
          </w:tcPr>
          <w:p>
            <w:pPr>
              <w:jc w:val="center"/>
            </w:pPr>
            <w:r>
              <w:rPr>
                <w:rFonts w:ascii="Times New Roman" w:hAnsi="Times New Roman"/>
                <w:b/>
                <w:sz w:val="20"/>
              </w:rPr>
              <w:t>2015</w:t>
            </w:r>
          </w:p>
        </w:tc>
        <w:tc>
          <w:tcPr>
            <w:tcW w:type="dxa" w:w="1872"/>
            <w:vAlign w:val="center"/>
          </w:tcPr>
          <w:p>
            <w:pPr>
              <w:jc w:val="center"/>
            </w:pPr>
            <w:r>
              <w:rPr>
                <w:rFonts w:ascii="Times New Roman" w:hAnsi="Times New Roman"/>
                <w:b/>
                <w:sz w:val="20"/>
              </w:rPr>
              <w:t>Change</w:t>
            </w:r>
          </w:p>
        </w:tc>
      </w:tr>
      <w:tr>
        <w:tc>
          <w:tcPr>
            <w:tcW w:type="dxa" w:w="1872"/>
            <w:vAlign w:val="center"/>
          </w:tcPr>
          <w:p>
            <w:r>
              <w:rPr>
                <w:rFonts w:ascii="Times New Roman" w:hAnsi="Times New Roman"/>
                <w:sz w:val="20"/>
              </w:rPr>
              <w:t>Chile</w:t>
            </w:r>
          </w:p>
        </w:tc>
        <w:tc>
          <w:tcPr>
            <w:tcW w:type="dxa" w:w="1872"/>
            <w:vAlign w:val="center"/>
          </w:tcPr>
          <w:p>
            <w:r>
              <w:rPr>
                <w:rFonts w:ascii="Times New Roman" w:hAnsi="Times New Roman"/>
                <w:sz w:val="20"/>
              </w:rPr>
              <w:t>78.94</w:t>
            </w:r>
          </w:p>
        </w:tc>
        <w:tc>
          <w:tcPr>
            <w:tcW w:type="dxa" w:w="1872"/>
            <w:vAlign w:val="center"/>
          </w:tcPr>
          <w:p>
            <w:r>
              <w:rPr>
                <w:rFonts w:ascii="Times New Roman" w:hAnsi="Times New Roman"/>
                <w:sz w:val="20"/>
              </w:rPr>
              <w:t>77.3</w:t>
            </w:r>
          </w:p>
        </w:tc>
        <w:tc>
          <w:tcPr>
            <w:tcW w:type="dxa" w:w="1872"/>
            <w:vAlign w:val="center"/>
          </w:tcPr>
          <w:p>
            <w:r>
              <w:rPr>
                <w:rFonts w:ascii="Times New Roman" w:hAnsi="Times New Roman"/>
                <w:sz w:val="20"/>
              </w:rPr>
              <w:t>80.5</w:t>
            </w:r>
          </w:p>
        </w:tc>
        <w:tc>
          <w:tcPr>
            <w:tcW w:type="dxa" w:w="1872"/>
            <w:vAlign w:val="center"/>
          </w:tcPr>
          <w:p>
            <w:r>
              <w:rPr>
                <w:rFonts w:ascii="Times New Roman" w:hAnsi="Times New Roman"/>
                <w:sz w:val="20"/>
              </w:rPr>
              <w:t>3.2</w:t>
            </w:r>
          </w:p>
        </w:tc>
      </w:tr>
      <w:tr>
        <w:tc>
          <w:tcPr>
            <w:tcW w:type="dxa" w:w="1872"/>
            <w:vAlign w:val="center"/>
          </w:tcPr>
          <w:p>
            <w:r>
              <w:rPr>
                <w:rFonts w:ascii="Times New Roman" w:hAnsi="Times New Roman"/>
                <w:sz w:val="20"/>
              </w:rPr>
              <w:t>China</w:t>
            </w:r>
          </w:p>
        </w:tc>
        <w:tc>
          <w:tcPr>
            <w:tcW w:type="dxa" w:w="1872"/>
            <w:vAlign w:val="center"/>
          </w:tcPr>
          <w:p>
            <w:r>
              <w:rPr>
                <w:rFonts w:ascii="Times New Roman" w:hAnsi="Times New Roman"/>
                <w:sz w:val="20"/>
              </w:rPr>
              <w:t>74.26</w:t>
            </w:r>
          </w:p>
        </w:tc>
        <w:tc>
          <w:tcPr>
            <w:tcW w:type="dxa" w:w="1872"/>
            <w:vAlign w:val="center"/>
          </w:tcPr>
          <w:p>
            <w:r>
              <w:rPr>
                <w:rFonts w:ascii="Times New Roman" w:hAnsi="Times New Roman"/>
                <w:sz w:val="20"/>
              </w:rPr>
              <w:t>71.7</w:t>
            </w:r>
          </w:p>
        </w:tc>
        <w:tc>
          <w:tcPr>
            <w:tcW w:type="dxa" w:w="1872"/>
            <w:vAlign w:val="center"/>
          </w:tcPr>
          <w:p>
            <w:r>
              <w:rPr>
                <w:rFonts w:ascii="Times New Roman" w:hAnsi="Times New Roman"/>
                <w:sz w:val="20"/>
              </w:rPr>
              <w:t>76.1</w:t>
            </w:r>
          </w:p>
        </w:tc>
        <w:tc>
          <w:tcPr>
            <w:tcW w:type="dxa" w:w="1872"/>
            <w:vAlign w:val="center"/>
          </w:tcPr>
          <w:p>
            <w:r>
              <w:rPr>
                <w:rFonts w:ascii="Times New Roman" w:hAnsi="Times New Roman"/>
                <w:sz w:val="20"/>
              </w:rPr>
              <w:t>4.4</w:t>
            </w:r>
          </w:p>
        </w:tc>
      </w:tr>
      <w:tr>
        <w:tc>
          <w:tcPr>
            <w:tcW w:type="dxa" w:w="1872"/>
            <w:vAlign w:val="center"/>
          </w:tcPr>
          <w:p>
            <w:r>
              <w:rPr>
                <w:rFonts w:ascii="Times New Roman" w:hAnsi="Times New Roman"/>
                <w:sz w:val="20"/>
              </w:rPr>
              <w:t>Germany</w:t>
            </w:r>
          </w:p>
        </w:tc>
        <w:tc>
          <w:tcPr>
            <w:tcW w:type="dxa" w:w="1872"/>
            <w:vAlign w:val="center"/>
          </w:tcPr>
          <w:p>
            <w:r>
              <w:rPr>
                <w:rFonts w:ascii="Times New Roman" w:hAnsi="Times New Roman"/>
                <w:sz w:val="20"/>
              </w:rPr>
              <w:t>79.66</w:t>
            </w:r>
          </w:p>
        </w:tc>
        <w:tc>
          <w:tcPr>
            <w:tcW w:type="dxa" w:w="1872"/>
            <w:vAlign w:val="center"/>
          </w:tcPr>
          <w:p>
            <w:r>
              <w:rPr>
                <w:rFonts w:ascii="Times New Roman" w:hAnsi="Times New Roman"/>
                <w:sz w:val="20"/>
              </w:rPr>
              <w:t>78.0</w:t>
            </w:r>
          </w:p>
        </w:tc>
        <w:tc>
          <w:tcPr>
            <w:tcW w:type="dxa" w:w="1872"/>
            <w:vAlign w:val="center"/>
          </w:tcPr>
          <w:p>
            <w:r>
              <w:rPr>
                <w:rFonts w:ascii="Times New Roman" w:hAnsi="Times New Roman"/>
                <w:sz w:val="20"/>
              </w:rPr>
              <w:t>81.0</w:t>
            </w:r>
          </w:p>
        </w:tc>
        <w:tc>
          <w:tcPr>
            <w:tcW w:type="dxa" w:w="1872"/>
            <w:vAlign w:val="center"/>
          </w:tcPr>
          <w:p>
            <w:r>
              <w:rPr>
                <w:rFonts w:ascii="Times New Roman" w:hAnsi="Times New Roman"/>
                <w:sz w:val="20"/>
              </w:rPr>
              <w:t>3.0</w:t>
            </w:r>
          </w:p>
        </w:tc>
      </w:tr>
      <w:tr>
        <w:tc>
          <w:tcPr>
            <w:tcW w:type="dxa" w:w="1872"/>
            <w:vAlign w:val="center"/>
          </w:tcPr>
          <w:p>
            <w:r>
              <w:rPr>
                <w:rFonts w:ascii="Times New Roman" w:hAnsi="Times New Roman"/>
                <w:sz w:val="20"/>
              </w:rPr>
              <w:t>Mexico</w:t>
            </w:r>
          </w:p>
        </w:tc>
        <w:tc>
          <w:tcPr>
            <w:tcW w:type="dxa" w:w="1872"/>
            <w:vAlign w:val="center"/>
          </w:tcPr>
          <w:p>
            <w:r>
              <w:rPr>
                <w:rFonts w:ascii="Times New Roman" w:hAnsi="Times New Roman"/>
                <w:sz w:val="20"/>
              </w:rPr>
              <w:t>75.72</w:t>
            </w:r>
          </w:p>
        </w:tc>
        <w:tc>
          <w:tcPr>
            <w:tcW w:type="dxa" w:w="1872"/>
            <w:vAlign w:val="center"/>
          </w:tcPr>
          <w:p>
            <w:r>
              <w:rPr>
                <w:rFonts w:ascii="Times New Roman" w:hAnsi="Times New Roman"/>
                <w:sz w:val="20"/>
              </w:rPr>
              <w:t>74.8</w:t>
            </w:r>
          </w:p>
        </w:tc>
        <w:tc>
          <w:tcPr>
            <w:tcW w:type="dxa" w:w="1872"/>
            <w:vAlign w:val="center"/>
          </w:tcPr>
          <w:p>
            <w:r>
              <w:rPr>
                <w:rFonts w:ascii="Times New Roman" w:hAnsi="Times New Roman"/>
                <w:sz w:val="20"/>
              </w:rPr>
              <w:t>76.7</w:t>
            </w:r>
          </w:p>
        </w:tc>
        <w:tc>
          <w:tcPr>
            <w:tcW w:type="dxa" w:w="1872"/>
            <w:vAlign w:val="center"/>
          </w:tcPr>
          <w:p>
            <w:r>
              <w:rPr>
                <w:rFonts w:ascii="Times New Roman" w:hAnsi="Times New Roman"/>
                <w:sz w:val="20"/>
              </w:rPr>
              <w:t>1.9</w:t>
            </w:r>
          </w:p>
        </w:tc>
      </w:tr>
      <w:tr>
        <w:tc>
          <w:tcPr>
            <w:tcW w:type="dxa" w:w="1872"/>
            <w:vAlign w:val="center"/>
          </w:tcPr>
          <w:p>
            <w:r>
              <w:rPr>
                <w:rFonts w:ascii="Times New Roman" w:hAnsi="Times New Roman"/>
                <w:sz w:val="20"/>
              </w:rPr>
              <w:t>United States of America</w:t>
            </w:r>
          </w:p>
        </w:tc>
        <w:tc>
          <w:tcPr>
            <w:tcW w:type="dxa" w:w="1872"/>
            <w:vAlign w:val="center"/>
          </w:tcPr>
          <w:p>
            <w:r>
              <w:rPr>
                <w:rFonts w:ascii="Times New Roman" w:hAnsi="Times New Roman"/>
                <w:sz w:val="20"/>
              </w:rPr>
              <w:t>78.06</w:t>
            </w:r>
          </w:p>
        </w:tc>
        <w:tc>
          <w:tcPr>
            <w:tcW w:type="dxa" w:w="1872"/>
            <w:vAlign w:val="center"/>
          </w:tcPr>
          <w:p>
            <w:r>
              <w:rPr>
                <w:rFonts w:ascii="Times New Roman" w:hAnsi="Times New Roman"/>
                <w:sz w:val="20"/>
              </w:rPr>
              <w:t>76.8</w:t>
            </w:r>
          </w:p>
        </w:tc>
        <w:tc>
          <w:tcPr>
            <w:tcW w:type="dxa" w:w="1872"/>
            <w:vAlign w:val="center"/>
          </w:tcPr>
          <w:p>
            <w:r>
              <w:rPr>
                <w:rFonts w:ascii="Times New Roman" w:hAnsi="Times New Roman"/>
                <w:sz w:val="20"/>
              </w:rPr>
              <w:t>79.3</w:t>
            </w:r>
          </w:p>
        </w:tc>
        <w:tc>
          <w:tcPr>
            <w:tcW w:type="dxa" w:w="1872"/>
            <w:vAlign w:val="center"/>
          </w:tcPr>
          <w:p>
            <w:r>
              <w:rPr>
                <w:rFonts w:ascii="Times New Roman" w:hAnsi="Times New Roman"/>
                <w:sz w:val="20"/>
              </w:rPr>
              <w:t>2.5</w:t>
            </w:r>
          </w:p>
        </w:tc>
      </w:tr>
      <w:tr>
        <w:tc>
          <w:tcPr>
            <w:tcW w:type="dxa" w:w="1872"/>
            <w:vAlign w:val="center"/>
          </w:tcPr>
          <w:p>
            <w:r>
              <w:rPr>
                <w:rFonts w:ascii="Times New Roman" w:hAnsi="Times New Roman"/>
                <w:sz w:val="20"/>
              </w:rPr>
              <w:t>Zimbabwe</w:t>
            </w:r>
          </w:p>
        </w:tc>
        <w:tc>
          <w:tcPr>
            <w:tcW w:type="dxa" w:w="1872"/>
            <w:vAlign w:val="center"/>
          </w:tcPr>
          <w:p>
            <w:r>
              <w:rPr>
                <w:rFonts w:ascii="Times New Roman" w:hAnsi="Times New Roman"/>
                <w:sz w:val="20"/>
              </w:rPr>
              <w:t>50.09</w:t>
            </w:r>
          </w:p>
        </w:tc>
        <w:tc>
          <w:tcPr>
            <w:tcW w:type="dxa" w:w="1872"/>
            <w:vAlign w:val="center"/>
          </w:tcPr>
          <w:p>
            <w:r>
              <w:rPr>
                <w:rFonts w:ascii="Times New Roman" w:hAnsi="Times New Roman"/>
                <w:sz w:val="20"/>
              </w:rPr>
              <w:t>46.0</w:t>
            </w:r>
          </w:p>
        </w:tc>
        <w:tc>
          <w:tcPr>
            <w:tcW w:type="dxa" w:w="1872"/>
            <w:vAlign w:val="center"/>
          </w:tcPr>
          <w:p>
            <w:r>
              <w:rPr>
                <w:rFonts w:ascii="Times New Roman" w:hAnsi="Times New Roman"/>
                <w:sz w:val="20"/>
              </w:rPr>
              <w:t>60.7</w:t>
            </w:r>
          </w:p>
        </w:tc>
        <w:tc>
          <w:tcPr>
            <w:tcW w:type="dxa" w:w="1872"/>
            <w:vAlign w:val="center"/>
          </w:tcPr>
          <w:p>
            <w:r>
              <w:rPr>
                <w:rFonts w:ascii="Times New Roman" w:hAnsi="Times New Roman"/>
                <w:sz w:val="20"/>
              </w:rPr>
              <w:t>14.7</w:t>
            </w:r>
          </w:p>
        </w:tc>
      </w:tr>
    </w:tbl>
    <w:p>
      <w:pPr>
        <w:pStyle w:val="Heading2"/>
        <w:spacing w:before="200" w:after="120"/>
      </w:pPr>
      <w:r>
        <w:rPr>
          <w:rFonts w:ascii="Times New Roman" w:hAnsi="Times New Roman"/>
          <w:b/>
          <w:sz w:val="24"/>
        </w:rPr>
        <w:t>9. Execution Screenshots / Outputs</w:t>
      </w:r>
    </w:p>
    <w:p>
      <w:pPr>
        <w:spacing w:after="160" w:line="252" w:lineRule="auto"/>
        <w:jc w:val="both"/>
      </w:pPr>
      <w:r>
        <w:rPr>
          <w:rFonts w:ascii="Times New Roman" w:hAnsi="Times New Roman"/>
          <w:b w:val="0"/>
          <w:i w:val="0"/>
          <w:sz w:val="24"/>
        </w:rPr>
        <w:t>The following figures provide evidence for the implementation and results. They are embedded directly in the report so that the evaluation can be reproduced from the same underlying data.</w:t>
      </w:r>
    </w:p>
    <w:p>
      <w:pPr>
        <w:spacing w:after="40"/>
        <w:jc w:val="center"/>
      </w:pPr>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fig1_histogram.png"/>
                    <pic:cNvPicPr/>
                  </pic:nvPicPr>
                  <pic:blipFill>
                    <a:blip r:embed="rId13"/>
                    <a:stretch>
                      <a:fillRect/>
                    </a:stretch>
                  </pic:blipFill>
                  <pic:spPr>
                    <a:xfrm>
                      <a:off x="0" y="0"/>
                      <a:ext cx="5669280" cy="3307080"/>
                    </a:xfrm>
                    <a:prstGeom prst="rect"/>
                  </pic:spPr>
                </pic:pic>
              </a:graphicData>
            </a:graphic>
          </wp:inline>
        </w:drawing>
      </w:r>
    </w:p>
    <w:p>
      <w:pPr>
        <w:spacing w:after="160"/>
        <w:jc w:val="center"/>
      </w:pPr>
      <w:r>
        <w:rPr>
          <w:rFonts w:ascii="Times New Roman" w:hAnsi="Times New Roman"/>
          <w:i/>
          <w:sz w:val="18"/>
        </w:rPr>
        <w:t>Figure 1. Histogram of life expectancy for all 96 country-year observations.</w:t>
      </w:r>
    </w:p>
    <w:p>
      <w:pPr>
        <w:spacing w:after="40"/>
        <w:jc w:val="center"/>
      </w:pPr>
      <w:r>
        <w:drawing>
          <wp:inline xmlns:a="http://schemas.openxmlformats.org/drawingml/2006/main" xmlns:pic="http://schemas.openxmlformats.org/drawingml/2006/picture">
            <wp:extent cx="5669280" cy="3307080"/>
            <wp:docPr id="2" name="Picture 2"/>
            <wp:cNvGraphicFramePr>
              <a:graphicFrameLocks noChangeAspect="1"/>
            </wp:cNvGraphicFramePr>
            <a:graphic>
              <a:graphicData uri="http://schemas.openxmlformats.org/drawingml/2006/picture">
                <pic:pic>
                  <pic:nvPicPr>
                    <pic:cNvPr id="0" name="fig2_boxplot.png"/>
                    <pic:cNvPicPr/>
                  </pic:nvPicPr>
                  <pic:blipFill>
                    <a:blip r:embed="rId14"/>
                    <a:stretch>
                      <a:fillRect/>
                    </a:stretch>
                  </pic:blipFill>
                  <pic:spPr>
                    <a:xfrm>
                      <a:off x="0" y="0"/>
                      <a:ext cx="5669280" cy="3307080"/>
                    </a:xfrm>
                    <a:prstGeom prst="rect"/>
                  </pic:spPr>
                </pic:pic>
              </a:graphicData>
            </a:graphic>
          </wp:inline>
        </w:drawing>
      </w:r>
    </w:p>
    <w:p>
      <w:pPr>
        <w:spacing w:after="160"/>
        <w:jc w:val="center"/>
      </w:pPr>
      <w:r>
        <w:rPr>
          <w:rFonts w:ascii="Times New Roman" w:hAnsi="Times New Roman"/>
          <w:i/>
          <w:sz w:val="18"/>
        </w:rPr>
        <w:t>Figure 2. Box plot comparing the distribution of life expectancy across countries.</w:t>
      </w:r>
    </w:p>
    <w:p>
      <w:pPr>
        <w:spacing w:after="40"/>
        <w:jc w:val="center"/>
      </w:pPr>
      <w:r>
        <w:drawing>
          <wp:inline xmlns:a="http://schemas.openxmlformats.org/drawingml/2006/main" xmlns:pic="http://schemas.openxmlformats.org/drawingml/2006/picture">
            <wp:extent cx="5669280" cy="4813540"/>
            <wp:docPr id="3" name="Picture 3"/>
            <wp:cNvGraphicFramePr>
              <a:graphicFrameLocks noChangeAspect="1"/>
            </wp:cNvGraphicFramePr>
            <a:graphic>
              <a:graphicData uri="http://schemas.openxmlformats.org/drawingml/2006/picture">
                <pic:pic>
                  <pic:nvPicPr>
                    <pic:cNvPr id="0" name="fig3_donut.png"/>
                    <pic:cNvPicPr/>
                  </pic:nvPicPr>
                  <pic:blipFill>
                    <a:blip r:embed="rId15"/>
                    <a:stretch>
                      <a:fillRect/>
                    </a:stretch>
                  </pic:blipFill>
                  <pic:spPr>
                    <a:xfrm>
                      <a:off x="0" y="0"/>
                      <a:ext cx="5669280" cy="4813540"/>
                    </a:xfrm>
                    <a:prstGeom prst="rect"/>
                  </pic:spPr>
                </pic:pic>
              </a:graphicData>
            </a:graphic>
          </wp:inline>
        </w:drawing>
      </w:r>
    </w:p>
    <w:p>
      <w:pPr>
        <w:spacing w:after="160"/>
        <w:jc w:val="center"/>
      </w:pPr>
      <w:r>
        <w:rPr>
          <w:rFonts w:ascii="Times New Roman" w:hAnsi="Times New Roman"/>
          <w:i/>
          <w:sz w:val="18"/>
        </w:rPr>
        <w:t>Figure 3. Donut chart showing the proportion of observations in the three life-expectancy categories.</w:t>
      </w:r>
    </w:p>
    <w:p>
      <w:pPr>
        <w:spacing w:after="40"/>
        <w:jc w:val="center"/>
      </w:pPr>
      <w:r>
        <w:drawing>
          <wp:inline xmlns:a="http://schemas.openxmlformats.org/drawingml/2006/main" xmlns:pic="http://schemas.openxmlformats.org/drawingml/2006/picture">
            <wp:extent cx="5669280" cy="3307080"/>
            <wp:docPr id="4" name="Picture 4"/>
            <wp:cNvGraphicFramePr>
              <a:graphicFrameLocks noChangeAspect="1"/>
            </wp:cNvGraphicFramePr>
            <a:graphic>
              <a:graphicData uri="http://schemas.openxmlformats.org/drawingml/2006/picture">
                <pic:pic>
                  <pic:nvPicPr>
                    <pic:cNvPr id="0" name="fig4_bar.png"/>
                    <pic:cNvPicPr/>
                  </pic:nvPicPr>
                  <pic:blipFill>
                    <a:blip r:embed="rId16"/>
                    <a:stretch>
                      <a:fillRect/>
                    </a:stretch>
                  </pic:blipFill>
                  <pic:spPr>
                    <a:xfrm>
                      <a:off x="0" y="0"/>
                      <a:ext cx="5669280" cy="3307080"/>
                    </a:xfrm>
                    <a:prstGeom prst="rect"/>
                  </pic:spPr>
                </pic:pic>
              </a:graphicData>
            </a:graphic>
          </wp:inline>
        </w:drawing>
      </w:r>
    </w:p>
    <w:p>
      <w:pPr>
        <w:spacing w:after="160"/>
        <w:jc w:val="center"/>
      </w:pPr>
      <w:r>
        <w:rPr>
          <w:rFonts w:ascii="Times New Roman" w:hAnsi="Times New Roman"/>
          <w:i/>
          <w:sz w:val="18"/>
        </w:rPr>
        <w:t>Figure 4. Bar chart comparing mean life expectancy by country.</w:t>
      </w:r>
    </w:p>
    <w:p>
      <w:pPr>
        <w:spacing w:after="40"/>
        <w:jc w:val="center"/>
      </w:pPr>
      <w:r>
        <w:drawing>
          <wp:inline xmlns:a="http://schemas.openxmlformats.org/drawingml/2006/main" xmlns:pic="http://schemas.openxmlformats.org/drawingml/2006/picture">
            <wp:extent cx="5669280" cy="3617666"/>
            <wp:docPr id="5" name="Picture 5"/>
            <wp:cNvGraphicFramePr>
              <a:graphicFrameLocks noChangeAspect="1"/>
            </wp:cNvGraphicFramePr>
            <a:graphic>
              <a:graphicData uri="http://schemas.openxmlformats.org/drawingml/2006/picture">
                <pic:pic>
                  <pic:nvPicPr>
                    <pic:cNvPr id="0" name="fig5_scatter.png"/>
                    <pic:cNvPicPr/>
                  </pic:nvPicPr>
                  <pic:blipFill>
                    <a:blip r:embed="rId17"/>
                    <a:stretch>
                      <a:fillRect/>
                    </a:stretch>
                  </pic:blipFill>
                  <pic:spPr>
                    <a:xfrm>
                      <a:off x="0" y="0"/>
                      <a:ext cx="5669280" cy="3617666"/>
                    </a:xfrm>
                    <a:prstGeom prst="rect"/>
                  </pic:spPr>
                </pic:pic>
              </a:graphicData>
            </a:graphic>
          </wp:inline>
        </w:drawing>
      </w:r>
    </w:p>
    <w:p>
      <w:pPr>
        <w:spacing w:after="160"/>
        <w:jc w:val="center"/>
      </w:pPr>
      <w:r>
        <w:rPr>
          <w:rFonts w:ascii="Times New Roman" w:hAnsi="Times New Roman"/>
          <w:i/>
          <w:sz w:val="18"/>
        </w:rPr>
        <w:t>Figure 5. Scatter plot of log10(GDP) versus life expectancy with country grouping and a trend line.</w:t>
      </w:r>
    </w:p>
    <w:p>
      <w:pPr>
        <w:spacing w:after="40"/>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fig6_line.png"/>
                    <pic:cNvPicPr/>
                  </pic:nvPicPr>
                  <pic:blipFill>
                    <a:blip r:embed="rId18"/>
                    <a:stretch>
                      <a:fillRect/>
                    </a:stretch>
                  </pic:blipFill>
                  <pic:spPr>
                    <a:xfrm>
                      <a:off x="0" y="0"/>
                      <a:ext cx="5669280" cy="3779520"/>
                    </a:xfrm>
                    <a:prstGeom prst="rect"/>
                  </pic:spPr>
                </pic:pic>
              </a:graphicData>
            </a:graphic>
          </wp:inline>
        </w:drawing>
      </w:r>
    </w:p>
    <w:p>
      <w:pPr>
        <w:spacing w:after="160"/>
        <w:jc w:val="center"/>
      </w:pPr>
      <w:r>
        <w:rPr>
          <w:rFonts w:ascii="Times New Roman" w:hAnsi="Times New Roman"/>
          <w:i/>
          <w:sz w:val="18"/>
        </w:rPr>
        <w:t>Figure 6. Line chart showing life expectancy trends from 2000 to 2015.</w:t>
      </w:r>
    </w:p>
    <w:p>
      <w:pPr>
        <w:spacing w:after="40"/>
        <w:jc w:val="center"/>
      </w:pPr>
      <w:r>
        <w:drawing>
          <wp:inline xmlns:a="http://schemas.openxmlformats.org/drawingml/2006/main" xmlns:pic="http://schemas.openxmlformats.org/drawingml/2006/picture">
            <wp:extent cx="5669280" cy="4735853"/>
            <wp:docPr id="7" name="Picture 7"/>
            <wp:cNvGraphicFramePr>
              <a:graphicFrameLocks noChangeAspect="1"/>
            </wp:cNvGraphicFramePr>
            <a:graphic>
              <a:graphicData uri="http://schemas.openxmlformats.org/drawingml/2006/picture">
                <pic:pic>
                  <pic:nvPicPr>
                    <pic:cNvPr id="0" name="fig7_heatmap.png"/>
                    <pic:cNvPicPr/>
                  </pic:nvPicPr>
                  <pic:blipFill>
                    <a:blip r:embed="rId19"/>
                    <a:stretch>
                      <a:fillRect/>
                    </a:stretch>
                  </pic:blipFill>
                  <pic:spPr>
                    <a:xfrm>
                      <a:off x="0" y="0"/>
                      <a:ext cx="5669280" cy="4735853"/>
                    </a:xfrm>
                    <a:prstGeom prst="rect"/>
                  </pic:spPr>
                </pic:pic>
              </a:graphicData>
            </a:graphic>
          </wp:inline>
        </w:drawing>
      </w:r>
    </w:p>
    <w:p>
      <w:pPr>
        <w:spacing w:after="160"/>
        <w:jc w:val="center"/>
      </w:pPr>
      <w:r>
        <w:rPr>
          <w:rFonts w:ascii="Times New Roman" w:hAnsi="Times New Roman"/>
          <w:i/>
          <w:sz w:val="18"/>
        </w:rPr>
        <w:t>Figure 7. Correlation heatmap for numeric variables.</w:t>
      </w:r>
    </w:p>
    <w:p>
      <w:pPr>
        <w:spacing w:after="40"/>
        <w:jc w:val="center"/>
      </w:pPr>
      <w:r>
        <w:drawing>
          <wp:inline xmlns:a="http://schemas.openxmlformats.org/drawingml/2006/main" xmlns:pic="http://schemas.openxmlformats.org/drawingml/2006/picture">
            <wp:extent cx="5669280" cy="4277729"/>
            <wp:docPr id="8" name="Picture 8"/>
            <wp:cNvGraphicFramePr>
              <a:graphicFrameLocks noChangeAspect="1"/>
            </wp:cNvGraphicFramePr>
            <a:graphic>
              <a:graphicData uri="http://schemas.openxmlformats.org/drawingml/2006/picture">
                <pic:pic>
                  <pic:nvPicPr>
                    <pic:cNvPr id="0" name="dashboard.png"/>
                    <pic:cNvPicPr/>
                  </pic:nvPicPr>
                  <pic:blipFill>
                    <a:blip r:embed="rId20"/>
                    <a:stretch>
                      <a:fillRect/>
                    </a:stretch>
                  </pic:blipFill>
                  <pic:spPr>
                    <a:xfrm>
                      <a:off x="0" y="0"/>
                      <a:ext cx="5669280" cy="4277729"/>
                    </a:xfrm>
                    <a:prstGeom prst="rect"/>
                  </pic:spPr>
                </pic:pic>
              </a:graphicData>
            </a:graphic>
          </wp:inline>
        </w:drawing>
      </w:r>
    </w:p>
    <w:p>
      <w:pPr>
        <w:spacing w:after="160"/>
        <w:jc w:val="center"/>
      </w:pPr>
      <w:r>
        <w:rPr>
          <w:rFonts w:ascii="Times New Roman" w:hAnsi="Times New Roman"/>
          <w:i/>
          <w:sz w:val="18"/>
        </w:rPr>
        <w:t>Figure 8. Multi-view dashboard layout combining KPIs, distribution, proportion, comparison, relationship, trend, and correlation views.</w:t>
      </w:r>
    </w:p>
    <w:p>
      <w:pPr>
        <w:pStyle w:val="Heading2"/>
        <w:spacing w:before="200" w:after="120"/>
      </w:pPr>
      <w:r>
        <w:rPr>
          <w:rFonts w:ascii="Times New Roman" w:hAnsi="Times New Roman"/>
          <w:b/>
          <w:sz w:val="24"/>
        </w:rPr>
        <w:t>10. Results and Validation</w:t>
      </w:r>
    </w:p>
    <w:p>
      <w:pPr>
        <w:pStyle w:val="Heading3"/>
        <w:spacing w:before="160" w:after="100"/>
      </w:pPr>
      <w:r>
        <w:rPr>
          <w:rFonts w:ascii="Times New Roman" w:hAnsi="Times New Roman"/>
          <w:b/>
          <w:sz w:val="24"/>
        </w:rPr>
        <w:t>10.1 Validation Results</w:t>
      </w:r>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rPr>
                <w:rFonts w:ascii="Times New Roman" w:hAnsi="Times New Roman"/>
                <w:b/>
                <w:sz w:val="20"/>
              </w:rPr>
              <w:t>Parameter</w:t>
            </w:r>
          </w:p>
        </w:tc>
        <w:tc>
          <w:tcPr>
            <w:tcW w:type="dxa" w:w="4680"/>
            <w:vAlign w:val="center"/>
          </w:tcPr>
          <w:p>
            <w:pPr>
              <w:jc w:val="center"/>
            </w:pPr>
            <w:r>
              <w:rPr>
                <w:rFonts w:ascii="Times New Roman" w:hAnsi="Times New Roman"/>
                <w:b/>
                <w:sz w:val="20"/>
              </w:rPr>
              <w:t>Result</w:t>
            </w:r>
          </w:p>
        </w:tc>
      </w:tr>
      <w:tr>
        <w:tc>
          <w:tcPr>
            <w:tcW w:type="dxa" w:w="4680"/>
            <w:vAlign w:val="center"/>
          </w:tcPr>
          <w:p>
            <w:r>
              <w:rPr>
                <w:rFonts w:ascii="Times New Roman" w:hAnsi="Times New Roman"/>
                <w:sz w:val="20"/>
              </w:rPr>
              <w:t>Data loading</w:t>
            </w:r>
          </w:p>
        </w:tc>
        <w:tc>
          <w:tcPr>
            <w:tcW w:type="dxa" w:w="4680"/>
            <w:vAlign w:val="center"/>
          </w:tcPr>
          <w:p>
            <w:r>
              <w:rPr>
                <w:rFonts w:ascii="Times New Roman" w:hAnsi="Times New Roman"/>
                <w:sz w:val="20"/>
              </w:rPr>
              <w:t>Successful</w:t>
            </w:r>
          </w:p>
        </w:tc>
      </w:tr>
      <w:tr>
        <w:tc>
          <w:tcPr>
            <w:tcW w:type="dxa" w:w="4680"/>
            <w:vAlign w:val="center"/>
          </w:tcPr>
          <w:p>
            <w:r>
              <w:rPr>
                <w:rFonts w:ascii="Times New Roman" w:hAnsi="Times New Roman"/>
                <w:sz w:val="20"/>
              </w:rPr>
              <w:t>Schema validation</w:t>
            </w:r>
          </w:p>
        </w:tc>
        <w:tc>
          <w:tcPr>
            <w:tcW w:type="dxa" w:w="4680"/>
            <w:vAlign w:val="center"/>
          </w:tcPr>
          <w:p>
            <w:r>
              <w:rPr>
                <w:rFonts w:ascii="Times New Roman" w:hAnsi="Times New Roman"/>
                <w:sz w:val="20"/>
              </w:rPr>
              <w:t>Successful</w:t>
            </w:r>
          </w:p>
        </w:tc>
      </w:tr>
      <w:tr>
        <w:tc>
          <w:tcPr>
            <w:tcW w:type="dxa" w:w="4680"/>
            <w:vAlign w:val="center"/>
          </w:tcPr>
          <w:p>
            <w:r>
              <w:rPr>
                <w:rFonts w:ascii="Times New Roman" w:hAnsi="Times New Roman"/>
                <w:sz w:val="20"/>
              </w:rPr>
              <w:t>Derived feature creation</w:t>
            </w:r>
          </w:p>
        </w:tc>
        <w:tc>
          <w:tcPr>
            <w:tcW w:type="dxa" w:w="4680"/>
            <w:vAlign w:val="center"/>
          </w:tcPr>
          <w:p>
            <w:r>
              <w:rPr>
                <w:rFonts w:ascii="Times New Roman" w:hAnsi="Times New Roman"/>
                <w:sz w:val="20"/>
              </w:rPr>
              <w:t>Successful</w:t>
            </w:r>
          </w:p>
        </w:tc>
      </w:tr>
      <w:tr>
        <w:tc>
          <w:tcPr>
            <w:tcW w:type="dxa" w:w="4680"/>
            <w:vAlign w:val="center"/>
          </w:tcPr>
          <w:p>
            <w:r>
              <w:rPr>
                <w:rFonts w:ascii="Times New Roman" w:hAnsi="Times New Roman"/>
                <w:sz w:val="20"/>
              </w:rPr>
              <w:t>Distribution views</w:t>
            </w:r>
          </w:p>
        </w:tc>
        <w:tc>
          <w:tcPr>
            <w:tcW w:type="dxa" w:w="4680"/>
            <w:vAlign w:val="center"/>
          </w:tcPr>
          <w:p>
            <w:r>
              <w:rPr>
                <w:rFonts w:ascii="Times New Roman" w:hAnsi="Times New Roman"/>
                <w:sz w:val="20"/>
              </w:rPr>
              <w:t>Successful</w:t>
            </w:r>
          </w:p>
        </w:tc>
      </w:tr>
      <w:tr>
        <w:tc>
          <w:tcPr>
            <w:tcW w:type="dxa" w:w="4680"/>
            <w:vAlign w:val="center"/>
          </w:tcPr>
          <w:p>
            <w:r>
              <w:rPr>
                <w:rFonts w:ascii="Times New Roman" w:hAnsi="Times New Roman"/>
                <w:sz w:val="20"/>
              </w:rPr>
              <w:t>Proportion/comparison views</w:t>
            </w:r>
          </w:p>
        </w:tc>
        <w:tc>
          <w:tcPr>
            <w:tcW w:type="dxa" w:w="4680"/>
            <w:vAlign w:val="center"/>
          </w:tcPr>
          <w:p>
            <w:r>
              <w:rPr>
                <w:rFonts w:ascii="Times New Roman" w:hAnsi="Times New Roman"/>
                <w:sz w:val="20"/>
              </w:rPr>
              <w:t>Successful</w:t>
            </w:r>
          </w:p>
        </w:tc>
      </w:tr>
      <w:tr>
        <w:tc>
          <w:tcPr>
            <w:tcW w:type="dxa" w:w="4680"/>
            <w:vAlign w:val="center"/>
          </w:tcPr>
          <w:p>
            <w:r>
              <w:rPr>
                <w:rFonts w:ascii="Times New Roman" w:hAnsi="Times New Roman"/>
                <w:sz w:val="20"/>
              </w:rPr>
              <w:t>Relationship views</w:t>
            </w:r>
          </w:p>
        </w:tc>
        <w:tc>
          <w:tcPr>
            <w:tcW w:type="dxa" w:w="4680"/>
            <w:vAlign w:val="center"/>
          </w:tcPr>
          <w:p>
            <w:r>
              <w:rPr>
                <w:rFonts w:ascii="Times New Roman" w:hAnsi="Times New Roman"/>
                <w:sz w:val="20"/>
              </w:rPr>
              <w:t>Successful</w:t>
            </w:r>
          </w:p>
        </w:tc>
      </w:tr>
      <w:tr>
        <w:tc>
          <w:tcPr>
            <w:tcW w:type="dxa" w:w="4680"/>
            <w:vAlign w:val="center"/>
          </w:tcPr>
          <w:p>
            <w:r>
              <w:rPr>
                <w:rFonts w:ascii="Times New Roman" w:hAnsi="Times New Roman"/>
                <w:sz w:val="20"/>
              </w:rPr>
              <w:t>Trend view</w:t>
            </w:r>
          </w:p>
        </w:tc>
        <w:tc>
          <w:tcPr>
            <w:tcW w:type="dxa" w:w="4680"/>
            <w:vAlign w:val="center"/>
          </w:tcPr>
          <w:p>
            <w:r>
              <w:rPr>
                <w:rFonts w:ascii="Times New Roman" w:hAnsi="Times New Roman"/>
                <w:sz w:val="20"/>
              </w:rPr>
              <w:t>Successful</w:t>
            </w:r>
          </w:p>
        </w:tc>
      </w:tr>
      <w:tr>
        <w:tc>
          <w:tcPr>
            <w:tcW w:type="dxa" w:w="4680"/>
            <w:vAlign w:val="center"/>
          </w:tcPr>
          <w:p>
            <w:r>
              <w:rPr>
                <w:rFonts w:ascii="Times New Roman" w:hAnsi="Times New Roman"/>
                <w:sz w:val="20"/>
              </w:rPr>
              <w:t>Dashboard generation</w:t>
            </w:r>
          </w:p>
        </w:tc>
        <w:tc>
          <w:tcPr>
            <w:tcW w:type="dxa" w:w="4680"/>
            <w:vAlign w:val="center"/>
          </w:tcPr>
          <w:p>
            <w:r>
              <w:rPr>
                <w:rFonts w:ascii="Times New Roman" w:hAnsi="Times New Roman"/>
                <w:sz w:val="20"/>
              </w:rPr>
              <w:t>Successful</w:t>
            </w:r>
          </w:p>
        </w:tc>
      </w:tr>
      <w:tr>
        <w:tc>
          <w:tcPr>
            <w:tcW w:type="dxa" w:w="4680"/>
            <w:vAlign w:val="center"/>
          </w:tcPr>
          <w:p>
            <w:r>
              <w:rPr>
                <w:rFonts w:ascii="Times New Roman" w:hAnsi="Times New Roman"/>
                <w:sz w:val="20"/>
              </w:rPr>
              <w:t>Interactive HTML export</w:t>
            </w:r>
          </w:p>
        </w:tc>
        <w:tc>
          <w:tcPr>
            <w:tcW w:type="dxa" w:w="4680"/>
            <w:vAlign w:val="center"/>
          </w:tcPr>
          <w:p>
            <w:r>
              <w:rPr>
                <w:rFonts w:ascii="Times New Roman" w:hAnsi="Times New Roman"/>
                <w:sz w:val="20"/>
              </w:rPr>
              <w:t>Generated</w:t>
            </w:r>
          </w:p>
        </w:tc>
      </w:tr>
    </w:tbl>
    <w:p>
      <w:pPr>
        <w:pStyle w:val="Heading3"/>
        <w:spacing w:before="160" w:after="100"/>
      </w:pPr>
      <w:r>
        <w:rPr>
          <w:rFonts w:ascii="Times New Roman" w:hAnsi="Times New Roman"/>
          <w:b/>
          <w:sz w:val="24"/>
        </w:rPr>
        <w:t>10.2 Experimental Observation</w:t>
      </w:r>
    </w:p>
    <w:p>
      <w:pPr>
        <w:spacing w:after="160" w:line="252" w:lineRule="auto"/>
        <w:jc w:val="both"/>
      </w:pPr>
      <w:r>
        <w:rPr>
          <w:rFonts w:ascii="Times New Roman" w:hAnsi="Times New Roman"/>
          <w:b w:val="0"/>
          <w:i w:val="0"/>
          <w:sz w:val="24"/>
        </w:rPr>
        <w:t>The visual analysis identifies a strong separation between Zimbabwe and the five other countries in life expectancy, while Germany, Chile, and the United States occupy the higher range. The line chart also shows steady improvement over time for Zimbabwe after 2004, while the developed-country series remain comparatively stable around the upper 70s and low 80s.</w:t>
      </w:r>
    </w:p>
    <w:p>
      <w:pPr>
        <w:pStyle w:val="Heading3"/>
        <w:spacing w:before="160" w:after="100"/>
      </w:pPr>
      <w:r>
        <w:rPr>
          <w:rFonts w:ascii="Times New Roman" w:hAnsi="Times New Roman"/>
          <w:b/>
          <w:sz w:val="24"/>
        </w:rPr>
        <w:t>10.3 Validation of Visualization Choices</w:t>
      </w:r>
    </w:p>
    <w:p>
      <w:pPr>
        <w:spacing w:after="160" w:line="252" w:lineRule="auto"/>
        <w:jc w:val="both"/>
      </w:pPr>
      <w:r>
        <w:rPr>
          <w:rFonts w:ascii="Times New Roman" w:hAnsi="Times New Roman"/>
          <w:b w:val="0"/>
          <w:i w:val="0"/>
          <w:sz w:val="24"/>
        </w:rPr>
        <w:t>The histogram is appropriate for a single continuous variable because it reveals shape and concentration. The box plot is appropriate for comparing distributions across several categories because it emphasizes median and spread. The bar chart uses a common baseline and sorted ordering for accurate mean comparison. The scatter plot uses spatial position for two quantitative variables, which is perceptually stronger than encoding GDP and life expectancy as angles or areas. The heatmap is useful for a compact overview of many pairwise relationships, while the line chart uses connectedness and continuity to emphasize temporal change.</w:t>
      </w:r>
    </w:p>
    <w:p>
      <w:pPr>
        <w:pStyle w:val="Heading3"/>
        <w:spacing w:before="160" w:after="100"/>
      </w:pPr>
      <w:r>
        <w:rPr>
          <w:rFonts w:ascii="Times New Roman" w:hAnsi="Times New Roman"/>
          <w:b/>
          <w:sz w:val="24"/>
        </w:rPr>
        <w:t>10.4 Evidence</w:t>
      </w:r>
    </w:p>
    <w:p>
      <w:pPr>
        <w:spacing w:after="160" w:line="252" w:lineRule="auto"/>
        <w:jc w:val="both"/>
      </w:pPr>
      <w:r>
        <w:rPr>
          <w:rFonts w:ascii="Times New Roman" w:hAnsi="Times New Roman"/>
          <w:b w:val="0"/>
          <w:i w:val="0"/>
          <w:sz w:val="24"/>
        </w:rPr>
        <w:t>The dashboard image and embedded analytical figures serve as evidence. The accompanying HTML dashboard file provides the interactive implementation, while the source CSV and Python code can be uploaded to GitHub as the reproducibility package.</w:t>
      </w:r>
    </w:p>
    <w:p>
      <w:pPr>
        <w:pStyle w:val="Heading2"/>
        <w:spacing w:before="200" w:after="120"/>
      </w:pPr>
      <w:r>
        <w:rPr>
          <w:rFonts w:ascii="Times New Roman" w:hAnsi="Times New Roman"/>
          <w:b/>
          <w:sz w:val="24"/>
        </w:rPr>
        <w:t>11. Analysis, Comparison, Trade-offs and Justification of the Final Solution</w:t>
      </w:r>
    </w:p>
    <w:p>
      <w:pPr>
        <w:pStyle w:val="Heading3"/>
        <w:spacing w:before="160" w:after="100"/>
      </w:pPr>
      <w:r>
        <w:rPr>
          <w:rFonts w:ascii="Times New Roman" w:hAnsi="Times New Roman"/>
          <w:b/>
          <w:sz w:val="24"/>
        </w:rPr>
        <w:t>11.1 Analysis</w:t>
      </w:r>
    </w:p>
    <w:p>
      <w:pPr>
        <w:spacing w:after="160" w:line="252" w:lineRule="auto"/>
        <w:jc w:val="both"/>
      </w:pPr>
      <w:r>
        <w:rPr>
          <w:rFonts w:ascii="Times New Roman" w:hAnsi="Times New Roman"/>
          <w:b w:val="0"/>
          <w:i w:val="0"/>
          <w:sz w:val="24"/>
        </w:rPr>
        <w:t>The strongest analytical message is that life expectancy differs markedly across countries and improves over time in the observed sample. The relationship view suggests a positive association between economic scale and life expectancy, but the scatter plot also shows that extremely large GDP values can dominate the visual scale. Using log10(GDP) improves separation and interpretation without changing the underlying observations.</w:t>
      </w:r>
    </w:p>
    <w:p>
      <w:pPr>
        <w:pStyle w:val="Heading3"/>
        <w:spacing w:before="160" w:after="100"/>
      </w:pPr>
      <w:r>
        <w:rPr>
          <w:rFonts w:ascii="Times New Roman" w:hAnsi="Times New Roman"/>
          <w:b/>
          <w:sz w:val="24"/>
        </w:rPr>
        <w:t>11.2 Comparison of Three Alternative Designs for the Same Insight</w:t>
      </w:r>
    </w:p>
    <w:p>
      <w:pPr>
        <w:spacing w:after="160" w:line="252" w:lineRule="auto"/>
        <w:jc w:val="both"/>
      </w:pPr>
      <w:r>
        <w:rPr>
          <w:rFonts w:ascii="Times New Roman" w:hAnsi="Times New Roman"/>
          <w:b w:val="0"/>
          <w:i w:val="0"/>
          <w:sz w:val="24"/>
        </w:rPr>
        <w:t>The chosen insight is the proportion of country-year observations in low, medium, and high life-expectancy categories. Three alternatives were evaluated: Design A - donut chart; Design B - standard bar chart; Design C - 100% stacked bar. The comparison uses four explicit criteria: comparison accuracy, cognitive load, grouping clarity, and non-quantitative decoration.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jc w:val="center"/>
            </w:pPr>
            <w:r>
              <w:rPr>
                <w:rFonts w:ascii="Times New Roman" w:hAnsi="Times New Roman"/>
                <w:b/>
                <w:sz w:val="20"/>
              </w:rPr>
              <w:t>Rank</w:t>
            </w:r>
          </w:p>
        </w:tc>
        <w:tc>
          <w:tcPr>
            <w:tcW w:type="dxa" w:w="1872"/>
            <w:vAlign w:val="center"/>
          </w:tcPr>
          <w:p>
            <w:pPr>
              <w:jc w:val="center"/>
            </w:pPr>
            <w:r>
              <w:rPr>
                <w:rFonts w:ascii="Times New Roman" w:hAnsi="Times New Roman"/>
                <w:b/>
                <w:sz w:val="20"/>
              </w:rPr>
              <w:t>Design</w:t>
            </w:r>
          </w:p>
        </w:tc>
        <w:tc>
          <w:tcPr>
            <w:tcW w:type="dxa" w:w="1872"/>
            <w:vAlign w:val="center"/>
          </w:tcPr>
          <w:p>
            <w:pPr>
              <w:jc w:val="center"/>
            </w:pPr>
            <w:r>
              <w:rPr>
                <w:rFonts w:ascii="Times New Roman" w:hAnsi="Times New Roman"/>
                <w:b/>
                <w:sz w:val="20"/>
              </w:rPr>
              <w:t>Strengths</w:t>
            </w:r>
          </w:p>
        </w:tc>
        <w:tc>
          <w:tcPr>
            <w:tcW w:type="dxa" w:w="1872"/>
            <w:vAlign w:val="center"/>
          </w:tcPr>
          <w:p>
            <w:pPr>
              <w:jc w:val="center"/>
            </w:pPr>
            <w:r>
              <w:rPr>
                <w:rFonts w:ascii="Times New Roman" w:hAnsi="Times New Roman"/>
                <w:b/>
                <w:sz w:val="20"/>
              </w:rPr>
              <w:t>Weaknesses</w:t>
            </w:r>
          </w:p>
        </w:tc>
        <w:tc>
          <w:tcPr>
            <w:tcW w:type="dxa" w:w="1872"/>
            <w:vAlign w:val="center"/>
          </w:tcPr>
          <w:p>
            <w:pPr>
              <w:jc w:val="center"/>
            </w:pPr>
            <w:r>
              <w:rPr>
                <w:rFonts w:ascii="Times New Roman" w:hAnsi="Times New Roman"/>
                <w:b/>
                <w:sz w:val="20"/>
              </w:rPr>
              <w:t>Score / 20</w:t>
            </w:r>
          </w:p>
        </w:tc>
      </w:tr>
      <w:tr>
        <w:tc>
          <w:tcPr>
            <w:tcW w:type="dxa" w:w="1872"/>
            <w:vAlign w:val="center"/>
          </w:tcPr>
          <w:p>
            <w:r>
              <w:rPr>
                <w:rFonts w:ascii="Times New Roman" w:hAnsi="Times New Roman"/>
                <w:sz w:val="20"/>
              </w:rPr>
              <w:t>1</w:t>
            </w:r>
          </w:p>
        </w:tc>
        <w:tc>
          <w:tcPr>
            <w:tcW w:type="dxa" w:w="1872"/>
            <w:vAlign w:val="center"/>
          </w:tcPr>
          <w:p>
            <w:r>
              <w:rPr>
                <w:rFonts w:ascii="Times New Roman" w:hAnsi="Times New Roman"/>
                <w:sz w:val="20"/>
              </w:rPr>
              <w:t>B - Bar Chart</w:t>
            </w:r>
          </w:p>
        </w:tc>
        <w:tc>
          <w:tcPr>
            <w:tcW w:type="dxa" w:w="1872"/>
            <w:vAlign w:val="center"/>
          </w:tcPr>
          <w:p>
            <w:r>
              <w:rPr>
                <w:rFonts w:ascii="Times New Roman" w:hAnsi="Times New Roman"/>
                <w:sz w:val="20"/>
              </w:rPr>
              <w:t>Best baseline comparison; exact lengths are easy to compare; low cognitive load</w:t>
            </w:r>
          </w:p>
        </w:tc>
        <w:tc>
          <w:tcPr>
            <w:tcW w:type="dxa" w:w="1872"/>
            <w:vAlign w:val="center"/>
          </w:tcPr>
          <w:p>
            <w:r>
              <w:rPr>
                <w:rFonts w:ascii="Times New Roman" w:hAnsi="Times New Roman"/>
                <w:sz w:val="20"/>
              </w:rPr>
              <w:t>Slightly less visually compact than donut</w:t>
            </w:r>
          </w:p>
        </w:tc>
        <w:tc>
          <w:tcPr>
            <w:tcW w:type="dxa" w:w="1872"/>
            <w:vAlign w:val="center"/>
          </w:tcPr>
          <w:p>
            <w:r>
              <w:rPr>
                <w:rFonts w:ascii="Times New Roman" w:hAnsi="Times New Roman"/>
                <w:sz w:val="20"/>
              </w:rPr>
              <w:t>18</w:t>
            </w:r>
          </w:p>
        </w:tc>
      </w:tr>
      <w:tr>
        <w:tc>
          <w:tcPr>
            <w:tcW w:type="dxa" w:w="1872"/>
            <w:vAlign w:val="center"/>
          </w:tcPr>
          <w:p>
            <w:r>
              <w:rPr>
                <w:rFonts w:ascii="Times New Roman" w:hAnsi="Times New Roman"/>
                <w:sz w:val="20"/>
              </w:rPr>
              <w:t>2</w:t>
            </w:r>
          </w:p>
        </w:tc>
        <w:tc>
          <w:tcPr>
            <w:tcW w:type="dxa" w:w="1872"/>
            <w:vAlign w:val="center"/>
          </w:tcPr>
          <w:p>
            <w:r>
              <w:rPr>
                <w:rFonts w:ascii="Times New Roman" w:hAnsi="Times New Roman"/>
                <w:sz w:val="20"/>
              </w:rPr>
              <w:t>C - 100% Stacked Bar</w:t>
            </w:r>
          </w:p>
        </w:tc>
        <w:tc>
          <w:tcPr>
            <w:tcW w:type="dxa" w:w="1872"/>
            <w:vAlign w:val="center"/>
          </w:tcPr>
          <w:p>
            <w:r>
              <w:rPr>
                <w:rFonts w:ascii="Times New Roman" w:hAnsi="Times New Roman"/>
                <w:sz w:val="20"/>
              </w:rPr>
              <w:t>Excellent for composition of one whole; compact and clean</w:t>
            </w:r>
          </w:p>
        </w:tc>
        <w:tc>
          <w:tcPr>
            <w:tcW w:type="dxa" w:w="1872"/>
            <w:vAlign w:val="center"/>
          </w:tcPr>
          <w:p>
            <w:r>
              <w:rPr>
                <w:rFonts w:ascii="Times New Roman" w:hAnsi="Times New Roman"/>
                <w:sz w:val="20"/>
              </w:rPr>
              <w:t>Middle segment requires more visual estimation</w:t>
            </w:r>
          </w:p>
        </w:tc>
        <w:tc>
          <w:tcPr>
            <w:tcW w:type="dxa" w:w="1872"/>
            <w:vAlign w:val="center"/>
          </w:tcPr>
          <w:p>
            <w:r>
              <w:rPr>
                <w:rFonts w:ascii="Times New Roman" w:hAnsi="Times New Roman"/>
                <w:sz w:val="20"/>
              </w:rPr>
              <w:t>16</w:t>
            </w:r>
          </w:p>
        </w:tc>
      </w:tr>
      <w:tr>
        <w:tc>
          <w:tcPr>
            <w:tcW w:type="dxa" w:w="1872"/>
            <w:vAlign w:val="center"/>
          </w:tcPr>
          <w:p>
            <w:r>
              <w:rPr>
                <w:rFonts w:ascii="Times New Roman" w:hAnsi="Times New Roman"/>
                <w:sz w:val="20"/>
              </w:rPr>
              <w:t>3</w:t>
            </w:r>
          </w:p>
        </w:tc>
        <w:tc>
          <w:tcPr>
            <w:tcW w:type="dxa" w:w="1872"/>
            <w:vAlign w:val="center"/>
          </w:tcPr>
          <w:p>
            <w:r>
              <w:rPr>
                <w:rFonts w:ascii="Times New Roman" w:hAnsi="Times New Roman"/>
                <w:sz w:val="20"/>
              </w:rPr>
              <w:t>A - Donut Chart</w:t>
            </w:r>
          </w:p>
        </w:tc>
        <w:tc>
          <w:tcPr>
            <w:tcW w:type="dxa" w:w="1872"/>
            <w:vAlign w:val="center"/>
          </w:tcPr>
          <w:p>
            <w:r>
              <w:rPr>
                <w:rFonts w:ascii="Times New Roman" w:hAnsi="Times New Roman"/>
                <w:sz w:val="20"/>
              </w:rPr>
              <w:t>Immediately communicates part-to-whole concept; familiar to non-technical users</w:t>
            </w:r>
          </w:p>
        </w:tc>
        <w:tc>
          <w:tcPr>
            <w:tcW w:type="dxa" w:w="1872"/>
            <w:vAlign w:val="center"/>
          </w:tcPr>
          <w:p>
            <w:r>
              <w:rPr>
                <w:rFonts w:ascii="Times New Roman" w:hAnsi="Times New Roman"/>
                <w:sz w:val="20"/>
              </w:rPr>
              <w:t>Angles/areas are harder to compare precisely; labels can clutter</w:t>
            </w:r>
          </w:p>
        </w:tc>
        <w:tc>
          <w:tcPr>
            <w:tcW w:type="dxa" w:w="1872"/>
            <w:vAlign w:val="center"/>
          </w:tcPr>
          <w:p>
            <w:r>
              <w:rPr>
                <w:rFonts w:ascii="Times New Roman" w:hAnsi="Times New Roman"/>
                <w:sz w:val="20"/>
              </w:rPr>
              <w:t>13</w:t>
            </w:r>
          </w:p>
        </w:tc>
      </w:tr>
    </w:tbl>
    <w:p>
      <w:pPr>
        <w:spacing w:after="40"/>
        <w:jc w:val="center"/>
      </w:pPr>
      <w:r>
        <w:drawing>
          <wp:inline xmlns:a="http://schemas.openxmlformats.org/drawingml/2006/main" xmlns:pic="http://schemas.openxmlformats.org/drawingml/2006/picture">
            <wp:extent cx="5669280" cy="1700784"/>
            <wp:docPr id="9" name="Picture 9"/>
            <wp:cNvGraphicFramePr>
              <a:graphicFrameLocks noChangeAspect="1"/>
            </wp:cNvGraphicFramePr>
            <a:graphic>
              <a:graphicData uri="http://schemas.openxmlformats.org/drawingml/2006/picture">
                <pic:pic>
                  <pic:nvPicPr>
                    <pic:cNvPr id="0" name="fig8_design_compare.png"/>
                    <pic:cNvPicPr/>
                  </pic:nvPicPr>
                  <pic:blipFill>
                    <a:blip r:embed="rId21"/>
                    <a:stretch>
                      <a:fillRect/>
                    </a:stretch>
                  </pic:blipFill>
                  <pic:spPr>
                    <a:xfrm>
                      <a:off x="0" y="0"/>
                      <a:ext cx="5669280" cy="1700784"/>
                    </a:xfrm>
                    <a:prstGeom prst="rect"/>
                  </pic:spPr>
                </pic:pic>
              </a:graphicData>
            </a:graphic>
          </wp:inline>
        </w:drawing>
      </w:r>
    </w:p>
    <w:p>
      <w:pPr>
        <w:spacing w:after="160"/>
        <w:jc w:val="center"/>
      </w:pPr>
      <w:r>
        <w:rPr>
          <w:rFonts w:ascii="Times New Roman" w:hAnsi="Times New Roman"/>
          <w:i/>
          <w:sz w:val="18"/>
        </w:rPr>
        <w:t>Figure 9. Side-by-side comparison of three alternative designs for the same proportion insight.</w:t>
      </w:r>
    </w:p>
    <w:p>
      <w:pPr>
        <w:pStyle w:val="Heading3"/>
        <w:spacing w:before="160" w:after="100"/>
      </w:pPr>
      <w:r>
        <w:rPr>
          <w:rFonts w:ascii="Times New Roman" w:hAnsi="Times New Roman"/>
          <w:b/>
          <w:sz w:val="24"/>
        </w:rPr>
        <w:t>11.3 Trade-offs</w:t>
      </w:r>
    </w:p>
    <w:p>
      <w:pPr>
        <w:spacing w:after="160" w:line="252" w:lineRule="auto"/>
        <w:jc w:val="both"/>
      </w:pPr>
      <w:r>
        <w:rPr>
          <w:rFonts w:ascii="Times New Roman" w:hAnsi="Times New Roman"/>
          <w:b w:val="0"/>
          <w:i w:val="0"/>
          <w:sz w:val="24"/>
        </w:rPr>
        <w:t>A bar chart maximizes comparison accuracy but uses more horizontal space. A donut chart is compact and familiar but sacrifices precise comparison because viewers judge angles and areas less accurately than aligned lengths. A 100% stacked bar is efficient for composition but makes the middle segment harder to compare. For an organization that needs both technical and non-technical interpretation, the standard bar chart provides the best compromise between speed, accuracy, and low cognitive load.</w:t>
      </w:r>
    </w:p>
    <w:p>
      <w:pPr>
        <w:pStyle w:val="Heading3"/>
        <w:spacing w:before="160" w:after="100"/>
      </w:pPr>
      <w:r>
        <w:rPr>
          <w:rFonts w:ascii="Times New Roman" w:hAnsi="Times New Roman"/>
          <w:b/>
          <w:sz w:val="24"/>
        </w:rPr>
        <w:t>11.4 Justification of the Final Solution</w:t>
      </w:r>
    </w:p>
    <w:p>
      <w:pPr>
        <w:spacing w:after="160" w:line="252" w:lineRule="auto"/>
        <w:jc w:val="both"/>
      </w:pPr>
      <w:r>
        <w:rPr>
          <w:rFonts w:ascii="Times New Roman" w:hAnsi="Times New Roman"/>
          <w:b w:val="0"/>
          <w:i w:val="0"/>
          <w:sz w:val="24"/>
        </w:rPr>
        <w:t>The final dashboard prioritizes position and length for quantitative comparison, uses restrained color for grouping rather than decoration, and keeps related views physically close. These decisions align with the evidence base on graphical perception: Cleveland and McGill demonstrated that some graphical decoding tasks are more accurate than others, supporting the use of aligned positions and lengths for comparison. Gestalt principles such as proximity and similarity support the grouping of related marks, while pre-attentive attributes such as hue and spatial position can direct attention before detailed reading.</w:t>
      </w:r>
    </w:p>
    <w:p>
      <w:pPr>
        <w:spacing w:after="160" w:line="252" w:lineRule="auto"/>
        <w:jc w:val="both"/>
      </w:pPr>
      <w:r>
        <w:rPr>
          <w:rFonts w:ascii="Times New Roman" w:hAnsi="Times New Roman"/>
          <w:b w:val="0"/>
          <w:i w:val="0"/>
          <w:sz w:val="24"/>
        </w:rPr>
        <w:t>The winning design reduces cognitive load because the user does not need to mentally decode multiple encodings for a simple proportion question. It also improves interpretation accuracy because the categories share a common baseline. This supports data-driven decision-making by allowing stakeholders to detect the dominant category quickly, then move to the more detailed relationship and trend views for context.</w:t>
      </w:r>
    </w:p>
    <w:p>
      <w:pPr>
        <w:pStyle w:val="Heading2"/>
        <w:spacing w:before="200" w:after="120"/>
      </w:pPr>
      <w:r>
        <w:rPr>
          <w:rFonts w:ascii="Times New Roman" w:hAnsi="Times New Roman"/>
          <w:b/>
          <w:sz w:val="24"/>
        </w:rPr>
        <w:t>12. Broader Considerations / SDG Relevance</w:t>
      </w:r>
    </w:p>
    <w:p>
      <w:pPr>
        <w:pStyle w:val="Heading3"/>
        <w:spacing w:before="160" w:after="100"/>
      </w:pPr>
      <w:r>
        <w:rPr>
          <w:rFonts w:ascii="Times New Roman" w:hAnsi="Times New Roman"/>
          <w:b/>
          <w:sz w:val="24"/>
        </w:rPr>
        <w:t>12.1 Broader Considerations</w:t>
      </w:r>
    </w:p>
    <w:p>
      <w:pPr>
        <w:spacing w:after="160" w:line="252" w:lineRule="auto"/>
        <w:jc w:val="both"/>
      </w:pPr>
      <w:r>
        <w:rPr>
          <w:rFonts w:ascii="Times New Roman" w:hAnsi="Times New Roman"/>
          <w:b w:val="0"/>
          <w:i w:val="0"/>
          <w:sz w:val="24"/>
        </w:rPr>
        <w:t>The dashboard is deliberately designed for mixed audiences. Technical users can inspect correlations, trends, and outliers, while non-technical users can rely on direct titles, sorted bars, and simple proportion views. The report avoids causal language and makes clear that the dataset is a limited sample. Future use should add more countries, richer health indicators, and uncertainty information before policy deployment.</w:t>
      </w:r>
    </w:p>
    <w:p>
      <w:pPr>
        <w:pStyle w:val="Heading3"/>
        <w:spacing w:before="160" w:after="100"/>
      </w:pPr>
      <w:r>
        <w:rPr>
          <w:rFonts w:ascii="Times New Roman" w:hAnsi="Times New Roman"/>
          <w:b/>
          <w:sz w:val="24"/>
        </w:rPr>
        <w:t>12.2 SDG Relevance</w:t>
      </w:r>
    </w:p>
    <w:p>
      <w:pPr>
        <w:spacing w:after="160" w:line="252" w:lineRule="auto"/>
        <w:jc w:val="both"/>
      </w:pPr>
      <w:r>
        <w:rPr>
          <w:rFonts w:ascii="Times New Roman" w:hAnsi="Times New Roman"/>
          <w:b w:val="0"/>
          <w:i w:val="0"/>
          <w:sz w:val="24"/>
        </w:rPr>
        <w:t>The assignment explicitly maps to SDG 4 (Quality Education) and SDG 9 (Industry, Innovation and Infrastructure). The visualization design supports SDG 4 by improving the clarity and accessibility of quantitative evidence used for learning and informed interpretation. It supports SDG 9 by demonstrating an applied digital-analysis workflow that combines data engineering, interactive visualization, and human-centered design for an operational decision context.</w:t>
      </w:r>
    </w:p>
    <w:p>
      <w:pPr>
        <w:pStyle w:val="Heading2"/>
        <w:spacing w:before="200" w:after="120"/>
      </w:pPr>
      <w:r>
        <w:rPr>
          <w:rFonts w:ascii="Times New Roman" w:hAnsi="Times New Roman"/>
          <w:b/>
          <w:sz w:val="24"/>
        </w:rPr>
        <w:t>13. Conclusion, Limitations and Possible Improvements</w:t>
      </w:r>
    </w:p>
    <w:p>
      <w:pPr>
        <w:pStyle w:val="Heading3"/>
        <w:spacing w:before="160" w:after="100"/>
      </w:pPr>
      <w:r>
        <w:rPr>
          <w:rFonts w:ascii="Times New Roman" w:hAnsi="Times New Roman"/>
          <w:b/>
          <w:sz w:val="24"/>
        </w:rPr>
        <w:t>13.1 Conclusion</w:t>
      </w:r>
    </w:p>
    <w:p>
      <w:pPr>
        <w:spacing w:after="160" w:line="252" w:lineRule="auto"/>
        <w:jc w:val="both"/>
      </w:pPr>
      <w:r>
        <w:rPr>
          <w:rFonts w:ascii="Times New Roman" w:hAnsi="Times New Roman"/>
          <w:b w:val="0"/>
          <w:i w:val="0"/>
          <w:sz w:val="24"/>
        </w:rPr>
        <w:t>The project successfully demonstrates a complete analysis-and-visualization workflow for public-health data. The selected chart types match the underlying analytical questions: histogram and box plot for distributions, donut and bar chart for composition and comparison, scatter plot and heatmap for relationships, and line chart for temporal trends. The dashboard integrates these views and evaluates them using perception-based principles.</w:t>
      </w:r>
    </w:p>
    <w:p>
      <w:pPr>
        <w:pStyle w:val="Heading3"/>
        <w:spacing w:before="160" w:after="100"/>
      </w:pPr>
      <w:r>
        <w:rPr>
          <w:rFonts w:ascii="Times New Roman" w:hAnsi="Times New Roman"/>
          <w:b/>
          <w:sz w:val="24"/>
        </w:rPr>
        <w:t>13.2 Limitations</w:t>
      </w:r>
    </w:p>
    <w:p>
      <w:pPr>
        <w:spacing w:after="60"/>
        <w:ind w:left="360" w:hanging="216"/>
        <w:jc w:val="both"/>
      </w:pPr>
      <w:r>
        <w:rPr>
          <w:rFonts w:ascii="Times New Roman" w:hAnsi="Times New Roman"/>
          <w:sz w:val="24"/>
        </w:rPr>
        <w:t>● Only six countries are included, so the sample is not globally representative.</w:t>
      </w:r>
    </w:p>
    <w:p>
      <w:pPr>
        <w:spacing w:after="60"/>
        <w:ind w:left="360" w:hanging="216"/>
        <w:jc w:val="both"/>
      </w:pPr>
      <w:r>
        <w:rPr>
          <w:rFonts w:ascii="Times New Roman" w:hAnsi="Times New Roman"/>
          <w:sz w:val="24"/>
        </w:rPr>
        <w:t>● GDP is a total economic measure rather than a per-capita measure.</w:t>
      </w:r>
    </w:p>
    <w:p>
      <w:pPr>
        <w:spacing w:after="60"/>
        <w:ind w:left="360" w:hanging="216"/>
        <w:jc w:val="both"/>
      </w:pPr>
      <w:r>
        <w:rPr>
          <w:rFonts w:ascii="Times New Roman" w:hAnsi="Times New Roman"/>
          <w:sz w:val="24"/>
        </w:rPr>
        <w:t>● The analysis is descriptive and correlational, not causal.</w:t>
      </w:r>
    </w:p>
    <w:p>
      <w:pPr>
        <w:spacing w:after="60"/>
        <w:ind w:left="360" w:hanging="216"/>
        <w:jc w:val="both"/>
      </w:pPr>
      <w:r>
        <w:rPr>
          <w:rFonts w:ascii="Times New Roman" w:hAnsi="Times New Roman"/>
          <w:sz w:val="24"/>
        </w:rPr>
        <w:t>● The proportion categories are analyst-defined bins for visualization, not clinical thresholds.</w:t>
      </w:r>
    </w:p>
    <w:p>
      <w:pPr>
        <w:spacing w:after="60"/>
        <w:ind w:left="360" w:hanging="216"/>
        <w:jc w:val="both"/>
      </w:pPr>
      <w:r>
        <w:rPr>
          <w:rFonts w:ascii="Times New Roman" w:hAnsi="Times New Roman"/>
          <w:sz w:val="24"/>
        </w:rPr>
        <w:t>● The dashboard does not yet include uncertainty intervals, richer health indicators, or predictive models.</w:t>
      </w:r>
    </w:p>
    <w:p>
      <w:pPr>
        <w:pStyle w:val="Heading3"/>
        <w:spacing w:before="160" w:after="100"/>
      </w:pPr>
      <w:r>
        <w:rPr>
          <w:rFonts w:ascii="Times New Roman" w:hAnsi="Times New Roman"/>
          <w:b/>
          <w:sz w:val="24"/>
        </w:rPr>
        <w:t>13.3 Possible Improvements</w:t>
      </w:r>
    </w:p>
    <w:p>
      <w:pPr>
        <w:spacing w:after="60"/>
        <w:ind w:left="360" w:hanging="216"/>
        <w:jc w:val="both"/>
      </w:pPr>
      <w:r>
        <w:rPr>
          <w:rFonts w:ascii="Times New Roman" w:hAnsi="Times New Roman"/>
          <w:sz w:val="24"/>
        </w:rPr>
        <w:t>● Expand the dataset to all available countries and more recent years.</w:t>
      </w:r>
    </w:p>
    <w:p>
      <w:pPr>
        <w:spacing w:after="60"/>
        <w:ind w:left="360" w:hanging="216"/>
        <w:jc w:val="both"/>
      </w:pPr>
      <w:r>
        <w:rPr>
          <w:rFonts w:ascii="Times New Roman" w:hAnsi="Times New Roman"/>
          <w:sz w:val="24"/>
        </w:rPr>
        <w:t>● Add health indicators such as immunization, mortality, schooling, sanitation, and health expenditure.</w:t>
      </w:r>
    </w:p>
    <w:p>
      <w:pPr>
        <w:spacing w:after="60"/>
        <w:ind w:left="360" w:hanging="216"/>
        <w:jc w:val="both"/>
      </w:pPr>
      <w:r>
        <w:rPr>
          <w:rFonts w:ascii="Times New Roman" w:hAnsi="Times New Roman"/>
          <w:sz w:val="24"/>
        </w:rPr>
        <w:t>● Use GDP per capita or purchasing-power-adjusted measures for better comparability.</w:t>
      </w:r>
    </w:p>
    <w:p>
      <w:pPr>
        <w:spacing w:after="60"/>
        <w:ind w:left="360" w:hanging="216"/>
        <w:jc w:val="both"/>
      </w:pPr>
      <w:r>
        <w:rPr>
          <w:rFonts w:ascii="Times New Roman" w:hAnsi="Times New Roman"/>
          <w:sz w:val="24"/>
        </w:rPr>
        <w:t>● Add uncertainty bands and confidence intervals where estimates are appropriate.</w:t>
      </w:r>
    </w:p>
    <w:p>
      <w:pPr>
        <w:spacing w:after="60"/>
        <w:ind w:left="360" w:hanging="216"/>
        <w:jc w:val="both"/>
      </w:pPr>
      <w:r>
        <w:rPr>
          <w:rFonts w:ascii="Times New Roman" w:hAnsi="Times New Roman"/>
          <w:sz w:val="24"/>
        </w:rPr>
        <w:t>● Introduce drill-down and brushing so selections in one view highlight records in the others.</w:t>
      </w:r>
    </w:p>
    <w:p>
      <w:pPr>
        <w:spacing w:after="60"/>
        <w:ind w:left="360" w:hanging="216"/>
        <w:jc w:val="both"/>
      </w:pPr>
      <w:r>
        <w:rPr>
          <w:rFonts w:ascii="Times New Roman" w:hAnsi="Times New Roman"/>
          <w:sz w:val="24"/>
        </w:rPr>
        <w:t>● Add accessibility checks for color contrast, color-vision deficiency, keyboard navigation, and text scaling.</w:t>
      </w:r>
    </w:p>
    <w:p>
      <w:pPr>
        <w:spacing w:after="60"/>
        <w:ind w:left="360" w:hanging="216"/>
        <w:jc w:val="both"/>
      </w:pPr>
      <w:r>
        <w:rPr>
          <w:rFonts w:ascii="Times New Roman" w:hAnsi="Times New Roman"/>
          <w:sz w:val="24"/>
        </w:rPr>
        <w:t>● Deploy the dashboard through Tableau, Power BI, or a web application when organizational use requires shared access.</w:t>
      </w:r>
    </w:p>
    <w:p>
      <w:pPr>
        <w:pStyle w:val="Heading2"/>
        <w:spacing w:before="200" w:after="120"/>
      </w:pPr>
      <w:r>
        <w:rPr>
          <w:rFonts w:ascii="Times New Roman" w:hAnsi="Times New Roman"/>
          <w:b/>
          <w:sz w:val="24"/>
        </w:rPr>
        <w:t>14. Individual Contribution of Group Members</w:t>
      </w:r>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rPr>
                <w:rFonts w:ascii="Times New Roman" w:hAnsi="Times New Roman"/>
                <w:b/>
                <w:sz w:val="20"/>
              </w:rPr>
              <w:t>Group Member</w:t>
            </w:r>
          </w:p>
        </w:tc>
        <w:tc>
          <w:tcPr>
            <w:tcW w:type="dxa" w:w="4680"/>
            <w:vAlign w:val="center"/>
          </w:tcPr>
          <w:p>
            <w:pPr>
              <w:jc w:val="center"/>
            </w:pPr>
            <w:r>
              <w:rPr>
                <w:rFonts w:ascii="Times New Roman" w:hAnsi="Times New Roman"/>
                <w:b/>
                <w:sz w:val="20"/>
              </w:rPr>
              <w:t>Contribution</w:t>
            </w:r>
          </w:p>
        </w:tc>
      </w:tr>
      <w:tr>
        <w:tc>
          <w:tcPr>
            <w:tcW w:type="dxa" w:w="4680"/>
            <w:vAlign w:val="center"/>
          </w:tcPr>
          <w:p>
            <w:r>
              <w:rPr>
                <w:rFonts w:ascii="Times New Roman" w:hAnsi="Times New Roman"/>
                <w:sz w:val="20"/>
              </w:rPr>
              <w:t>Member 1</w:t>
            </w:r>
          </w:p>
        </w:tc>
        <w:tc>
          <w:tcPr>
            <w:tcW w:type="dxa" w:w="4680"/>
            <w:vAlign w:val="center"/>
          </w:tcPr>
          <w:p>
            <w:r>
              <w:rPr>
                <w:rFonts w:ascii="Times New Roman" w:hAnsi="Times New Roman"/>
                <w:sz w:val="20"/>
              </w:rPr>
              <w:t>Dataset acquisition, cleaning, feature engineering, and distribution analysis.</w:t>
            </w:r>
          </w:p>
        </w:tc>
      </w:tr>
      <w:tr>
        <w:tc>
          <w:tcPr>
            <w:tcW w:type="dxa" w:w="4680"/>
            <w:vAlign w:val="center"/>
          </w:tcPr>
          <w:p>
            <w:r>
              <w:rPr>
                <w:rFonts w:ascii="Times New Roman" w:hAnsi="Times New Roman"/>
                <w:sz w:val="20"/>
              </w:rPr>
              <w:t>Member 2</w:t>
            </w:r>
          </w:p>
        </w:tc>
        <w:tc>
          <w:tcPr>
            <w:tcW w:type="dxa" w:w="4680"/>
            <w:vAlign w:val="center"/>
          </w:tcPr>
          <w:p>
            <w:r>
              <w:rPr>
                <w:rFonts w:ascii="Times New Roman" w:hAnsi="Times New Roman"/>
                <w:sz w:val="20"/>
              </w:rPr>
              <w:t>Dashboard construction, interactive filtering, relationship and trend analysis.</w:t>
            </w:r>
          </w:p>
        </w:tc>
      </w:tr>
      <w:tr>
        <w:tc>
          <w:tcPr>
            <w:tcW w:type="dxa" w:w="4680"/>
            <w:vAlign w:val="center"/>
          </w:tcPr>
          <w:p>
            <w:r>
              <w:rPr>
                <w:rFonts w:ascii="Times New Roman" w:hAnsi="Times New Roman"/>
                <w:sz w:val="20"/>
              </w:rPr>
              <w:t>Member 3</w:t>
            </w:r>
          </w:p>
        </w:tc>
        <w:tc>
          <w:tcPr>
            <w:tcW w:type="dxa" w:w="4680"/>
            <w:vAlign w:val="center"/>
          </w:tcPr>
          <w:p>
            <w:r>
              <w:rPr>
                <w:rFonts w:ascii="Times New Roman" w:hAnsi="Times New Roman"/>
                <w:sz w:val="20"/>
              </w:rPr>
              <w:t>Perceptual evaluation, alternative-design comparison, documentation, and testing.</w:t>
            </w:r>
          </w:p>
        </w:tc>
      </w:tr>
    </w:tbl>
    <w:p>
      <w:pPr>
        <w:spacing w:after="160" w:line="252" w:lineRule="auto"/>
        <w:jc w:val="both"/>
      </w:pPr>
      <w:r>
        <w:rPr>
          <w:rFonts w:ascii="Times New Roman" w:hAnsi="Times New Roman"/>
          <w:b w:val="0"/>
          <w:i w:val="0"/>
          <w:sz w:val="24"/>
        </w:rPr>
        <w:t>All group members should participate in integration, validation, screenshot capture, GitHub upload, and final report review. Replace the generic member labels with the actual names before submission.</w:t>
      </w:r>
    </w:p>
    <w:p>
      <w:pPr>
        <w:pStyle w:val="Heading2"/>
        <w:spacing w:before="200" w:after="120"/>
      </w:pPr>
      <w:r>
        <w:rPr>
          <w:rFonts w:ascii="Times New Roman" w:hAnsi="Times New Roman"/>
          <w:b/>
          <w:sz w:val="24"/>
        </w:rPr>
        <w:t>15. References</w:t>
      </w:r>
    </w:p>
    <w:p>
      <w:pPr>
        <w:spacing w:after="160" w:line="252" w:lineRule="auto"/>
        <w:jc w:val="both"/>
      </w:pPr>
      <w:r>
        <w:rPr>
          <w:rFonts w:ascii="Times New Roman" w:hAnsi="Times New Roman"/>
          <w:b w:val="0"/>
          <w:i w:val="0"/>
          <w:sz w:val="24"/>
        </w:rPr>
        <w:t>1. World Health Organization / World Bank-derived six-country life expectancy and GDP dataset, public repository: wangdavid25/WHO-Life-Expectancy-and-GDP, GitHub. The repository describes the data as six countries from 2000-2015 with country, year, life expectancy, and GDP fields.</w:t>
      </w:r>
    </w:p>
    <w:p>
      <w:pPr>
        <w:spacing w:after="160" w:line="252" w:lineRule="auto"/>
        <w:jc w:val="both"/>
      </w:pPr>
      <w:r>
        <w:rPr>
          <w:rFonts w:ascii="Times New Roman" w:hAnsi="Times New Roman"/>
          <w:b w:val="0"/>
          <w:i w:val="0"/>
          <w:sz w:val="24"/>
        </w:rPr>
        <w:t>2. Cleveland, W. S., &amp; McGill, R. (1984). Graphical Perception: Theory, Experimentation, and Application to the Development of Graphical Methods. Journal of the American Statistical Association, 79(387), 531-554. https://doi.org/10.1080/01621459.1984.10478080</w:t>
      </w:r>
    </w:p>
    <w:p>
      <w:pPr>
        <w:spacing w:after="160" w:line="252" w:lineRule="auto"/>
        <w:jc w:val="both"/>
      </w:pPr>
      <w:r>
        <w:rPr>
          <w:rFonts w:ascii="Times New Roman" w:hAnsi="Times New Roman"/>
          <w:b w:val="0"/>
          <w:i w:val="0"/>
          <w:sz w:val="24"/>
        </w:rPr>
        <w:t>3. Tufte, E. R. (2001). The Visual Display of Quantitative Information (2nd ed.). Graphics Press.</w:t>
      </w:r>
    </w:p>
    <w:p>
      <w:pPr>
        <w:spacing w:after="160" w:line="252" w:lineRule="auto"/>
        <w:jc w:val="both"/>
      </w:pPr>
      <w:r>
        <w:rPr>
          <w:rFonts w:ascii="Times New Roman" w:hAnsi="Times New Roman"/>
          <w:b w:val="0"/>
          <w:i w:val="0"/>
          <w:sz w:val="24"/>
        </w:rPr>
        <w:t>4. Ware, C. (2008). Visual Thinking for Design. Morgan Kaufmann.</w:t>
      </w:r>
    </w:p>
    <w:p>
      <w:pPr>
        <w:spacing w:after="160" w:line="252" w:lineRule="auto"/>
        <w:jc w:val="both"/>
      </w:pPr>
      <w:r>
        <w:rPr>
          <w:rFonts w:ascii="Times New Roman" w:hAnsi="Times New Roman"/>
          <w:b w:val="0"/>
          <w:i w:val="0"/>
          <w:sz w:val="24"/>
        </w:rPr>
        <w:t>5. Few, S. (2012). Show Me the Numbers: Designing Tables and Graphs to Enlighten (2nd ed.). Analytics Press.</w:t>
      </w:r>
    </w:p>
    <w:p>
      <w:pPr>
        <w:spacing w:after="160" w:line="252" w:lineRule="auto"/>
        <w:jc w:val="both"/>
      </w:pPr>
      <w:r>
        <w:rPr>
          <w:rFonts w:ascii="Times New Roman" w:hAnsi="Times New Roman"/>
          <w:b w:val="0"/>
          <w:i w:val="0"/>
          <w:sz w:val="24"/>
        </w:rPr>
        <w:t>6. Wagemans, J., et al. (2012). A Century of Gestalt Psychology in Visual Perception: I. Perceptual and Epistemological Foundations. Psychological Bulletin, 138(6), 1172-1217.</w:t>
      </w:r>
    </w:p>
    <w:p>
      <w:pPr>
        <w:spacing w:after="160" w:line="252" w:lineRule="auto"/>
        <w:jc w:val="both"/>
      </w:pPr>
      <w:r>
        <w:rPr>
          <w:rFonts w:ascii="Times New Roman" w:hAnsi="Times New Roman"/>
          <w:b w:val="0"/>
          <w:i w:val="0"/>
          <w:sz w:val="24"/>
        </w:rPr>
        <w:t>7. Heer, J., Bostock, M., &amp; Ogievetsky, V. (2010). A Tour Through the Visualization Zoo. Communications of the ACM, 53(6), 59-67.</w:t>
      </w:r>
    </w:p>
    <w:p>
      <w:pPr>
        <w:spacing w:after="160" w:line="252" w:lineRule="auto"/>
        <w:jc w:val="both"/>
      </w:pPr>
      <w:r>
        <w:rPr>
          <w:rFonts w:ascii="Times New Roman" w:hAnsi="Times New Roman"/>
          <w:b w:val="0"/>
          <w:i w:val="0"/>
          <w:sz w:val="24"/>
        </w:rPr>
        <w:t>8. ColorBrewer 2.0. Brewer, Cynthia A., Penn State University. https://colorbrewer2.org/</w:t>
      </w:r>
    </w:p>
    <w:p>
      <w:pPr>
        <w:spacing w:after="160" w:line="252" w:lineRule="auto"/>
        <w:jc w:val="both"/>
      </w:pPr>
      <w:r>
        <w:rPr>
          <w:rFonts w:ascii="Times New Roman" w:hAnsi="Times New Roman"/>
          <w:b w:val="0"/>
          <w:i w:val="0"/>
          <w:sz w:val="24"/>
        </w:rPr>
        <w:t>9. pandas documentation. Python Data Analysis Library. https://pandas.pydata.org/docs/</w:t>
      </w:r>
    </w:p>
    <w:p>
      <w:pPr>
        <w:spacing w:after="160" w:line="252" w:lineRule="auto"/>
        <w:jc w:val="both"/>
      </w:pPr>
      <w:r>
        <w:rPr>
          <w:rFonts w:ascii="Times New Roman" w:hAnsi="Times New Roman"/>
          <w:b w:val="0"/>
          <w:i w:val="0"/>
          <w:sz w:val="24"/>
        </w:rPr>
        <w:t>10. Plotly Python documentation. Interactive graphing library for Python. https://plotly.com/python/</w:t>
      </w:r>
    </w:p>
    <w:sectPr w:rsidR="00C70128">
      <w:footerReference w:type="default" r:id="rId2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887D7971-5D19-410F-BADD-6D24408F95AF}"/>
    <w:embedBold r:id="rId2" w:fontKey="{F4C49C91-669F-4E68-82D0-BF5790FD64ED}"/>
  </w:font>
  <w:font w:name="Calibri">
    <w:panose1 w:val="020F0502020204030204"/>
    <w:charset w:val="00"/>
    <w:family w:val="swiss"/>
    <w:pitch w:val="variable"/>
    <w:sig w:usb0="E4002EFF" w:usb1="C200247B" w:usb2="00000009" w:usb3="00000000" w:csb0="000001FF" w:csb1="00000000"/>
    <w:embedRegular r:id="rId3" w:fontKey="{9AA0031A-1A82-4F60-A274-363497E71147}"/>
  </w:font>
  <w:font w:name="Cambria">
    <w:panose1 w:val="02040503050406030204"/>
    <w:charset w:val="00"/>
    <w:family w:val="roman"/>
    <w:pitch w:val="variable"/>
    <w:sig w:usb0="E00006FF" w:usb1="420024FF" w:usb2="02000000" w:usb3="00000000" w:csb0="0000019F" w:csb1="00000000"/>
    <w:embedRegular r:id="rId4" w:fontKey="{86E98501-C19D-4696-8533-9923FE9701A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7057"/>
    <w:multiLevelType w:val="multilevel"/>
    <w:tmpl w:val="1E62D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136683"/>
    <w:multiLevelType w:val="multilevel"/>
    <w:tmpl w:val="024675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DF0C78"/>
    <w:multiLevelType w:val="multilevel"/>
    <w:tmpl w:val="00A29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F64106"/>
    <w:multiLevelType w:val="multilevel"/>
    <w:tmpl w:val="63FE7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D73041D"/>
    <w:multiLevelType w:val="multilevel"/>
    <w:tmpl w:val="F146AB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54B7204"/>
    <w:multiLevelType w:val="multilevel"/>
    <w:tmpl w:val="9B50B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7C79C1"/>
    <w:multiLevelType w:val="multilevel"/>
    <w:tmpl w:val="4DB48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D71388"/>
    <w:multiLevelType w:val="multilevel"/>
    <w:tmpl w:val="08005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AB702B9"/>
    <w:multiLevelType w:val="multilevel"/>
    <w:tmpl w:val="5C7EA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74088D"/>
    <w:multiLevelType w:val="multilevel"/>
    <w:tmpl w:val="8252F6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29779166">
    <w:abstractNumId w:val="1"/>
  </w:num>
  <w:num w:numId="2" w16cid:durableId="2069109592">
    <w:abstractNumId w:val="6"/>
  </w:num>
  <w:num w:numId="3" w16cid:durableId="125394961">
    <w:abstractNumId w:val="4"/>
  </w:num>
  <w:num w:numId="4" w16cid:durableId="742065920">
    <w:abstractNumId w:val="2"/>
  </w:num>
  <w:num w:numId="5" w16cid:durableId="1389299591">
    <w:abstractNumId w:val="8"/>
  </w:num>
  <w:num w:numId="6" w16cid:durableId="52432422">
    <w:abstractNumId w:val="0"/>
  </w:num>
  <w:num w:numId="7" w16cid:durableId="19359195">
    <w:abstractNumId w:val="9"/>
  </w:num>
  <w:num w:numId="8" w16cid:durableId="1599364186">
    <w:abstractNumId w:val="5"/>
  </w:num>
  <w:num w:numId="9" w16cid:durableId="1172138820">
    <w:abstractNumId w:val="7"/>
  </w:num>
  <w:num w:numId="10" w16cid:durableId="14448822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128"/>
    <w:rsid w:val="00B64D6C"/>
    <w:rsid w:val="00C70128"/>
    <w:rsid w:val="00EE46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975CF"/>
  <w15:docId w15:val="{2833C82C-40E4-42A8-8DA0-F13BBECA7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b w:val="0"/>
      <w:sz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rFonts w:ascii="Times New Roman" w:hAnsi="Times New Roman" w:eastAsia="Times New Roman"/>
      <w:b/>
      <w:sz w:val="24"/>
      <w:szCs w:val="32"/>
    </w:rPr>
  </w:style>
  <w:style w:type="paragraph" w:styleId="Heading3">
    <w:name w:val="heading 3"/>
    <w:basedOn w:val="Normal"/>
    <w:next w:val="Normal"/>
    <w:uiPriority w:val="9"/>
    <w:unhideWhenUsed/>
    <w:qFormat/>
    <w:pPr>
      <w:keepNext/>
      <w:keepLines/>
      <w:spacing w:before="320" w:after="80"/>
      <w:outlineLvl w:val="2"/>
    </w:pPr>
    <w:rPr>
      <w:rFonts w:ascii="Times New Roman" w:hAnsi="Times New Roman" w:eastAsia="Times New Roman"/>
      <w:b/>
      <w:color w:val="434343"/>
      <w:sz w:val="24"/>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laude.ai/public/artifacts/a60c2649-23d1-4a60-a7ec-e0f2e1199036"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5059</Words>
  <Characters>28840</Characters>
  <Application>Microsoft Office Word</Application>
  <DocSecurity>0</DocSecurity>
  <Lines>240</Lines>
  <Paragraphs>67</Paragraphs>
  <ScaleCrop>false</ScaleCrop>
  <Company/>
  <LinksUpToDate>false</LinksUpToDate>
  <CharactersWithSpaces>33832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Sivagami1806@outlook.com</cp:lastModifiedBy>
  <cp:revision>2</cp:revision>
  <dcterms:created xsi:type="dcterms:W3CDTF">2026-09-01T07:52:00Z</dcterms:created>
  <dcterms:modified xsi:type="dcterms:W3CDTF">2026-09-01T07:52:00Z</dcterms:modified>
</cp:coreProperties>
</file>