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6371C9" w:rsidRDefault="003F3FF6" w:rsidP="003F3FF6">
      <w:pPr>
        <w:jc w:val="center"/>
        <w:rPr>
          <w:b/>
        </w:rPr>
      </w:pPr>
      <w:r w:rsidRPr="006371C9">
        <w:rPr>
          <w:b/>
        </w:rPr>
        <w:t>A Symbiotic System Model for the Development for Canadian Oil Sands</w:t>
      </w:r>
    </w:p>
    <w:p w:rsidR="003F3FF6" w:rsidRPr="006371C9" w:rsidRDefault="003F3FF6">
      <w:pPr>
        <w:rPr>
          <w:b/>
        </w:rPr>
      </w:pPr>
      <w:r w:rsidRPr="006371C9">
        <w:rPr>
          <w:b/>
        </w:rPr>
        <w:t>1- Introduction</w:t>
      </w:r>
    </w:p>
    <w:p w:rsidR="003F3FF6" w:rsidRPr="006371C9" w:rsidRDefault="003F3FF6" w:rsidP="003F3FF6">
      <w:pPr>
        <w:autoSpaceDE w:val="0"/>
        <w:autoSpaceDN w:val="0"/>
        <w:adjustRightInd w:val="0"/>
        <w:spacing w:after="0" w:line="240" w:lineRule="auto"/>
        <w:ind w:firstLine="720"/>
        <w:rPr>
          <w:rFonts w:cs="Arial"/>
        </w:rPr>
      </w:pPr>
      <w:r w:rsidRPr="006371C9">
        <w:rPr>
          <w:rFonts w:cs="Arial"/>
        </w:rPr>
        <w:t>The Northern Alberta region contains 98% of the Canadian oil sands, covering about 140,200 square kilometers. It is also estimated that these regions hold proven reserves up to 1.75 trillion barrels of bitumen. About two tons of oil sands must be dug up, moved, and processed to produce 1 barrel of synthetic oil. Detractors hypothesize that mining, processing, and using the oil from the oil sands will greatly exacerbate global carbon dioxide (CO</w:t>
      </w:r>
      <w:r w:rsidRPr="006371C9">
        <w:rPr>
          <w:rFonts w:cs="Arial"/>
          <w:vertAlign w:val="subscript"/>
        </w:rPr>
        <w:t>2</w:t>
      </w:r>
      <w:r w:rsidRPr="006371C9">
        <w:rPr>
          <w:rFonts w:cs="Arial"/>
        </w:rPr>
        <w:t>) problems, and extend this argument as a reason for the US to deny permission to grant approval for the Keystone XL pipeline. Proponents say that global CO</w:t>
      </w:r>
      <w:r w:rsidRPr="006371C9">
        <w:rPr>
          <w:rFonts w:cs="Arial"/>
          <w:vertAlign w:val="subscript"/>
        </w:rPr>
        <w:t>2</w:t>
      </w:r>
      <w:r w:rsidRPr="006371C9">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3F3FF6" w:rsidRPr="003F3FF6" w:rsidRDefault="003F3FF6" w:rsidP="003F3FF6">
      <w:pPr>
        <w:ind w:firstLine="720"/>
      </w:pPr>
      <w:r w:rsidRPr="006371C9">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CE41B6" w:rsidRDefault="007342A4" w:rsidP="00CE41B6">
      <w:pPr>
        <w:spacing w:after="0" w:line="240" w:lineRule="auto"/>
        <w:ind w:firstLine="720"/>
        <w:rPr>
          <w:rFonts w:eastAsia="Times New Roman" w:cs="Arial"/>
          <w:color w:val="000000"/>
          <w:lang w:eastAsia="en-CA"/>
        </w:rPr>
      </w:pPr>
      <w:r w:rsidRPr="006371C9">
        <w:rPr>
          <w:rFonts w:eastAsia="Times New Roman" w:cs="Arial"/>
          <w:color w:val="000000"/>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w:t>
      </w:r>
      <w:r w:rsidR="00CE41B6" w:rsidRPr="006371C9">
        <w:rPr>
          <w:rFonts w:eastAsia="Times New Roman" w:cs="Arial"/>
          <w:color w:val="000000"/>
          <w:lang w:eastAsia="en-CA"/>
        </w:rPr>
        <w:t>tion capacity and the impact of</w:t>
      </w:r>
      <w:r w:rsidRPr="006371C9">
        <w:rPr>
          <w:rFonts w:eastAsia="Times New Roman" w:cs="Arial"/>
          <w:color w:val="000000"/>
          <w:lang w:eastAsia="en-CA"/>
        </w:rPr>
        <w:t xml:space="preserve"> diff</w:t>
      </w:r>
      <w:r w:rsidR="002D0346" w:rsidRPr="006371C9">
        <w:rPr>
          <w:rFonts w:eastAsia="Times New Roman" w:cs="Arial"/>
          <w:color w:val="000000"/>
          <w:lang w:eastAsia="en-CA"/>
        </w:rPr>
        <w:t xml:space="preserve">erent required investment rates in US dollars </w:t>
      </w:r>
      <w:r w:rsidRPr="006371C9">
        <w:rPr>
          <w:rFonts w:eastAsia="Times New Roman" w:cs="Arial"/>
          <w:color w:val="000000"/>
          <w:lang w:eastAsia="en-CA"/>
        </w:rPr>
        <w:t xml:space="preserve">and </w:t>
      </w:r>
      <w:r w:rsidR="002D0346" w:rsidRPr="006371C9">
        <w:rPr>
          <w:rFonts w:eastAsia="Times New Roman" w:cs="Arial"/>
          <w:color w:val="000000"/>
          <w:lang w:eastAsia="en-CA"/>
        </w:rPr>
        <w:t xml:space="preserve">different reinvestment </w:t>
      </w:r>
      <w:r w:rsidR="002D0346" w:rsidRPr="006371C9">
        <w:rPr>
          <w:rFonts w:ascii="Calibri" w:hAnsi="Calibri" w:cs="Arial"/>
        </w:rPr>
        <w:t>into wind turbine purchase and maintenance</w:t>
      </w:r>
      <w:r w:rsidR="002D0346" w:rsidRPr="006371C9">
        <w:rPr>
          <w:rFonts w:eastAsia="Times New Roman" w:cs="Arial"/>
          <w:color w:val="000000"/>
          <w:lang w:eastAsia="en-CA"/>
        </w:rPr>
        <w:t>.</w:t>
      </w:r>
    </w:p>
    <w:p w:rsidR="007342A4" w:rsidRDefault="007665D9" w:rsidP="00144EA6">
      <w:pPr>
        <w:ind w:firstLine="720"/>
      </w:pPr>
      <w:r>
        <w:t>To account for the environmental benefits of the proposed symbiotic system, we considered the ratio of the carbon offset by wind power, to the carbon produced by the oil sands. Specifically</w:t>
      </w:r>
      <w:r w:rsidR="002D0346">
        <w:t>,</w:t>
      </w:r>
      <w:r>
        <w:t xml:space="preserve"> we considered the marginal carbon impact of the oil sands compar</w:t>
      </w:r>
      <w:r w:rsidR="002D0346">
        <w:t>ed to conventional oil (</w:t>
      </w:r>
      <w:r w:rsidR="002D0346" w:rsidRPr="002D0346">
        <w:t>Production</w:t>
      </w:r>
      <w:r w:rsidR="002D0346">
        <w:t>),</w:t>
      </w:r>
      <w:r>
        <w:t xml:space="preserve"> and the total carbon cost of producing and consuming oil from the oil sands</w:t>
      </w:r>
      <w:r w:rsidR="002D0346">
        <w:t xml:space="preserve"> (Total)</w:t>
      </w:r>
      <w:r>
        <w:t xml:space="preserve">.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144EA6" w:rsidRPr="006371C9" w:rsidRDefault="00C94B7F" w:rsidP="00144EA6">
      <w:pPr>
        <w:ind w:firstLine="720"/>
      </w:pPr>
      <w:r w:rsidRPr="006371C9">
        <w:t xml:space="preserve">Comparisons across the published studies of GHG life-cycle emissions intensities for fuels derived from different sources are sensitive to each study’s choice of boundaries and input parameters </w:t>
      </w:r>
      <w:proofErr w:type="spellStart"/>
      <w:r w:rsidR="00DD08FF" w:rsidRPr="006371C9">
        <w:t>Lattanzio</w:t>
      </w:r>
      <w:proofErr w:type="spellEnd"/>
      <w:r w:rsidR="00144EA6" w:rsidRPr="006371C9">
        <w:t xml:space="preserve"> (20</w:t>
      </w:r>
      <w:r w:rsidR="006F7609" w:rsidRPr="006371C9">
        <w:t>12</w:t>
      </w:r>
      <w:r w:rsidR="00144EA6" w:rsidRPr="006371C9">
        <w:t xml:space="preserve">) reviewed </w:t>
      </w:r>
      <w:r w:rsidR="00DD08FF" w:rsidRPr="006371C9">
        <w:t>data from the primary studies of</w:t>
      </w:r>
      <w:r w:rsidR="006F7609" w:rsidRPr="006371C9">
        <w:t xml:space="preserve"> the U.S. Department of State (DOS)</w:t>
      </w:r>
      <w:r w:rsidR="008045A5" w:rsidRPr="006371C9">
        <w:t xml:space="preserve"> and contractor</w:t>
      </w:r>
      <w:r w:rsidR="006F7609" w:rsidRPr="006371C9">
        <w:t xml:space="preserve"> ICF</w:t>
      </w:r>
      <w:r w:rsidR="008045A5" w:rsidRPr="006371C9">
        <w:t xml:space="preserve"> International L.L.C</w:t>
      </w:r>
      <w:r w:rsidR="00DD08FF" w:rsidRPr="006371C9">
        <w:t>, and the analysis from</w:t>
      </w:r>
      <w:r w:rsidR="006F7609" w:rsidRPr="006371C9">
        <w:t xml:space="preserve"> the Final Environmental Impact Statement (EIS)</w:t>
      </w:r>
      <w:r w:rsidR="008045A5" w:rsidRPr="006371C9">
        <w:t>,</w:t>
      </w:r>
      <w:r w:rsidR="00413055">
        <w:t xml:space="preserve"> finding</w:t>
      </w:r>
      <w:r w:rsidR="006F7609" w:rsidRPr="006371C9">
        <w:t xml:space="preserve"> the following</w:t>
      </w:r>
      <w:r w:rsidR="008045A5" w:rsidRPr="006371C9">
        <w:t xml:space="preserve"> emission numbers</w:t>
      </w:r>
      <w:r w:rsidR="00DC374A" w:rsidRPr="006371C9">
        <w:t xml:space="preserve"> [1]</w:t>
      </w:r>
      <w:r w:rsidR="006F7609" w:rsidRPr="006371C9">
        <w:t>:</w:t>
      </w:r>
    </w:p>
    <w:p w:rsidR="00C94B7F" w:rsidRPr="006371C9" w:rsidRDefault="009465C3"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 production</w:t>
      </w:r>
      <w:r w:rsidR="00C94B7F" w:rsidRPr="006371C9">
        <w:rPr>
          <w:rFonts w:eastAsia="Times New Roman" w:cs="Arial"/>
          <w:color w:val="000000"/>
          <w:lang w:val="en-CA" w:eastAsia="en-CA"/>
        </w:rPr>
        <w:t xml:space="preserve"> (Well-to-Tank)</w:t>
      </w:r>
    </w:p>
    <w:p w:rsidR="009465C3"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t>
      </w:r>
      <w:r w:rsidR="00964545" w:rsidRPr="006371C9">
        <w:rPr>
          <w:rFonts w:eastAsia="Times New Roman" w:cs="Arial"/>
          <w:color w:val="000000"/>
          <w:lang w:val="en-CA" w:eastAsia="en-CA"/>
        </w:rPr>
        <w:t>Tank</w:t>
      </w:r>
      <w:r w:rsidRPr="006371C9">
        <w:rPr>
          <w:rFonts w:eastAsia="Times New Roman" w:cs="Arial"/>
          <w:color w:val="000000"/>
          <w:lang w:val="en-CA" w:eastAsia="en-CA"/>
        </w:rPr>
        <w:t xml:space="preserve"> GHG emissions are valued at </w:t>
      </w:r>
      <w:r w:rsidR="00964545" w:rsidRPr="006371C9">
        <w:rPr>
          <w:rFonts w:eastAsia="Times New Roman" w:cs="Arial"/>
          <w:color w:val="000000"/>
          <w:lang w:val="en-CA" w:eastAsia="en-CA"/>
        </w:rPr>
        <w:t>18</w:t>
      </w:r>
      <w:r w:rsidRPr="006371C9">
        <w:rPr>
          <w:rFonts w:eastAsia="Times New Roman" w:cs="Arial"/>
          <w:color w:val="000000"/>
          <w:lang w:val="en-CA" w:eastAsia="en-CA"/>
        </w:rPr>
        <w:t xml:space="preserve"> g</w:t>
      </w:r>
      <w:r w:rsidR="00964545" w:rsidRPr="006371C9">
        <w:rPr>
          <w:rFonts w:eastAsia="Times New Roman" w:cs="Arial"/>
          <w:color w:val="000000"/>
          <w:lang w:val="en-CA" w:eastAsia="en-CA"/>
        </w:rPr>
        <w:t xml:space="preserve"> CO</w:t>
      </w:r>
      <w:r w:rsidR="00964545" w:rsidRPr="006371C9">
        <w:rPr>
          <w:rFonts w:eastAsia="Times New Roman" w:cs="Arial"/>
          <w:color w:val="000000"/>
          <w:vertAlign w:val="subscript"/>
          <w:lang w:val="en-CA" w:eastAsia="en-CA"/>
        </w:rPr>
        <w:t>2</w:t>
      </w:r>
      <w:r w:rsidRPr="006371C9">
        <w:rPr>
          <w:rFonts w:eastAsia="Times New Roman" w:cs="Arial"/>
          <w:color w:val="000000"/>
          <w:lang w:val="en-CA" w:eastAsia="en-CA"/>
        </w:rPr>
        <w:t xml:space="preserve">e/MJ </w:t>
      </w:r>
      <w:r w:rsidR="006F7609" w:rsidRPr="006371C9">
        <w:rPr>
          <w:rFonts w:eastAsia="Times New Roman" w:cs="Arial"/>
          <w:color w:val="000000"/>
          <w:lang w:val="en-CA" w:eastAsia="en-CA"/>
        </w:rPr>
        <w:t xml:space="preserve"> LHV </w:t>
      </w:r>
    </w:p>
    <w:p w:rsidR="00C702CE" w:rsidRPr="006371C9" w:rsidRDefault="00C702CE"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1.098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sidR="00223E94">
        <w:rPr>
          <w:rFonts w:eastAsia="Times New Roman" w:cs="Arial"/>
          <w:color w:val="000000"/>
          <w:lang w:val="en-CA" w:eastAsia="en-CA"/>
        </w:rPr>
        <w:t xml:space="preserve"> MT CO</w:t>
      </w:r>
      <w:r w:rsidR="00223E94" w:rsidRPr="00223E94">
        <w:rPr>
          <w:rFonts w:eastAsia="Times New Roman" w:cs="Arial"/>
          <w:color w:val="000000"/>
          <w:vertAlign w:val="subscript"/>
          <w:lang w:val="en-CA" w:eastAsia="en-CA"/>
        </w:rPr>
        <w:t>2</w:t>
      </w:r>
      <w:r w:rsidR="00223E94">
        <w:rPr>
          <w:rFonts w:eastAsia="Times New Roman" w:cs="Arial"/>
          <w:color w:val="000000"/>
          <w:lang w:val="en-CA" w:eastAsia="en-CA"/>
        </w:rPr>
        <w:t>e/</w:t>
      </w:r>
      <w:proofErr w:type="spellStart"/>
      <w:r w:rsidR="00223E94">
        <w:rPr>
          <w:rFonts w:eastAsia="Times New Roman" w:cs="Arial"/>
          <w:color w:val="000000"/>
          <w:lang w:val="en-CA" w:eastAsia="en-CA"/>
        </w:rPr>
        <w:t>bbl</w:t>
      </w:r>
      <w:proofErr w:type="spellEnd"/>
    </w:p>
    <w:p w:rsidR="00A1733F" w:rsidRPr="006371C9" w:rsidRDefault="00A1733F" w:rsidP="00A1733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consumption (end use)</w:t>
      </w:r>
      <w:r w:rsidR="00C94B7F" w:rsidRPr="006371C9">
        <w:rPr>
          <w:rFonts w:eastAsia="Times New Roman" w:cs="Arial"/>
          <w:color w:val="000000"/>
          <w:lang w:val="en-CA" w:eastAsia="en-CA"/>
        </w:rPr>
        <w:t xml:space="preserve"> (Tank-to-Wheel</w:t>
      </w:r>
      <w:r w:rsidR="00964545" w:rsidRPr="006371C9">
        <w:rPr>
          <w:rFonts w:eastAsia="Times New Roman" w:cs="Arial"/>
          <w:color w:val="000000"/>
          <w:lang w:val="en-CA" w:eastAsia="en-CA"/>
        </w:rPr>
        <w:t xml:space="preserve"> or Combustion</w:t>
      </w:r>
      <w:r w:rsidR="00C94B7F" w:rsidRPr="006371C9">
        <w:rPr>
          <w:rFonts w:eastAsia="Times New Roman" w:cs="Arial"/>
          <w:color w:val="000000"/>
          <w:lang w:val="en-CA" w:eastAsia="en-CA"/>
        </w:rPr>
        <w:t>)</w:t>
      </w:r>
    </w:p>
    <w:p w:rsidR="00C94B7F" w:rsidRDefault="00964545"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 xml:space="preserve">Tank-to-Wheel GHH emissions are valued at 73 g </w:t>
      </w:r>
      <w:r w:rsidR="006F7609" w:rsidRPr="006371C9">
        <w:rPr>
          <w:rFonts w:eastAsia="Times New Roman" w:cs="Arial"/>
          <w:color w:val="000000"/>
          <w:lang w:val="en-CA" w:eastAsia="en-CA"/>
        </w:rPr>
        <w:t>CO</w:t>
      </w:r>
      <w:r w:rsidR="006F7609"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e/MJ LHV</w:t>
      </w:r>
    </w:p>
    <w:p w:rsidR="00223E94" w:rsidRPr="006371C9" w:rsidRDefault="00223E94"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4.453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C94B7F" w:rsidRPr="006371C9" w:rsidRDefault="00C94B7F"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sands production and consumption (Well-to-</w:t>
      </w:r>
      <w:r w:rsidR="00964545" w:rsidRPr="006371C9">
        <w:rPr>
          <w:rFonts w:eastAsia="Times New Roman" w:cs="Arial"/>
          <w:color w:val="000000"/>
          <w:lang w:val="en-CA" w:eastAsia="en-CA"/>
        </w:rPr>
        <w:t>Wheel</w:t>
      </w:r>
      <w:r w:rsidRPr="006371C9">
        <w:rPr>
          <w:rFonts w:eastAsia="Times New Roman" w:cs="Arial"/>
          <w:color w:val="000000"/>
          <w:lang w:val="en-CA" w:eastAsia="en-CA"/>
        </w:rPr>
        <w:t>)</w:t>
      </w:r>
    </w:p>
    <w:p w:rsidR="00C94B7F"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Well-to-Wheel GHG emissions are valued at 91 g</w:t>
      </w:r>
      <w:r w:rsidR="006F7609" w:rsidRPr="006371C9">
        <w:rPr>
          <w:rFonts w:eastAsia="Times New Roman" w:cs="Arial"/>
          <w:color w:val="000000"/>
          <w:lang w:val="en-CA" w:eastAsia="en-CA"/>
        </w:rPr>
        <w:t xml:space="preserve"> CO</w:t>
      </w:r>
      <w:r w:rsidR="006F7609" w:rsidRPr="006371C9">
        <w:rPr>
          <w:rFonts w:eastAsia="Times New Roman" w:cs="Arial"/>
          <w:color w:val="000000"/>
          <w:vertAlign w:val="subscript"/>
          <w:lang w:val="en-CA" w:eastAsia="en-CA"/>
        </w:rPr>
        <w:t>2</w:t>
      </w:r>
      <w:r w:rsidR="006F7609" w:rsidRPr="006371C9">
        <w:rPr>
          <w:rFonts w:eastAsia="Times New Roman" w:cs="Arial"/>
          <w:color w:val="000000"/>
          <w:lang w:val="en-CA" w:eastAsia="en-CA"/>
        </w:rPr>
        <w:t>e/MJ</w:t>
      </w:r>
      <w:r w:rsidRPr="006371C9">
        <w:rPr>
          <w:rFonts w:eastAsia="Times New Roman" w:cs="Arial"/>
          <w:color w:val="000000"/>
          <w:lang w:val="en-CA" w:eastAsia="en-CA"/>
        </w:rPr>
        <w:t xml:space="preserve"> </w:t>
      </w:r>
      <w:r w:rsidR="006F7609" w:rsidRPr="006371C9">
        <w:rPr>
          <w:rFonts w:eastAsia="Times New Roman" w:cs="Arial"/>
          <w:color w:val="000000"/>
          <w:lang w:val="en-CA" w:eastAsia="en-CA"/>
        </w:rPr>
        <w:t xml:space="preserve">LHV </w:t>
      </w:r>
    </w:p>
    <w:p w:rsidR="00223E94" w:rsidRPr="00D6370C" w:rsidRDefault="00223E94" w:rsidP="00D6370C">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lastRenderedPageBreak/>
        <w:t xml:space="preserve">Equivalent to </w:t>
      </w:r>
      <m:oMath>
        <m:r>
          <w:rPr>
            <w:rFonts w:ascii="Cambria Math" w:eastAsia="Times New Roman" w:hAnsi="Cambria Math" w:cs="Arial"/>
            <w:color w:val="000000"/>
            <w:lang w:val="en-CA" w:eastAsia="en-CA"/>
          </w:rPr>
          <m:t xml:space="preserve">5.551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E81D33" w:rsidRDefault="00E81D33" w:rsidP="00FF1CF9">
      <w:pPr>
        <w:shd w:val="clear" w:color="auto" w:fill="FFFFFF"/>
        <w:spacing w:before="100" w:beforeAutospacing="1" w:after="100" w:afterAutospacing="1" w:line="240" w:lineRule="auto"/>
      </w:pPr>
      <w:r>
        <w:t>The bitumen production by the Alberta’s oil sands industry has reached 1.</w:t>
      </w:r>
      <w:r w:rsidR="00FA3D71">
        <w:t>9</w:t>
      </w:r>
      <w:r>
        <w:t xml:space="preserve"> million barrels/day </w:t>
      </w:r>
      <w:r w:rsidR="00FA3D71">
        <w:t>[4</w:t>
      </w:r>
      <w:r w:rsidR="00D5167D">
        <w:t>]</w:t>
      </w:r>
    </w:p>
    <w:tbl>
      <w:tblPr>
        <w:tblStyle w:val="TableGrid"/>
        <w:tblW w:w="0" w:type="auto"/>
        <w:tblLook w:val="04A0" w:firstRow="1" w:lastRow="0" w:firstColumn="1" w:lastColumn="0" w:noHBand="0" w:noVBand="1"/>
      </w:tblPr>
      <w:tblGrid>
        <w:gridCol w:w="7083"/>
        <w:gridCol w:w="2267"/>
      </w:tblGrid>
      <w:tr w:rsidR="00E81D33" w:rsidTr="00524F69">
        <w:tc>
          <w:tcPr>
            <w:tcW w:w="7083" w:type="dxa"/>
          </w:tcPr>
          <w:p w:rsidR="00E81D33" w:rsidRDefault="00E81D33" w:rsidP="00FA3D71">
            <w:pPr>
              <w:spacing w:before="100" w:beforeAutospacing="1" w:after="100" w:afterAutospacing="1"/>
            </w:pPr>
            <w:r>
              <w:t xml:space="preserve">Carbon </w:t>
            </w:r>
            <w:r w:rsidR="00FA3D71">
              <w:t>e</w:t>
            </w:r>
            <w:r>
              <w:t>missions from oil sand production per year</w:t>
            </w:r>
          </w:p>
        </w:tc>
        <w:tc>
          <w:tcPr>
            <w:tcW w:w="2267" w:type="dxa"/>
          </w:tcPr>
          <w:p w:rsidR="00E81D33" w:rsidRDefault="00FA3D71" w:rsidP="00524F69">
            <w:pPr>
              <w:spacing w:before="100" w:beforeAutospacing="1" w:after="100" w:afterAutospacing="1"/>
            </w:pPr>
            <w:r>
              <w:t>76</w:t>
            </w:r>
            <w:r w:rsidR="00524F69">
              <w:t>.</w:t>
            </w:r>
            <w:r>
              <w:t>14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Carbon emission from oil sand (end use) per year</w:t>
            </w:r>
          </w:p>
        </w:tc>
        <w:tc>
          <w:tcPr>
            <w:tcW w:w="2267" w:type="dxa"/>
          </w:tcPr>
          <w:p w:rsidR="00E81D33" w:rsidRDefault="00FA3D71" w:rsidP="00524F69">
            <w:pPr>
              <w:spacing w:before="100" w:beforeAutospacing="1" w:after="100" w:afterAutospacing="1"/>
            </w:pPr>
            <w:r>
              <w:t>308</w:t>
            </w:r>
            <w:r w:rsidR="00524F69">
              <w:t>.</w:t>
            </w:r>
            <w:r>
              <w:t>81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Total carbon emission from oil sand production and consumption per year</w:t>
            </w:r>
          </w:p>
        </w:tc>
        <w:tc>
          <w:tcPr>
            <w:tcW w:w="2267" w:type="dxa"/>
          </w:tcPr>
          <w:p w:rsidR="00E81D33" w:rsidRDefault="00FA3D71" w:rsidP="00FA3D71">
            <w:pPr>
              <w:spacing w:before="100" w:beforeAutospacing="1" w:after="100" w:afterAutospacing="1"/>
            </w:pPr>
            <w:r>
              <w:t>384</w:t>
            </w:r>
            <w:r w:rsidR="00524F69">
              <w:t>.96</w:t>
            </w:r>
            <w:r>
              <w:t xml:space="preserve"> MT CO</w:t>
            </w:r>
            <w:r w:rsidRPr="00FA3D71">
              <w:rPr>
                <w:vertAlign w:val="subscript"/>
              </w:rPr>
              <w:t>2</w:t>
            </w:r>
            <w:r>
              <w:t>e</w:t>
            </w:r>
          </w:p>
        </w:tc>
      </w:tr>
    </w:tbl>
    <w:p w:rsidR="00FF1CF9" w:rsidRPr="006371C9" w:rsidRDefault="00FF1CF9" w:rsidP="00FF1CF9">
      <w:pPr>
        <w:shd w:val="clear" w:color="auto" w:fill="FFFFFF"/>
        <w:spacing w:before="100" w:beforeAutospacing="1" w:after="100" w:afterAutospacing="1" w:line="240" w:lineRule="auto"/>
      </w:pPr>
      <w:r w:rsidRPr="006371C9">
        <w:t>Raadal et al (2014) conducted a specific life cycle GHG emissions from wind power generation from six different 5 MW offshore wind turbine. The relatively large ranges in GHG emissions and energy performance are mainly the result of the differing steel masses required for the analyzed platforms. The default wind farm assessed is assumed to have a 20-year lifetime and a Capacity Factor (CF) of 46%</w:t>
      </w:r>
    </w:p>
    <w:p w:rsidR="00FF1CF9" w:rsidRPr="006371C9" w:rsidRDefault="00FF1CF9" w:rsidP="00FF1CF9">
      <w:pPr>
        <w:pStyle w:val="ListParagraph"/>
        <w:numPr>
          <w:ilvl w:val="0"/>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 for a 5 MW offshore wind turbine</w:t>
      </w:r>
      <w:r w:rsidR="00DC374A" w:rsidRPr="006371C9">
        <w:rPr>
          <w:rFonts w:eastAsia="Times New Roman" w:cs="Arial"/>
          <w:color w:val="000000"/>
          <w:lang w:val="en-CA" w:eastAsia="en-CA"/>
        </w:rPr>
        <w:t xml:space="preserve"> [2]</w:t>
      </w:r>
      <w:r w:rsidRPr="006371C9">
        <w:rPr>
          <w:rFonts w:eastAsia="Times New Roman" w:cs="Arial"/>
          <w:color w:val="000000"/>
          <w:lang w:val="en-CA" w:eastAsia="en-CA"/>
        </w:rPr>
        <w:t>:</w:t>
      </w:r>
    </w:p>
    <w:p w:rsidR="00FF1CF9" w:rsidRPr="006371C9" w:rsidRDefault="00374F96" w:rsidP="00FF1CF9">
      <w:pPr>
        <w:pStyle w:val="ListParagraph"/>
        <w:numPr>
          <w:ilvl w:val="1"/>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e/KWh</w:t>
      </w:r>
    </w:p>
    <w:p w:rsidR="009465C3" w:rsidRPr="006371C9" w:rsidRDefault="00A1733F" w:rsidP="00FF1CF9">
      <w:p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for Alberta and Canadian electricity generation</w:t>
      </w:r>
      <w:r w:rsidR="00DC374A" w:rsidRPr="006371C9">
        <w:rPr>
          <w:rFonts w:eastAsia="Times New Roman" w:cs="Arial"/>
          <w:color w:val="000000"/>
          <w:lang w:val="en-CA" w:eastAsia="en-CA"/>
        </w:rPr>
        <w:t xml:space="preserve"> [3]</w:t>
      </w:r>
      <w:r w:rsidR="00F94FB5" w:rsidRPr="006371C9">
        <w:rPr>
          <w:rFonts w:eastAsia="Times New Roman" w:cs="Arial"/>
          <w:color w:val="000000"/>
          <w:lang w:val="en-CA" w:eastAsia="en-CA"/>
        </w:rPr>
        <w:t xml:space="preserve">: </w:t>
      </w:r>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Canada to be 210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875442" w:rsidRPr="006371C9" w:rsidRDefault="00AD75D5" w:rsidP="00AD75D5">
      <w:r w:rsidRPr="006371C9">
        <w:rPr>
          <w:b/>
        </w:rPr>
        <w:t>Input assumptions.</w:t>
      </w:r>
      <w:r w:rsidRPr="006371C9">
        <w:t xml:space="preserve"> Input assumptions can impact model results at each stage of the assessment. </w:t>
      </w:r>
      <w:r w:rsidR="00C94B7F" w:rsidRPr="006371C9">
        <w:t xml:space="preserve">Key input assumptions include: </w:t>
      </w:r>
      <w:r w:rsidR="00875442" w:rsidRPr="006371C9">
        <w:t>two</w:t>
      </w:r>
      <w:r w:rsidR="00F94FB5" w:rsidRPr="006371C9">
        <w:t xml:space="preserve"> (three?)</w:t>
      </w:r>
      <w:r w:rsidR="00875442" w:rsidRPr="006371C9">
        <w:t xml:space="preserve"> key constrains in the model:</w:t>
      </w:r>
    </w:p>
    <w:p w:rsidR="00EF2A77" w:rsidRPr="006371C9" w:rsidRDefault="00EF2A77" w:rsidP="00875442">
      <w:pPr>
        <w:pStyle w:val="ListParagraph"/>
        <w:numPr>
          <w:ilvl w:val="1"/>
          <w:numId w:val="3"/>
        </w:numPr>
      </w:pPr>
      <w:r w:rsidRPr="006371C9">
        <w:t xml:space="preserve">$2/Watt cost with installation </w:t>
      </w:r>
      <w:r w:rsidRPr="002B467B">
        <w:rPr>
          <w:highlight w:val="yellow"/>
        </w:rPr>
        <w:t>[ref needed!]</w:t>
      </w:r>
    </w:p>
    <w:p w:rsidR="00875442" w:rsidRPr="006371C9" w:rsidRDefault="00875442" w:rsidP="00875442">
      <w:pPr>
        <w:pStyle w:val="ListParagraph"/>
        <w:numPr>
          <w:ilvl w:val="1"/>
          <w:numId w:val="3"/>
        </w:numPr>
      </w:pPr>
      <w:r w:rsidRPr="006371C9">
        <w:t>The 5% annual maintenance</w:t>
      </w:r>
      <w:r w:rsidR="00EF2A77" w:rsidRPr="006371C9">
        <w:t xml:space="preserve"> </w:t>
      </w:r>
      <w:r w:rsidR="00EF2A77" w:rsidRPr="002B467B">
        <w:rPr>
          <w:highlight w:val="yellow"/>
        </w:rPr>
        <w:t>[ref needed!]</w:t>
      </w:r>
    </w:p>
    <w:p w:rsidR="00875442" w:rsidRPr="006371C9" w:rsidRDefault="00875442" w:rsidP="00875442">
      <w:pPr>
        <w:pStyle w:val="ListParagraph"/>
        <w:numPr>
          <w:ilvl w:val="1"/>
          <w:numId w:val="3"/>
        </w:numPr>
      </w:pPr>
      <w:r w:rsidRPr="006371C9">
        <w:t>The total number of turbines capped at 70,</w:t>
      </w:r>
      <w:r w:rsidR="00EB5C2A" w:rsidRPr="006371C9">
        <w:t>0</w:t>
      </w:r>
      <w:r w:rsidRPr="006371C9">
        <w:t>00 (</w:t>
      </w:r>
      <w:r w:rsidR="006371C9">
        <w:t xml:space="preserve"> approximately</w:t>
      </w:r>
      <w:r w:rsidR="00EB5C2A" w:rsidRPr="006371C9">
        <w:t xml:space="preserve"> </w:t>
      </w:r>
      <w:r w:rsidRPr="006371C9">
        <w:t>1 per square km) of wind turbines to be built</w:t>
      </w:r>
    </w:p>
    <w:p w:rsidR="00875442" w:rsidRPr="006371C9" w:rsidRDefault="00875442" w:rsidP="00875442">
      <w:pPr>
        <w:pStyle w:val="ListParagraph"/>
        <w:numPr>
          <w:ilvl w:val="1"/>
          <w:numId w:val="3"/>
        </w:numPr>
      </w:pPr>
      <w:r w:rsidRPr="006371C9">
        <w:t xml:space="preserve">Max amount of electricity generated? </w:t>
      </w:r>
    </w:p>
    <w:p w:rsidR="007665D9" w:rsidRPr="00E21FD3" w:rsidRDefault="003F3FF6">
      <w:pPr>
        <w:rPr>
          <w:b/>
        </w:rPr>
      </w:pPr>
      <w:r w:rsidRPr="00E21FD3">
        <w:rPr>
          <w:b/>
        </w:rPr>
        <w:t xml:space="preserve">3- </w:t>
      </w:r>
      <w:r w:rsidR="00E21FD3" w:rsidRPr="00E21FD3">
        <w:rPr>
          <w:b/>
        </w:rPr>
        <w:t>Results</w:t>
      </w:r>
    </w:p>
    <w:p w:rsidR="00DC507C" w:rsidRPr="006371C9" w:rsidRDefault="00CF0239">
      <w:r w:rsidRPr="006371C9">
        <w:t xml:space="preserve">The proposed symbiotic system considers the potential environmental benefits of installing wind turbines as a part of oil sands reclamation efforts. </w:t>
      </w:r>
    </w:p>
    <w:p w:rsidR="00875442" w:rsidRPr="006371C9" w:rsidRDefault="004D20FC" w:rsidP="00DC507C">
      <w:pPr>
        <w:pStyle w:val="ListParagraph"/>
        <w:numPr>
          <w:ilvl w:val="0"/>
          <w:numId w:val="7"/>
        </w:numPr>
      </w:pPr>
      <w:r w:rsidRPr="006371C9">
        <w:t>We use</w:t>
      </w:r>
      <w:r w:rsidR="00F27764" w:rsidRPr="006371C9">
        <w:t>d</w:t>
      </w:r>
      <w:r w:rsidRPr="006371C9">
        <w:t xml:space="preserve"> a mean </w:t>
      </w:r>
      <w:r w:rsidR="00374F96" w:rsidRPr="006371C9">
        <w:t xml:space="preserve">carbon </w:t>
      </w:r>
      <w:r w:rsidRPr="006371C9">
        <w:t>value</w:t>
      </w:r>
      <w:r w:rsidR="00374F96" w:rsidRPr="006371C9">
        <w:t>s</w:t>
      </w:r>
      <w:r w:rsidRPr="006371C9">
        <w:t xml:space="preserve"> from </w:t>
      </w:r>
      <w:proofErr w:type="spellStart"/>
      <w:r w:rsidR="00374F96" w:rsidRPr="006371C9">
        <w:t>Lattanzio</w:t>
      </w:r>
      <w:proofErr w:type="spellEnd"/>
      <w:r w:rsidR="00374F96" w:rsidRPr="006371C9">
        <w:t xml:space="preserve"> (2012</w:t>
      </w:r>
      <w:r w:rsidRPr="006371C9">
        <w:t>)</w:t>
      </w:r>
      <w:r w:rsidR="00F27764" w:rsidRPr="006371C9">
        <w:t>,</w:t>
      </w:r>
      <w:r w:rsidRPr="006371C9">
        <w:t xml:space="preserve"> and we plugg</w:t>
      </w:r>
      <w:r w:rsidR="00DC507C" w:rsidRPr="006371C9">
        <w:t>ed it into an excel spreadsheet</w:t>
      </w:r>
      <w:r w:rsidR="00F27764" w:rsidRPr="006371C9">
        <w:t xml:space="preserve"> to investigate model behavior</w:t>
      </w:r>
    </w:p>
    <w:p w:rsidR="00DC507C" w:rsidRPr="006371C9" w:rsidRDefault="00DC507C" w:rsidP="00DC507C">
      <w:pPr>
        <w:pStyle w:val="ListParagraph"/>
        <w:numPr>
          <w:ilvl w:val="0"/>
          <w:numId w:val="7"/>
        </w:numPr>
      </w:pPr>
      <w:r w:rsidRPr="006371C9">
        <w:rPr>
          <w:rFonts w:cs="Arial"/>
          <w:color w:val="000000"/>
          <w:shd w:val="clear" w:color="auto" w:fill="FFFFFF"/>
        </w:rPr>
        <w:t>We looked at what happens if we force the carbon tax to get reinvested into wind turbines with and without reinvestment</w:t>
      </w:r>
    </w:p>
    <w:p w:rsidR="00875442" w:rsidRPr="006371C9" w:rsidRDefault="001C50EA" w:rsidP="00DC507C">
      <w:pPr>
        <w:pStyle w:val="ListParagraph"/>
        <w:numPr>
          <w:ilvl w:val="0"/>
          <w:numId w:val="7"/>
        </w:numPr>
      </w:pPr>
      <w:r w:rsidRPr="006371C9">
        <w:rPr>
          <w:rFonts w:cs="Arial"/>
          <w:color w:val="000000"/>
          <w:shd w:val="clear" w:color="auto" w:fill="FFFFFF"/>
        </w:rPr>
        <w:t>We</w:t>
      </w:r>
      <w:r w:rsidR="00DC507C" w:rsidRPr="006371C9">
        <w:rPr>
          <w:rFonts w:cs="Arial"/>
          <w:color w:val="000000"/>
          <w:shd w:val="clear" w:color="auto" w:fill="FFFFFF"/>
        </w:rPr>
        <w:t xml:space="preserve"> also looked at if the carbon tax is applied to only the production emissions</w:t>
      </w:r>
      <w:r w:rsidRPr="006371C9">
        <w:rPr>
          <w:rFonts w:cs="Arial"/>
          <w:color w:val="000000"/>
          <w:shd w:val="clear" w:color="auto" w:fill="FFFFFF"/>
        </w:rPr>
        <w:t>,</w:t>
      </w:r>
      <w:r w:rsidR="00DC507C" w:rsidRPr="006371C9">
        <w:rPr>
          <w:rFonts w:cs="Arial"/>
          <w:color w:val="000000"/>
          <w:shd w:val="clear" w:color="auto" w:fill="FFFFFF"/>
        </w:rPr>
        <w:t xml:space="preserve"> or also the consumption emissions, yielding </w:t>
      </w:r>
      <w:r w:rsidR="00374F96" w:rsidRPr="006371C9">
        <w:rPr>
          <w:rFonts w:cs="Arial"/>
          <w:color w:val="000000"/>
          <w:shd w:val="clear" w:color="auto" w:fill="FFFFFF"/>
        </w:rPr>
        <w:t xml:space="preserve">investment </w:t>
      </w:r>
      <w:r w:rsidR="00DC507C" w:rsidRPr="006371C9">
        <w:rPr>
          <w:rFonts w:cs="Arial"/>
          <w:color w:val="000000"/>
          <w:shd w:val="clear" w:color="auto" w:fill="FFFFFF"/>
        </w:rPr>
        <w:t>net values of $2/</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r w:rsidR="00DC507C" w:rsidRPr="006371C9">
        <w:rPr>
          <w:rFonts w:cs="Arial"/>
          <w:color w:val="000000"/>
          <w:shd w:val="clear" w:color="auto" w:fill="FFFFFF"/>
        </w:rPr>
        <w:t xml:space="preserve"> and $15/</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p>
    <w:p w:rsidR="00CF0239" w:rsidRDefault="00A45E0C">
      <w:r>
        <w:t>It follows that w</w:t>
      </w:r>
      <w:r w:rsidR="00CF0239">
        <w:t>ith enough 4</w:t>
      </w:r>
      <w:r>
        <w:t>,</w:t>
      </w:r>
      <w:r w:rsidR="00CF0239">
        <w:t>160 wind turbines, the marginal climate damage caused by oil sands compared to conventional oil is offset. This amount of electricity generation is equivalent to that of Alberta’s 2012 electricity cons</w:t>
      </w:r>
      <w:r>
        <w:t xml:space="preserve">umption.  If 70,000 turbines (approximately </w:t>
      </w:r>
      <w:r w:rsidR="00CF0239">
        <w:t>one per square kilometer</w:t>
      </w:r>
      <w:r>
        <w:t>)</w:t>
      </w:r>
      <w:r w:rsidR="00CF0239">
        <w:t xml:space="preserve"> </w:t>
      </w:r>
      <w:r w:rsidR="00CF0239">
        <w:lastRenderedPageBreak/>
        <w:t xml:space="preserve">were installed, the total carbon emissions of production and consumption of the oil sands could be </w:t>
      </w:r>
      <w:r w:rsidR="00CF0239" w:rsidRPr="006371C9">
        <w:t>offset</w:t>
      </w:r>
      <w:r w:rsidRPr="006371C9">
        <w:t xml:space="preserve"> in T years</w:t>
      </w:r>
      <w:r w:rsidR="00CF0239" w:rsidRPr="006371C9">
        <w:t>, as</w:t>
      </w:r>
      <w:r w:rsidRPr="006371C9">
        <w:t xml:space="preserve"> shown</w:t>
      </w:r>
      <w:r w:rsidR="00CF0239" w:rsidRPr="006371C9">
        <w:t xml:space="preserve"> in Table X</w:t>
      </w:r>
      <w:r w:rsidR="00CF0239">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4D20FC"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4D20FC" w:rsidRPr="00A25940" w:rsidRDefault="004D20FC" w:rsidP="004D20FC">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w:t>
            </w:r>
            <w:r w:rsidR="009465D6" w:rsidRPr="006371C9">
              <w:rPr>
                <w:rFonts w:ascii="Arial" w:hAnsi="Arial" w:cs="Arial"/>
                <w:color w:val="000000"/>
                <w:sz w:val="19"/>
                <w:szCs w:val="19"/>
                <w:shd w:val="clear" w:color="auto" w:fill="FFFFFF"/>
              </w:rPr>
              <w:t xml:space="preserve"> (MT)</w:t>
            </w:r>
          </w:p>
        </w:tc>
        <w:tc>
          <w:tcPr>
            <w:tcW w:w="860"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75442" w:rsidRPr="006371C9" w:rsidRDefault="002D0346" w:rsidP="00875442">
      <w:pPr>
        <w:autoSpaceDE w:val="0"/>
        <w:autoSpaceDN w:val="0"/>
        <w:adjustRightInd w:val="0"/>
        <w:spacing w:after="0" w:line="240" w:lineRule="auto"/>
        <w:jc w:val="center"/>
        <w:rPr>
          <w:rFonts w:ascii="Calibri" w:hAnsi="Calibri" w:cs="Arial"/>
        </w:rPr>
      </w:pPr>
      <w:r w:rsidRPr="006371C9">
        <w:rPr>
          <w:rFonts w:ascii="Calibri" w:hAnsi="Calibri" w:cs="Arial"/>
          <w:b/>
        </w:rPr>
        <w:t>Table X</w:t>
      </w:r>
      <w:r w:rsidR="006371C9" w:rsidRPr="006371C9">
        <w:rPr>
          <w:rFonts w:ascii="Calibri" w:hAnsi="Calibri" w:cs="Arial"/>
          <w:b/>
        </w:rPr>
        <w:t>.</w:t>
      </w:r>
    </w:p>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w:t>
      </w:r>
      <w:r w:rsidR="002D0346">
        <w:t>/</w:t>
      </w:r>
      <w:proofErr w:type="spellStart"/>
      <w:r w:rsidR="002D0346">
        <w:t>bbl</w:t>
      </w:r>
      <w:proofErr w:type="spellEnd"/>
      <w:r>
        <w:t xml:space="preserve">, </w:t>
      </w:r>
      <w:r w:rsidR="002D0346">
        <w:t>$7/</w:t>
      </w:r>
      <w:proofErr w:type="spellStart"/>
      <w:r w:rsidR="002D0346">
        <w:t>bbl</w:t>
      </w:r>
      <w:proofErr w:type="spellEnd"/>
      <w:r>
        <w:t>, and $15/</w:t>
      </w:r>
      <w:proofErr w:type="spellStart"/>
      <w:r>
        <w:t>bbl</w:t>
      </w:r>
      <w:proofErr w:type="spellEnd"/>
      <w:r>
        <w:t>, and reinvestment requirements of $0</w:t>
      </w:r>
      <w:r w:rsidR="00385C40">
        <w:t>/kWh</w:t>
      </w:r>
      <w:r>
        <w:t>, $0.03</w:t>
      </w:r>
      <w:r w:rsidR="00385C40">
        <w:t>/kWh</w:t>
      </w:r>
      <w:r>
        <w:t xml:space="preserve">, and $0.06/kWh. </w:t>
      </w:r>
      <w:r w:rsidR="00385C40">
        <w:t xml:space="preserve">The investment of </w:t>
      </w:r>
      <w:r>
        <w:t>$2/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875442" w:rsidRPr="006371C9" w:rsidRDefault="00374F96" w:rsidP="00875442">
      <w:pPr>
        <w:pStyle w:val="ListParagraph"/>
        <w:numPr>
          <w:ilvl w:val="0"/>
          <w:numId w:val="5"/>
        </w:numPr>
      </w:pPr>
      <w:r w:rsidRPr="006371C9">
        <w:t xml:space="preserve">TODO: </w:t>
      </w:r>
      <w:r w:rsidR="00875442" w:rsidRPr="006371C9">
        <w:t xml:space="preserve">Mention that testing a wide range of parameters within an excel spreadsheet, we find the set of </w:t>
      </w:r>
      <w:proofErr w:type="spellStart"/>
      <w:r w:rsidR="00875442" w:rsidRPr="006371C9">
        <w:t>pareto</w:t>
      </w:r>
      <w:proofErr w:type="spellEnd"/>
      <w:r w:rsidR="00875442" w:rsidRPr="006371C9">
        <w:t>-optimal solutions</w:t>
      </w:r>
    </w:p>
    <w:p w:rsidR="00875442" w:rsidRPr="006371C9" w:rsidRDefault="00374F96" w:rsidP="00875442">
      <w:pPr>
        <w:pStyle w:val="ListParagraph"/>
        <w:numPr>
          <w:ilvl w:val="0"/>
          <w:numId w:val="5"/>
        </w:numPr>
      </w:pPr>
      <w:r w:rsidRPr="006371C9">
        <w:t xml:space="preserve">TODO: </w:t>
      </w:r>
      <w:r w:rsidR="00A25940" w:rsidRPr="006371C9">
        <w:t>‘</w:t>
      </w:r>
      <w:r w:rsidR="00875442" w:rsidRPr="006371C9">
        <w:t>Magic numbers</w:t>
      </w:r>
      <w:r w:rsidR="00A25940" w:rsidRPr="006371C9">
        <w:t>’</w:t>
      </w:r>
      <w:r w:rsidR="00875442" w:rsidRPr="006371C9">
        <w:t xml:space="preserve"> based on our carbon values for the investment and for reinvestment policy</w:t>
      </w:r>
    </w:p>
    <w:p w:rsidR="00875442"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875442" w:rsidRPr="006371C9" w:rsidRDefault="00374F96" w:rsidP="00875442">
      <w:pPr>
        <w:pStyle w:val="ListParagraph"/>
        <w:numPr>
          <w:ilvl w:val="0"/>
          <w:numId w:val="4"/>
        </w:numPr>
      </w:pPr>
      <w:r w:rsidRPr="006371C9">
        <w:t xml:space="preserve">TODO: </w:t>
      </w:r>
      <w:r w:rsidR="00875442" w:rsidRPr="006371C9">
        <w:t>Transmission lines and electricity co-generation</w:t>
      </w:r>
    </w:p>
    <w:p w:rsidR="007342A4" w:rsidRPr="006371C9" w:rsidRDefault="00374F96" w:rsidP="0003578E">
      <w:pPr>
        <w:pStyle w:val="ListParagraph"/>
        <w:numPr>
          <w:ilvl w:val="0"/>
          <w:numId w:val="4"/>
        </w:numPr>
      </w:pPr>
      <w:r w:rsidRPr="006371C9">
        <w:t xml:space="preserve">TODO: </w:t>
      </w:r>
      <w:r w:rsidR="00875442" w:rsidRPr="006371C9">
        <w:t>Different applications with the excess power generation</w:t>
      </w:r>
    </w:p>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6086475"/>
                    </a:xfrm>
                    <a:prstGeom prst="rect">
                      <a:avLst/>
                    </a:prstGeom>
                  </pic:spPr>
                </pic:pic>
              </a:graphicData>
            </a:graphic>
          </wp:inline>
        </w:drawing>
      </w:r>
    </w:p>
    <w:p w:rsidR="003F3FF6" w:rsidRPr="003F3FF6" w:rsidRDefault="00A1733F" w:rsidP="00A1733F">
      <w:pPr>
        <w:jc w:val="center"/>
        <w:rPr>
          <w:b/>
        </w:rPr>
      </w:pPr>
      <w:r w:rsidRPr="006371C9">
        <w:rPr>
          <w:b/>
        </w:rPr>
        <w:t>Figure Y.</w:t>
      </w:r>
    </w:p>
    <w:p w:rsidR="003F3FF6" w:rsidRPr="00E21FD3" w:rsidRDefault="006371C9">
      <w:pPr>
        <w:rPr>
          <w:b/>
        </w:rPr>
      </w:pPr>
      <w:r>
        <w:rPr>
          <w:b/>
        </w:rPr>
        <w:t xml:space="preserve">FIXME: </w:t>
      </w:r>
      <w:r w:rsidR="003F3FF6" w:rsidRPr="00E21FD3">
        <w:rPr>
          <w:b/>
        </w:rPr>
        <w:t>4- Conclusion</w:t>
      </w:r>
    </w:p>
    <w:p w:rsidR="008F2667" w:rsidRPr="006371C9" w:rsidRDefault="00E21FD3" w:rsidP="00E21FD3">
      <w:pPr>
        <w:autoSpaceDE w:val="0"/>
        <w:autoSpaceDN w:val="0"/>
        <w:adjustRightInd w:val="0"/>
        <w:spacing w:after="0" w:line="240" w:lineRule="auto"/>
        <w:ind w:firstLine="720"/>
        <w:rPr>
          <w:rFonts w:eastAsia="Times New Roman" w:cs="Arial"/>
          <w:color w:val="000000"/>
          <w:lang w:eastAsia="en-CA"/>
        </w:rPr>
      </w:pPr>
      <w:r w:rsidRPr="006371C9">
        <w:rPr>
          <w:rFonts w:cs="Arial"/>
        </w:rPr>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E21FD3" w:rsidRPr="00E21FD3" w:rsidRDefault="008F2667" w:rsidP="00E21FD3">
      <w:pPr>
        <w:autoSpaceDE w:val="0"/>
        <w:autoSpaceDN w:val="0"/>
        <w:adjustRightInd w:val="0"/>
        <w:spacing w:after="0" w:line="240" w:lineRule="auto"/>
        <w:ind w:firstLine="720"/>
        <w:rPr>
          <w:rFonts w:cs="Arial"/>
        </w:rPr>
      </w:pPr>
      <w:r w:rsidRPr="006371C9">
        <w:rPr>
          <w:rFonts w:cs="Arial"/>
        </w:rPr>
        <w:t>We</w:t>
      </w:r>
      <w:r w:rsidR="00E21FD3" w:rsidRPr="006371C9">
        <w:rPr>
          <w:rFonts w:cs="Arial"/>
        </w:rPr>
        <w:t xml:space="preserve"> propose to install a small number of wind turbines on reclaimed oil sands land in order to better investigate the hypothesis presented here to ascertain true costs, risks, and benefits.</w:t>
      </w:r>
    </w:p>
    <w:p w:rsidR="003F3FF6" w:rsidRDefault="003F3FF6">
      <w:pPr>
        <w:rPr>
          <w:b/>
        </w:rPr>
      </w:pPr>
    </w:p>
    <w:p w:rsidR="00374F96" w:rsidRDefault="00374F96">
      <w:pPr>
        <w:rPr>
          <w:b/>
        </w:rPr>
      </w:pPr>
    </w:p>
    <w:p w:rsidR="00374F96" w:rsidRDefault="00374F96">
      <w:pPr>
        <w:rPr>
          <w:b/>
        </w:rPr>
      </w:pPr>
    </w:p>
    <w:p w:rsidR="00A1733F" w:rsidRPr="00374F96" w:rsidRDefault="00C94B7F">
      <w:pPr>
        <w:rPr>
          <w:b/>
          <w:highlight w:val="yellow"/>
        </w:rPr>
      </w:pPr>
      <w:r w:rsidRPr="00374F96">
        <w:rPr>
          <w:b/>
          <w:highlight w:val="yellow"/>
        </w:rPr>
        <w:lastRenderedPageBreak/>
        <w:t>References</w:t>
      </w:r>
    </w:p>
    <w:p w:rsidR="00C94B7F" w:rsidRPr="00374F96" w:rsidRDefault="00B14F5B" w:rsidP="00FF1CF9">
      <w:pPr>
        <w:pStyle w:val="ListParagraph"/>
        <w:numPr>
          <w:ilvl w:val="0"/>
          <w:numId w:val="13"/>
        </w:numPr>
        <w:rPr>
          <w:highlight w:val="yellow"/>
        </w:rPr>
      </w:pPr>
      <w:proofErr w:type="spellStart"/>
      <w:r w:rsidRPr="00374F96">
        <w:rPr>
          <w:highlight w:val="yellow"/>
        </w:rPr>
        <w:t>Lattanzio</w:t>
      </w:r>
      <w:proofErr w:type="spellEnd"/>
      <w:r w:rsidRPr="00374F96">
        <w:rPr>
          <w:highlight w:val="yellow"/>
        </w:rPr>
        <w:t xml:space="preserve">, R. (2012). </w:t>
      </w:r>
      <w:r w:rsidR="00C94B7F" w:rsidRPr="00374F96">
        <w:rPr>
          <w:highlight w:val="yellow"/>
        </w:rPr>
        <w:t>Canadian Oil Sands: Life-Cycle assessments of Green House Emissions</w:t>
      </w:r>
      <w:r w:rsidR="005D419A">
        <w:rPr>
          <w:highlight w:val="yellow"/>
        </w:rPr>
        <w:t>. Congressional Research Service</w:t>
      </w:r>
    </w:p>
    <w:p w:rsidR="00FF1CF9" w:rsidRPr="00374F96" w:rsidRDefault="00FF1CF9" w:rsidP="00FF1CF9">
      <w:pPr>
        <w:pStyle w:val="ListParagraph"/>
        <w:numPr>
          <w:ilvl w:val="0"/>
          <w:numId w:val="13"/>
        </w:numPr>
        <w:rPr>
          <w:highlight w:val="yellow"/>
        </w:rPr>
      </w:pPr>
      <w:r w:rsidRPr="00374F96">
        <w:rPr>
          <w:highlight w:val="yellow"/>
        </w:rPr>
        <w:t>Raadal et al. (2014). GHG emissions and energy performance of offshore wind power. Renewable Energy 66 314-324</w:t>
      </w:r>
    </w:p>
    <w:p w:rsidR="00374F96" w:rsidRDefault="00374F96" w:rsidP="00374F96">
      <w:pPr>
        <w:pStyle w:val="ListParagraph"/>
        <w:numPr>
          <w:ilvl w:val="0"/>
          <w:numId w:val="13"/>
        </w:numPr>
        <w:rPr>
          <w:highlight w:val="yellow"/>
        </w:rPr>
      </w:pPr>
      <w:proofErr w:type="spellStart"/>
      <w:r w:rsidRPr="00374F96">
        <w:rPr>
          <w:highlight w:val="yellow"/>
        </w:rPr>
        <w:t>Mallia</w:t>
      </w:r>
      <w:proofErr w:type="gramStart"/>
      <w:r w:rsidRPr="00374F96">
        <w:rPr>
          <w:highlight w:val="yellow"/>
        </w:rPr>
        <w:t>,E</w:t>
      </w:r>
      <w:proofErr w:type="spellEnd"/>
      <w:proofErr w:type="gramEnd"/>
      <w:r w:rsidRPr="00374F96">
        <w:rPr>
          <w:highlight w:val="yellow"/>
        </w:rPr>
        <w:t xml:space="preserve">, Lewis, G (2012). Life cycle greenhouse gas emissions of electricity generation in </w:t>
      </w:r>
      <w:r w:rsidR="00E81D33">
        <w:rPr>
          <w:highlight w:val="yellow"/>
        </w:rPr>
        <w:t>the province of Ontario, Canada</w:t>
      </w:r>
    </w:p>
    <w:p w:rsidR="00FA3D71" w:rsidRDefault="00FA3D71" w:rsidP="00FA3D71">
      <w:pPr>
        <w:pStyle w:val="ListParagraph"/>
        <w:numPr>
          <w:ilvl w:val="0"/>
          <w:numId w:val="13"/>
        </w:numPr>
        <w:rPr>
          <w:highlight w:val="yellow"/>
        </w:rPr>
      </w:pPr>
      <w:r w:rsidRPr="00FA3D71">
        <w:t>http://oilsands.alberta.ca/resource.html</w:t>
      </w:r>
    </w:p>
    <w:p w:rsidR="00E81D33" w:rsidRPr="00374F96" w:rsidRDefault="00E81D33" w:rsidP="00374F96">
      <w:pPr>
        <w:pStyle w:val="ListParagraph"/>
        <w:numPr>
          <w:ilvl w:val="0"/>
          <w:numId w:val="13"/>
        </w:numPr>
        <w:rPr>
          <w:highlight w:val="yellow"/>
        </w:rPr>
      </w:pPr>
      <w:r>
        <w:t>Bari et al. (2014). A wintertime investigation of atmospheric deposition of metals and polycyclic aromatic hydrocarbons in the Athabasca Oil Sands Region, Canada. Science of the Total Environment 485: 180-192</w:t>
      </w:r>
    </w:p>
    <w:p w:rsidR="00FF1CF9" w:rsidRPr="00780AD4" w:rsidRDefault="00FF1CF9"/>
    <w:sectPr w:rsidR="00FF1CF9" w:rsidRPr="00780AD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7FC" w:rsidRDefault="008577FC" w:rsidP="00875442">
      <w:pPr>
        <w:spacing w:after="0" w:line="240" w:lineRule="auto"/>
      </w:pPr>
      <w:r>
        <w:separator/>
      </w:r>
    </w:p>
  </w:endnote>
  <w:endnote w:type="continuationSeparator" w:id="0">
    <w:p w:rsidR="008577FC" w:rsidRDefault="008577FC" w:rsidP="0087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7FC" w:rsidRDefault="008577FC" w:rsidP="00875442">
      <w:pPr>
        <w:spacing w:after="0" w:line="240" w:lineRule="auto"/>
      </w:pPr>
      <w:r>
        <w:separator/>
      </w:r>
    </w:p>
  </w:footnote>
  <w:footnote w:type="continuationSeparator" w:id="0">
    <w:p w:rsidR="008577FC" w:rsidRDefault="008577FC" w:rsidP="00875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EF0" w:rsidRPr="00875442" w:rsidRDefault="00350EF0" w:rsidP="00875442">
    <w:pPr>
      <w:pStyle w:val="Header"/>
      <w:jc w:val="center"/>
      <w:rPr>
        <w:lang w:val="en-CA"/>
      </w:rPr>
    </w:pPr>
    <w:r>
      <w:rPr>
        <w:lang w:val="en-CA"/>
      </w:rPr>
      <w:t xml:space="preserve">Draft </w:t>
    </w:r>
    <w:r>
      <w:rPr>
        <w:lang w:val="en-CA"/>
      </w:rPr>
      <w:t>V2</w:t>
    </w:r>
    <w:r w:rsidR="00384CDE">
      <w:rPr>
        <w:lang w:val="en-CA"/>
      </w:rPr>
      <w:t>8</w:t>
    </w:r>
    <w:bookmarkStart w:id="0" w:name="_GoBack"/>
    <w:bookmarkEnd w:id="0"/>
    <w:r>
      <w:rPr>
        <w:lang w:val="en-CA"/>
      </w:rPr>
      <w:t xml:space="preserve"> - 2015.09.</w:t>
    </w:r>
    <w:r w:rsidR="00384CDE">
      <w:rPr>
        <w:lang w:val="en-CA"/>
      </w:rPr>
      <w:t>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CDE" w:rsidRDefault="00384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B0622"/>
    <w:multiLevelType w:val="multilevel"/>
    <w:tmpl w:val="F2B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7242D"/>
    <w:multiLevelType w:val="hybridMultilevel"/>
    <w:tmpl w:val="01600B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3A11BD"/>
    <w:multiLevelType w:val="multilevel"/>
    <w:tmpl w:val="542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1392"/>
    <w:multiLevelType w:val="multilevel"/>
    <w:tmpl w:val="E8B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16D66"/>
    <w:multiLevelType w:val="multilevel"/>
    <w:tmpl w:val="678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FFF"/>
    <w:multiLevelType w:val="multilevel"/>
    <w:tmpl w:val="D0A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2"/>
  </w:num>
  <w:num w:numId="5">
    <w:abstractNumId w:val="6"/>
  </w:num>
  <w:num w:numId="6">
    <w:abstractNumId w:val="7"/>
  </w:num>
  <w:num w:numId="7">
    <w:abstractNumId w:val="12"/>
  </w:num>
  <w:num w:numId="8">
    <w:abstractNumId w:val="9"/>
  </w:num>
  <w:num w:numId="9">
    <w:abstractNumId w:val="1"/>
  </w:num>
  <w:num w:numId="10">
    <w:abstractNumId w:val="10"/>
  </w:num>
  <w:num w:numId="11">
    <w:abstractNumId w:val="8"/>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03578E"/>
    <w:rsid w:val="00144EA6"/>
    <w:rsid w:val="001C50EA"/>
    <w:rsid w:val="00223E94"/>
    <w:rsid w:val="002B467B"/>
    <w:rsid w:val="002D0346"/>
    <w:rsid w:val="002E7F40"/>
    <w:rsid w:val="00350EF0"/>
    <w:rsid w:val="00374F96"/>
    <w:rsid w:val="00384CDE"/>
    <w:rsid w:val="00385C40"/>
    <w:rsid w:val="003F3FF6"/>
    <w:rsid w:val="00413055"/>
    <w:rsid w:val="004D20FC"/>
    <w:rsid w:val="00524F69"/>
    <w:rsid w:val="005D419A"/>
    <w:rsid w:val="00613FEC"/>
    <w:rsid w:val="006371C9"/>
    <w:rsid w:val="006C62B1"/>
    <w:rsid w:val="006F7609"/>
    <w:rsid w:val="00716BDF"/>
    <w:rsid w:val="007342A4"/>
    <w:rsid w:val="007665D9"/>
    <w:rsid w:val="00780AD4"/>
    <w:rsid w:val="008045A5"/>
    <w:rsid w:val="008341CE"/>
    <w:rsid w:val="00842A11"/>
    <w:rsid w:val="008577FC"/>
    <w:rsid w:val="00864F1A"/>
    <w:rsid w:val="00875442"/>
    <w:rsid w:val="008F2667"/>
    <w:rsid w:val="009465C3"/>
    <w:rsid w:val="009465D6"/>
    <w:rsid w:val="00964545"/>
    <w:rsid w:val="00A1733F"/>
    <w:rsid w:val="00A200C3"/>
    <w:rsid w:val="00A25940"/>
    <w:rsid w:val="00A45E0C"/>
    <w:rsid w:val="00A664F8"/>
    <w:rsid w:val="00A67350"/>
    <w:rsid w:val="00AD75D5"/>
    <w:rsid w:val="00B14F5B"/>
    <w:rsid w:val="00B22E7F"/>
    <w:rsid w:val="00BE489A"/>
    <w:rsid w:val="00C702CE"/>
    <w:rsid w:val="00C94B7F"/>
    <w:rsid w:val="00CE41B6"/>
    <w:rsid w:val="00CF0239"/>
    <w:rsid w:val="00D5167D"/>
    <w:rsid w:val="00D6370C"/>
    <w:rsid w:val="00DC374A"/>
    <w:rsid w:val="00DC507C"/>
    <w:rsid w:val="00DD08FF"/>
    <w:rsid w:val="00E21FD3"/>
    <w:rsid w:val="00E81D33"/>
    <w:rsid w:val="00EB5C2A"/>
    <w:rsid w:val="00ED42B5"/>
    <w:rsid w:val="00EF2A77"/>
    <w:rsid w:val="00F27764"/>
    <w:rsid w:val="00F94FB5"/>
    <w:rsid w:val="00FA3D71"/>
    <w:rsid w:val="00FF1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2"/>
  </w:style>
  <w:style w:type="paragraph" w:styleId="Footer">
    <w:name w:val="footer"/>
    <w:basedOn w:val="Normal"/>
    <w:link w:val="FooterChar"/>
    <w:uiPriority w:val="99"/>
    <w:unhideWhenUsed/>
    <w:rsid w:val="0087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2"/>
  </w:style>
  <w:style w:type="character" w:styleId="PlaceholderText">
    <w:name w:val="Placeholder Text"/>
    <w:basedOn w:val="DefaultParagraphFont"/>
    <w:uiPriority w:val="99"/>
    <w:semiHidden/>
    <w:rsid w:val="00C70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241">
      <w:bodyDiv w:val="1"/>
      <w:marLeft w:val="0"/>
      <w:marRight w:val="0"/>
      <w:marTop w:val="0"/>
      <w:marBottom w:val="0"/>
      <w:divBdr>
        <w:top w:val="none" w:sz="0" w:space="0" w:color="auto"/>
        <w:left w:val="none" w:sz="0" w:space="0" w:color="auto"/>
        <w:bottom w:val="none" w:sz="0" w:space="0" w:color="auto"/>
        <w:right w:val="none" w:sz="0" w:space="0" w:color="auto"/>
      </w:divBdr>
    </w:div>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673383438">
      <w:bodyDiv w:val="1"/>
      <w:marLeft w:val="0"/>
      <w:marRight w:val="0"/>
      <w:marTop w:val="0"/>
      <w:marBottom w:val="0"/>
      <w:divBdr>
        <w:top w:val="none" w:sz="0" w:space="0" w:color="auto"/>
        <w:left w:val="none" w:sz="0" w:space="0" w:color="auto"/>
        <w:bottom w:val="none" w:sz="0" w:space="0" w:color="auto"/>
        <w:right w:val="none" w:sz="0" w:space="0" w:color="auto"/>
      </w:divBdr>
    </w:div>
    <w:div w:id="91320551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 w:id="1771008699">
      <w:bodyDiv w:val="1"/>
      <w:marLeft w:val="0"/>
      <w:marRight w:val="0"/>
      <w:marTop w:val="0"/>
      <w:marBottom w:val="0"/>
      <w:divBdr>
        <w:top w:val="none" w:sz="0" w:space="0" w:color="auto"/>
        <w:left w:val="none" w:sz="0" w:space="0" w:color="auto"/>
        <w:bottom w:val="none" w:sz="0" w:space="0" w:color="auto"/>
        <w:right w:val="none" w:sz="0" w:space="0" w:color="auto"/>
      </w:divBdr>
    </w:div>
    <w:div w:id="17828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3</cp:revision>
  <dcterms:created xsi:type="dcterms:W3CDTF">2015-09-21T12:55:00Z</dcterms:created>
  <dcterms:modified xsi:type="dcterms:W3CDTF">2015-09-21T12:56:00Z</dcterms:modified>
</cp:coreProperties>
</file>