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5C4" w:rsidRPr="003B12EE" w:rsidRDefault="00CF75C4" w:rsidP="00CF75C4">
      <w:pPr>
        <w:autoSpaceDE w:val="0"/>
        <w:autoSpaceDN w:val="0"/>
        <w:adjustRightInd w:val="0"/>
        <w:spacing w:after="0" w:line="240" w:lineRule="auto"/>
        <w:jc w:val="center"/>
        <w:rPr>
          <w:rFonts w:ascii="Arial" w:hAnsi="Arial" w:cs="Arial"/>
          <w:sz w:val="36"/>
          <w:szCs w:val="41"/>
        </w:rPr>
      </w:pPr>
      <w:r w:rsidRPr="003B12EE">
        <w:rPr>
          <w:rFonts w:ascii="Arial" w:hAnsi="Arial" w:cs="Arial"/>
          <w:sz w:val="36"/>
          <w:szCs w:val="41"/>
        </w:rPr>
        <w:t xml:space="preserve">An assessment </w:t>
      </w:r>
      <w:r w:rsidR="00EE72AC" w:rsidRPr="003B12EE">
        <w:rPr>
          <w:rFonts w:ascii="Arial" w:hAnsi="Arial" w:cs="Arial"/>
          <w:sz w:val="36"/>
          <w:szCs w:val="41"/>
        </w:rPr>
        <w:t xml:space="preserve">of the potential </w:t>
      </w:r>
      <w:r w:rsidR="00ED4CCE">
        <w:rPr>
          <w:rFonts w:ascii="Arial" w:hAnsi="Arial" w:cs="Arial"/>
          <w:sz w:val="36"/>
          <w:szCs w:val="41"/>
        </w:rPr>
        <w:t>of mitigating oil-</w:t>
      </w:r>
      <w:r w:rsidRPr="003B12EE">
        <w:rPr>
          <w:rFonts w:ascii="Arial" w:hAnsi="Arial" w:cs="Arial"/>
          <w:sz w:val="36"/>
          <w:szCs w:val="41"/>
        </w:rPr>
        <w:t>sands emissions by co-locating massive amounts of wind power</w:t>
      </w:r>
    </w:p>
    <w:p w:rsidR="00ED4CCE" w:rsidRDefault="00ED4CCE" w:rsidP="00CF75C4">
      <w:pPr>
        <w:autoSpaceDE w:val="0"/>
        <w:autoSpaceDN w:val="0"/>
        <w:adjustRightInd w:val="0"/>
        <w:spacing w:after="0" w:line="240" w:lineRule="auto"/>
        <w:jc w:val="center"/>
        <w:rPr>
          <w:rFonts w:ascii="Arial" w:hAnsi="Arial" w:cs="Arial"/>
          <w:sz w:val="24"/>
          <w:szCs w:val="24"/>
        </w:rPr>
      </w:pPr>
      <w:bookmarkStart w:id="0" w:name="_GoBack"/>
      <w:bookmarkEnd w:id="0"/>
    </w:p>
    <w:p w:rsidR="00CF75C4" w:rsidRDefault="00CF75C4" w:rsidP="00CF75C4">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w:t>
      </w:r>
      <w:r w:rsidR="0019280D">
        <w:rPr>
          <w:rFonts w:ascii="Arial" w:hAnsi="Arial" w:cs="Arial"/>
          <w:sz w:val="24"/>
          <w:szCs w:val="24"/>
        </w:rPr>
        <w:t xml:space="preserve">Donald </w:t>
      </w:r>
      <w:r>
        <w:rPr>
          <w:rFonts w:ascii="Arial" w:hAnsi="Arial" w:cs="Arial"/>
          <w:sz w:val="24"/>
          <w:szCs w:val="24"/>
        </w:rPr>
        <w:t xml:space="preserve">James </w:t>
      </w:r>
      <w:r w:rsidRPr="005938F2">
        <w:rPr>
          <w:rFonts w:ascii="Arial" w:hAnsi="Arial" w:cs="Arial"/>
          <w:sz w:val="24"/>
          <w:szCs w:val="24"/>
        </w:rPr>
        <w:t xml:space="preserve">Taylor </w:t>
      </w:r>
      <w:r>
        <w:rPr>
          <w:rFonts w:ascii="Arial" w:hAnsi="Arial" w:cs="Arial"/>
          <w:sz w:val="24"/>
          <w:szCs w:val="24"/>
        </w:rPr>
        <w:t>(</w:t>
      </w:r>
      <w:r w:rsidRPr="00425288">
        <w:rPr>
          <w:rFonts w:ascii="Arial" w:hAnsi="Arial" w:cs="Arial"/>
          <w:sz w:val="24"/>
          <w:szCs w:val="24"/>
          <w:u w:val="single"/>
        </w:rPr>
        <w:t>dtaylor@mit.edu</w:t>
      </w:r>
      <w:r>
        <w:rPr>
          <w:rFonts w:ascii="Arial" w:hAnsi="Arial" w:cs="Arial"/>
          <w:sz w:val="24"/>
          <w:szCs w:val="24"/>
        </w:rPr>
        <w:t>)</w:t>
      </w:r>
    </w:p>
    <w:p w:rsidR="00CF75C4" w:rsidRDefault="00CF75C4" w:rsidP="00CF75C4">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CF75C4" w:rsidRDefault="00CF75C4" w:rsidP="00CF75C4">
      <w:pPr>
        <w:autoSpaceDE w:val="0"/>
        <w:autoSpaceDN w:val="0"/>
        <w:adjustRightInd w:val="0"/>
        <w:spacing w:after="0" w:line="240" w:lineRule="auto"/>
        <w:rPr>
          <w:rFonts w:ascii="Arial" w:hAnsi="Arial" w:cs="Arial"/>
          <w:sz w:val="24"/>
          <w:szCs w:val="24"/>
        </w:rPr>
      </w:pPr>
    </w:p>
    <w:p w:rsidR="00CF75C4" w:rsidRPr="00274032" w:rsidRDefault="00CF75C4" w:rsidP="00CF75C4">
      <w:pPr>
        <w:autoSpaceDE w:val="0"/>
        <w:autoSpaceDN w:val="0"/>
        <w:adjustRightInd w:val="0"/>
        <w:spacing w:after="0" w:line="240" w:lineRule="auto"/>
        <w:jc w:val="center"/>
        <w:rPr>
          <w:rFonts w:ascii="Arial" w:hAnsi="Arial" w:cs="Arial"/>
          <w:sz w:val="24"/>
          <w:szCs w:val="24"/>
          <w:lang w:val="es-AR"/>
        </w:rPr>
      </w:pPr>
      <w:r w:rsidRPr="00274032">
        <w:rPr>
          <w:rFonts w:ascii="Arial" w:hAnsi="Arial" w:cs="Arial"/>
          <w:sz w:val="24"/>
          <w:szCs w:val="24"/>
          <w:lang w:val="es-AR"/>
        </w:rPr>
        <w:t>Santiago Paiva (</w:t>
      </w:r>
      <w:r w:rsidRPr="00274032">
        <w:rPr>
          <w:rFonts w:ascii="Arial" w:hAnsi="Arial" w:cs="Arial"/>
          <w:sz w:val="24"/>
          <w:szCs w:val="24"/>
          <w:u w:val="single"/>
          <w:lang w:val="es-AR"/>
        </w:rPr>
        <w:t>santiago.paiva@</w:t>
      </w:r>
      <w:r w:rsidR="006850C1">
        <w:rPr>
          <w:rFonts w:ascii="Arial" w:hAnsi="Arial" w:cs="Arial"/>
          <w:sz w:val="24"/>
          <w:szCs w:val="24"/>
          <w:u w:val="single"/>
          <w:lang w:val="es-AR"/>
        </w:rPr>
        <w:t>mail.</w:t>
      </w:r>
      <w:r w:rsidRPr="00274032">
        <w:rPr>
          <w:rFonts w:ascii="Arial" w:hAnsi="Arial" w:cs="Arial"/>
          <w:sz w:val="24"/>
          <w:szCs w:val="24"/>
          <w:u w:val="single"/>
          <w:lang w:val="es-AR"/>
        </w:rPr>
        <w:t>mcgill.ca</w:t>
      </w:r>
      <w:r w:rsidRPr="00274032">
        <w:rPr>
          <w:rFonts w:ascii="Arial" w:hAnsi="Arial" w:cs="Arial"/>
          <w:sz w:val="24"/>
          <w:szCs w:val="24"/>
          <w:lang w:val="es-AR"/>
        </w:rPr>
        <w:t>)</w:t>
      </w:r>
    </w:p>
    <w:p w:rsidR="00CF75C4" w:rsidRDefault="00CF75C4" w:rsidP="00CF75C4">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rsidR="00CF75C4" w:rsidRDefault="00CF75C4" w:rsidP="00CF75C4">
      <w:pPr>
        <w:autoSpaceDE w:val="0"/>
        <w:autoSpaceDN w:val="0"/>
        <w:adjustRightInd w:val="0"/>
        <w:spacing w:after="0" w:line="240" w:lineRule="auto"/>
        <w:jc w:val="center"/>
        <w:rPr>
          <w:rFonts w:ascii="Arial" w:hAnsi="Arial" w:cs="Arial"/>
          <w:sz w:val="24"/>
          <w:szCs w:val="24"/>
        </w:rPr>
      </w:pPr>
    </w:p>
    <w:p w:rsidR="00CF75C4" w:rsidRDefault="00CF75C4" w:rsidP="00CF75C4">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Prof. Alexander H. Slocum (</w:t>
      </w:r>
      <w:r w:rsidRPr="00425288">
        <w:rPr>
          <w:rFonts w:ascii="Arial" w:hAnsi="Arial" w:cs="Arial"/>
          <w:sz w:val="24"/>
          <w:szCs w:val="24"/>
          <w:u w:val="single"/>
        </w:rPr>
        <w:t>slocum@mit.edu</w:t>
      </w:r>
      <w:r>
        <w:rPr>
          <w:rFonts w:ascii="Arial" w:hAnsi="Arial" w:cs="Arial"/>
          <w:sz w:val="24"/>
          <w:szCs w:val="24"/>
        </w:rPr>
        <w:t>)</w:t>
      </w:r>
    </w:p>
    <w:p w:rsidR="00CF75C4" w:rsidRDefault="00CF75C4" w:rsidP="00CF75C4">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ED4CCE" w:rsidRDefault="00ED4CCE" w:rsidP="00DE6D75">
      <w:pPr>
        <w:autoSpaceDE w:val="0"/>
        <w:autoSpaceDN w:val="0"/>
        <w:adjustRightInd w:val="0"/>
        <w:spacing w:after="0" w:line="240" w:lineRule="auto"/>
        <w:rPr>
          <w:rFonts w:ascii="Arial" w:hAnsi="Arial" w:cs="Arial"/>
          <w:b/>
          <w:sz w:val="24"/>
          <w:szCs w:val="24"/>
        </w:rPr>
      </w:pPr>
    </w:p>
    <w:p w:rsidR="00CF75C4" w:rsidRPr="001773CC" w:rsidRDefault="00CF75C4" w:rsidP="00CF75C4">
      <w:pPr>
        <w:autoSpaceDE w:val="0"/>
        <w:autoSpaceDN w:val="0"/>
        <w:adjustRightInd w:val="0"/>
        <w:spacing w:after="0" w:line="240" w:lineRule="auto"/>
        <w:jc w:val="center"/>
        <w:rPr>
          <w:rFonts w:ascii="Arial" w:hAnsi="Arial" w:cs="Arial"/>
          <w:b/>
          <w:sz w:val="24"/>
          <w:szCs w:val="24"/>
        </w:rPr>
      </w:pPr>
      <w:r w:rsidRPr="001773CC">
        <w:rPr>
          <w:rFonts w:ascii="Arial" w:hAnsi="Arial" w:cs="Arial"/>
          <w:b/>
          <w:sz w:val="24"/>
          <w:szCs w:val="24"/>
        </w:rPr>
        <w:t>Abstract</w:t>
      </w:r>
    </w:p>
    <w:p w:rsidR="00CF75C4" w:rsidRDefault="00DC23B3">
      <w:pPr>
        <w:rPr>
          <w:b/>
        </w:rPr>
      </w:pPr>
      <w:r>
        <w:t>This paper</w:t>
      </w:r>
      <w:r w:rsidR="00CF75C4">
        <w:t xml:space="preserve"> </w:t>
      </w:r>
      <w:r>
        <w:t xml:space="preserve">used a reconfigurable model to assess the efficacy of </w:t>
      </w:r>
      <w:r w:rsidR="009F64A7">
        <w:t>installing</w:t>
      </w:r>
      <w:r>
        <w:t xml:space="preserve"> up to 35,000 5MW wind turbines to mitigate the greenhouse gas emissions of the</w:t>
      </w:r>
      <w:r w:rsidR="00CF75C4">
        <w:t xml:space="preserve"> Canadian Oil Sands. </w:t>
      </w:r>
      <w:r>
        <w:t xml:space="preserve">The </w:t>
      </w:r>
      <w:r w:rsidR="004B2229">
        <w:t>evaluated</w:t>
      </w:r>
      <w:r>
        <w:t xml:space="preserve"> scheme</w:t>
      </w:r>
      <w:r w:rsidR="009F64A7">
        <w:t xml:space="preserve"> </w:t>
      </w:r>
      <w:r w:rsidR="004B2229">
        <w:t>proposed to</w:t>
      </w:r>
      <w:r>
        <w:t xml:space="preserve"> co</w:t>
      </w:r>
      <w:r w:rsidR="009F64A7">
        <w:t>-locate</w:t>
      </w:r>
      <w:r>
        <w:t xml:space="preserve"> wind turbines with oi</w:t>
      </w:r>
      <w:r w:rsidR="009F64A7">
        <w:t xml:space="preserve">l sands </w:t>
      </w:r>
      <w:r>
        <w:t xml:space="preserve">extraction to avoid NIMBY problems and </w:t>
      </w:r>
      <w:r w:rsidR="004B2229">
        <w:t>proposed to</w:t>
      </w:r>
      <w:r w:rsidR="009F64A7">
        <w:t xml:space="preserve"> </w:t>
      </w:r>
      <w:r>
        <w:t>require oil companies to invest a fixed amount per barrel of</w:t>
      </w:r>
      <w:r w:rsidR="0019280D">
        <w:t xml:space="preserve"> refined</w:t>
      </w:r>
      <w:r>
        <w:t xml:space="preserve"> oil into building wind turbines (instead of a carbon tax). Scenarios where companies were additionally required to reinvest a fraction of the revenue from the electricity generation were </w:t>
      </w:r>
      <w:r w:rsidR="004B2229">
        <w:t xml:space="preserve">found to be </w:t>
      </w:r>
      <w:r>
        <w:t>more economic</w:t>
      </w:r>
      <w:r w:rsidR="004B2229">
        <w:t>ally</w:t>
      </w:r>
      <w:r>
        <w:t xml:space="preserve"> viable. </w:t>
      </w:r>
      <w:r w:rsidR="009F64A7">
        <w:t>Unfortunately, l</w:t>
      </w:r>
      <w:r>
        <w:t xml:space="preserve">ow annual wind speeds in the oil sands region led to </w:t>
      </w:r>
      <w:r w:rsidR="0019280D">
        <w:t xml:space="preserve">a </w:t>
      </w:r>
      <w:r>
        <w:t xml:space="preserve">very poor capacity factor (8.9%); the most expensive </w:t>
      </w:r>
      <w:r w:rsidR="009F64A7">
        <w:t xml:space="preserve">scenarios evaluated </w:t>
      </w:r>
      <w:r>
        <w:t xml:space="preserve">could only reduce 86% of incremental greenhouse gas emissions, and the </w:t>
      </w:r>
      <w:r w:rsidR="009F64A7">
        <w:t xml:space="preserve">cost </w:t>
      </w:r>
      <w:r w:rsidR="0019280D">
        <w:t>effectiveness of</w:t>
      </w:r>
      <w:r w:rsidR="009F64A7">
        <w:t xml:space="preserve"> this </w:t>
      </w:r>
      <w:r>
        <w:t>proposal was found to be $192/ ton of CO</w:t>
      </w:r>
      <w:r w:rsidRPr="00FE0F20">
        <w:rPr>
          <w:vertAlign w:val="subscript"/>
        </w:rPr>
        <w:t>2</w:t>
      </w:r>
      <w:r>
        <w:t>-eq.</w:t>
      </w:r>
      <w:r w:rsidR="0019280D">
        <w:t xml:space="preserve"> However, t</w:t>
      </w:r>
      <w:r w:rsidR="009F64A7">
        <w:t xml:space="preserve">he proposed scheme becomes </w:t>
      </w:r>
      <w:r w:rsidR="004B2229">
        <w:t>would have been more</w:t>
      </w:r>
      <w:r w:rsidR="009F64A7">
        <w:t xml:space="preserve"> economically viable </w:t>
      </w:r>
      <w:r w:rsidR="004B2229">
        <w:t>had the</w:t>
      </w:r>
      <w:r w:rsidR="009F64A7">
        <w:t xml:space="preserve"> c</w:t>
      </w:r>
      <w:r w:rsidR="00D372E6">
        <w:t xml:space="preserve">apacity factor </w:t>
      </w:r>
      <w:r w:rsidR="004B2229">
        <w:t xml:space="preserve">been at least 30%. Importantly, this </w:t>
      </w:r>
      <w:r w:rsidR="00D372E6">
        <w:t>work provides readers with a model that can be used to rapidly assess the feasibility of applying such a proposal to their region</w:t>
      </w:r>
      <w:r w:rsidR="004B2229">
        <w:t xml:space="preserve"> where the capacity factor could be higher</w:t>
      </w:r>
      <w:r w:rsidR="00D372E6">
        <w:t xml:space="preserve">. </w:t>
      </w:r>
      <w:r w:rsidR="0019280D">
        <w:t xml:space="preserve">Finally, independent of the assumed capacity factor, if the Canadian and US power grids were all supplied with 20% wind power, only 93% of the total emissions of the oil sands would be offset. </w:t>
      </w:r>
    </w:p>
    <w:p w:rsidR="003B12EE" w:rsidRDefault="003B12EE">
      <w:pPr>
        <w:rPr>
          <w:b/>
        </w:rPr>
      </w:pPr>
      <w:r>
        <w:rPr>
          <w:b/>
        </w:rPr>
        <w:br w:type="page"/>
      </w:r>
    </w:p>
    <w:p w:rsidR="003709F8" w:rsidRDefault="003709F8" w:rsidP="003B12EE">
      <w:pPr>
        <w:pStyle w:val="Heading1"/>
      </w:pPr>
      <w:r>
        <w:lastRenderedPageBreak/>
        <w:t>Introduction</w:t>
      </w:r>
    </w:p>
    <w:p w:rsidR="00795D5C" w:rsidRDefault="00795D5C">
      <w:r>
        <w:t>The success of the oil sands is very connected to the</w:t>
      </w:r>
      <w:r w:rsidR="0019280D">
        <w:t xml:space="preserve"> success of the</w:t>
      </w:r>
      <w:r>
        <w:t xml:space="preserve"> Albertan economy </w:t>
      </w:r>
      <w:r w:rsidRPr="007C7711">
        <w:rPr>
          <w:highlight w:val="yellow"/>
        </w:rPr>
        <w:t>[</w:t>
      </w:r>
      <w:r w:rsidR="007C7711" w:rsidRPr="007C7711">
        <w:rPr>
          <w:highlight w:val="yellow"/>
        </w:rPr>
        <w:t>Government of Alberta. Highlights of the Alberta Economy. Alberta Economic Development and Trade (2015), p.11, p.16</w:t>
      </w:r>
      <w:r w:rsidRPr="007C7711">
        <w:rPr>
          <w:highlight w:val="yellow"/>
        </w:rPr>
        <w:t>]</w:t>
      </w:r>
      <w:r>
        <w:t xml:space="preserve">. The recent denial of the Keystone Pipeline has sent a clear signal that the perceived environmental impact of the oil sands is preventing its growth. </w:t>
      </w:r>
      <w:r w:rsidR="004B2229">
        <w:t>Accordingly, there has been renewed interest in</w:t>
      </w:r>
      <w:r>
        <w:t xml:space="preserve"> increased carbon taxes </w:t>
      </w:r>
      <w:r>
        <w:fldChar w:fldCharType="begin"/>
      </w:r>
      <w:r>
        <w:instrText xml:space="preserve"> ADDIN ZOTERO_ITEM CSL_CITATION {"citationID":"2k7raf73hc","properties":{"formattedCitation":"[1]","plainCitation":"[1]"},"citationItems":[{"id":2057,"uris":["http://zotero.org/users/1200139/items/VIX8FEPJ"],"uri":["http://zotero.org/users/1200139/items/VIX8FEPJ"],"itemData":{"id":2057,"type":"article-newspaper","title":"Alberta to double carbon tax by 2017, strengthen emissions reduction targets","container-title":"The Globe and Mail","publisher-place":"Toronto, Canada","event-place":"Toronto, Canada","URL":"http://www.theglobeandmail.com/report-on-business/industry-news/energy-and-resources/alberta-to-double-carbon-tax-by-2017/article25109876/","author":[{"family":"Giovannetti","given":"Justin"}],"issued":{"date-parts":[["2015",6,25]]},"accessed":{"date-parts":[["2015",11,10]]}}}],"schema":"https://github.com/citation-style-language/schema/raw/master/csl-citation.json"} </w:instrText>
      </w:r>
      <w:r>
        <w:fldChar w:fldCharType="separate"/>
      </w:r>
      <w:r w:rsidRPr="00795D5C">
        <w:rPr>
          <w:rFonts w:ascii="Calibri" w:hAnsi="Calibri"/>
        </w:rPr>
        <w:t>[1]</w:t>
      </w:r>
      <w:r>
        <w:fldChar w:fldCharType="end"/>
      </w:r>
      <w:r w:rsidR="004B2229">
        <w:t xml:space="preserve">. However, </w:t>
      </w:r>
      <w:r>
        <w:t xml:space="preserve">most of these proposals do not specifically address how the money raised would actually be used to offset the environmental impact of the oil sands. Two potential </w:t>
      </w:r>
      <w:r w:rsidR="004B2229">
        <w:t>pit</w:t>
      </w:r>
      <w:r>
        <w:t xml:space="preserve">falls are associated with a carbon tax scheme: first, the money may end up diverted to important but non-environmental issues, and second, the government may not be able to spend the money to mitigate environmental impacts as efficiently as a private company. </w:t>
      </w:r>
    </w:p>
    <w:p w:rsidR="00795D5C" w:rsidRDefault="00795D5C">
      <w:r>
        <w:t xml:space="preserve">This paper explores an alternate environmental mitigation scheme where oil extraction companies are mandated to build, operate, and maintain </w:t>
      </w:r>
      <w:r w:rsidR="0019280D">
        <w:t>wind turbines</w:t>
      </w:r>
      <w:r>
        <w:t xml:space="preserve"> at their extractions sites. </w:t>
      </w:r>
      <w:r w:rsidR="0019280D">
        <w:t>For every barrel of oil sold, they would have to invest a fixed amount into wind turbine product</w:t>
      </w:r>
      <w:r w:rsidR="00A3786B">
        <w:t>ion</w:t>
      </w:r>
      <w:r w:rsidR="0019280D">
        <w:t>. Further</w:t>
      </w:r>
      <w:r w:rsidR="00A3786B">
        <w:t xml:space="preserve">, </w:t>
      </w:r>
      <w:r w:rsidR="0019280D">
        <w:t>oil companies</w:t>
      </w:r>
      <w:r w:rsidR="00A3786B">
        <w:t xml:space="preserve"> would need</w:t>
      </w:r>
      <w:r w:rsidR="0019280D">
        <w:t xml:space="preserve"> to reinvest a</w:t>
      </w:r>
      <w:r w:rsidR="005E772D">
        <w:t>n additional</w:t>
      </w:r>
      <w:r w:rsidR="0019280D">
        <w:t xml:space="preserve"> amount based on the amount of wind power generated. The proposed </w:t>
      </w:r>
      <w:r>
        <w:t xml:space="preserve">scheme has four benefits: </w:t>
      </w:r>
    </w:p>
    <w:p w:rsidR="00795D5C" w:rsidRDefault="00795D5C" w:rsidP="00795D5C">
      <w:pPr>
        <w:pStyle w:val="ListParagraph"/>
        <w:numPr>
          <w:ilvl w:val="0"/>
          <w:numId w:val="3"/>
        </w:numPr>
      </w:pPr>
      <w:r>
        <w:t>The money cannot be diverted away from environmental mitigation efforts,</w:t>
      </w:r>
    </w:p>
    <w:p w:rsidR="00795D5C" w:rsidRDefault="00795D5C" w:rsidP="00795D5C">
      <w:pPr>
        <w:pStyle w:val="ListParagraph"/>
        <w:numPr>
          <w:ilvl w:val="0"/>
          <w:numId w:val="3"/>
        </w:numPr>
      </w:pPr>
      <w:r>
        <w:t>The money is spent with the efficiency of the private sector,</w:t>
      </w:r>
    </w:p>
    <w:p w:rsidR="00795D5C" w:rsidRDefault="00795D5C" w:rsidP="00795D5C">
      <w:pPr>
        <w:pStyle w:val="ListParagraph"/>
        <w:numPr>
          <w:ilvl w:val="0"/>
          <w:numId w:val="3"/>
        </w:numPr>
      </w:pPr>
      <w:r>
        <w:t xml:space="preserve">Additional revenues are generated through energy harvesting and could be applied to </w:t>
      </w:r>
      <w:r w:rsidR="00A3786B">
        <w:t xml:space="preserve">additional </w:t>
      </w:r>
      <w:r>
        <w:t>environmental mitigation, and</w:t>
      </w:r>
    </w:p>
    <w:p w:rsidR="00795D5C" w:rsidRDefault="00795D5C" w:rsidP="00795D5C">
      <w:pPr>
        <w:pStyle w:val="ListParagraph"/>
        <w:numPr>
          <w:ilvl w:val="0"/>
          <w:numId w:val="3"/>
        </w:numPr>
      </w:pPr>
      <w:r>
        <w:t>Large-scale renewable energy projects often fail because of the public’s not-in-my-back-yard (NIMBY) attitude; on-site installation at oil extraction sites would avoid this phenomenon.</w:t>
      </w:r>
    </w:p>
    <w:p w:rsidR="003709F8" w:rsidRPr="003709F8" w:rsidRDefault="003709F8">
      <w:r>
        <w:t xml:space="preserve">We therefore hypothesize, that by mandating that oil companies invest in </w:t>
      </w:r>
      <w:r w:rsidR="00CD7864">
        <w:t xml:space="preserve">on-site </w:t>
      </w:r>
      <w:r>
        <w:t xml:space="preserve">wind turbines, the </w:t>
      </w:r>
      <w:r w:rsidR="001C3F84">
        <w:t>green-house gas (GHG)</w:t>
      </w:r>
      <w:r>
        <w:t xml:space="preserve"> emissions from the oil sands can be mitigated. We further hypothesize that such a plan is </w:t>
      </w:r>
      <w:r w:rsidR="00CD7864">
        <w:t xml:space="preserve">economically </w:t>
      </w:r>
      <w:r>
        <w:t xml:space="preserve">feasible if oil companies are also mandated to use a fraction of the revenue from the wind turbines to invest in </w:t>
      </w:r>
      <w:r w:rsidR="00CD7864">
        <w:t xml:space="preserve">the installation of even </w:t>
      </w:r>
      <w:r>
        <w:t xml:space="preserve">more wind turbines. </w:t>
      </w:r>
    </w:p>
    <w:p w:rsidR="00864F1A" w:rsidRDefault="00FE0F20" w:rsidP="008707C0">
      <w:pPr>
        <w:pStyle w:val="Heading1"/>
      </w:pPr>
      <w:r>
        <w:t>Methods</w:t>
      </w:r>
    </w:p>
    <w:p w:rsidR="00FC7C50" w:rsidRDefault="00FC7C50" w:rsidP="003B12EE">
      <w:pPr>
        <w:pStyle w:val="Heading2"/>
      </w:pPr>
      <w:r>
        <w:t>An Excel-Based Modeling Tool</w:t>
      </w:r>
    </w:p>
    <w:p w:rsidR="00FC7C50" w:rsidRPr="00FC7C50" w:rsidRDefault="00FC7C50">
      <w:r>
        <w:t>Uncertainty is high with project</w:t>
      </w:r>
      <w:r w:rsidR="00A3786B">
        <w:t>s</w:t>
      </w:r>
      <w:r>
        <w:t xml:space="preserve"> such as the one proposed in this paper; we address this uncertainty by clearly stating what values we have used in the model and by providing the modeling tool in the </w:t>
      </w:r>
      <w:r w:rsidRPr="001C3F84">
        <w:rPr>
          <w:i/>
        </w:rPr>
        <w:t>Supplemental Information</w:t>
      </w:r>
      <w:r>
        <w:t xml:space="preserve"> </w:t>
      </w:r>
      <w:r w:rsidR="00A3786B">
        <w:t xml:space="preserve">(SI) </w:t>
      </w:r>
      <w:r>
        <w:t>so that readers can adjust the findings to match their circumstances</w:t>
      </w:r>
      <w:r w:rsidR="001C3F84">
        <w:t>, location,</w:t>
      </w:r>
      <w:r w:rsidR="004B2229">
        <w:t xml:space="preserve"> or perspective on what the `</w:t>
      </w:r>
      <w:r>
        <w:t xml:space="preserve">correct’ number should have been for any one of the many estimations made in this paper. </w:t>
      </w:r>
    </w:p>
    <w:p w:rsidR="00FE0F20" w:rsidRDefault="002E76BB" w:rsidP="00ED5CF5">
      <w:pPr>
        <w:pStyle w:val="Heading2"/>
      </w:pPr>
      <w:r>
        <w:t>Accounting for the GHG</w:t>
      </w:r>
      <w:r w:rsidR="00FE0F20">
        <w:t xml:space="preserve"> Emissions of Oil Sands</w:t>
      </w:r>
    </w:p>
    <w:p w:rsidR="00AE72A5" w:rsidRDefault="00FE0F20" w:rsidP="00AE72A5">
      <w:r>
        <w:t xml:space="preserve">To account for the climate impact of the Canadian oil sands, we use the metric of </w:t>
      </w:r>
      <w:r w:rsidR="001C3F84">
        <w:t xml:space="preserve">GHG emissions measured by their mass of </w:t>
      </w:r>
      <w:r>
        <w:t>CO</w:t>
      </w:r>
      <w:r w:rsidRPr="00FE0F20">
        <w:rPr>
          <w:vertAlign w:val="subscript"/>
        </w:rPr>
        <w:t>2</w:t>
      </w:r>
      <w:r w:rsidR="001C3F84">
        <w:rPr>
          <w:vertAlign w:val="subscript"/>
        </w:rPr>
        <w:t xml:space="preserve"> </w:t>
      </w:r>
      <w:r w:rsidRPr="00143C76">
        <w:t>eq</w:t>
      </w:r>
      <w:r w:rsidR="001C3F84">
        <w:t xml:space="preserve">uivalent per barrel </w:t>
      </w:r>
      <w:r>
        <w:t>of refined oil</w:t>
      </w:r>
      <w:r w:rsidR="001C3F84">
        <w:t xml:space="preserve"> (CO</w:t>
      </w:r>
      <w:r w:rsidR="001C3F84" w:rsidRPr="00FE0F20">
        <w:rPr>
          <w:vertAlign w:val="subscript"/>
        </w:rPr>
        <w:t>2</w:t>
      </w:r>
      <w:r w:rsidR="001C3F84">
        <w:t>-eq/bbl)</w:t>
      </w:r>
      <w:r>
        <w:t xml:space="preserve">.  </w:t>
      </w:r>
      <w:r w:rsidR="00AE72A5">
        <w:t xml:space="preserve">We account for these </w:t>
      </w:r>
      <w:r w:rsidR="001C3F84">
        <w:t xml:space="preserve">GHG </w:t>
      </w:r>
      <w:r w:rsidR="00AE72A5">
        <w:t xml:space="preserve">emissions in three categories: </w:t>
      </w:r>
    </w:p>
    <w:p w:rsidR="00AE72A5" w:rsidRDefault="00BF6B5C" w:rsidP="00BF6B5C">
      <w:pPr>
        <w:pStyle w:val="ListParagraph"/>
        <w:numPr>
          <w:ilvl w:val="0"/>
          <w:numId w:val="1"/>
        </w:numPr>
      </w:pPr>
      <w:r w:rsidRPr="00BF6B5C">
        <w:rPr>
          <w:i/>
        </w:rPr>
        <w:t>incremental emissions</w:t>
      </w:r>
      <w:r>
        <w:t xml:space="preserve">: </w:t>
      </w:r>
      <w:r w:rsidR="00AE72A5">
        <w:t>the incremental emissions caused by production, upgrading, refining,</w:t>
      </w:r>
      <w:r w:rsidR="00A3786B">
        <w:t xml:space="preserve"> and transportation of oil from the oil sands</w:t>
      </w:r>
      <w:r w:rsidR="00AE72A5">
        <w:t xml:space="preserve">, as compared to the 2005 average GHG emissions of oil refined in the US; </w:t>
      </w:r>
    </w:p>
    <w:p w:rsidR="00AE72A5" w:rsidRDefault="00BF6B5C" w:rsidP="00AE72A5">
      <w:pPr>
        <w:pStyle w:val="ListParagraph"/>
        <w:numPr>
          <w:ilvl w:val="0"/>
          <w:numId w:val="1"/>
        </w:numPr>
      </w:pPr>
      <w:r>
        <w:rPr>
          <w:i/>
        </w:rPr>
        <w:lastRenderedPageBreak/>
        <w:t xml:space="preserve">production emissions: </w:t>
      </w:r>
      <w:r w:rsidR="00AE72A5">
        <w:t>the</w:t>
      </w:r>
      <w:r>
        <w:t xml:space="preserve"> </w:t>
      </w:r>
      <w:r w:rsidR="00AE72A5">
        <w:t xml:space="preserve"> total GHG emissions associated with production, upgrading, refining, and transportation of oil </w:t>
      </w:r>
      <w:r w:rsidR="00A3786B">
        <w:t>from the oil sands</w:t>
      </w:r>
      <w:r w:rsidR="00AE72A5">
        <w:t xml:space="preserve">(well-to-tank); and </w:t>
      </w:r>
    </w:p>
    <w:p w:rsidR="00AE72A5" w:rsidRDefault="00BF6B5C" w:rsidP="00D13C40">
      <w:pPr>
        <w:pStyle w:val="ListParagraph"/>
        <w:numPr>
          <w:ilvl w:val="0"/>
          <w:numId w:val="1"/>
        </w:numPr>
      </w:pPr>
      <w:r>
        <w:rPr>
          <w:i/>
        </w:rPr>
        <w:t xml:space="preserve">total emissions: </w:t>
      </w:r>
      <w:r w:rsidR="00AE72A5">
        <w:t>the total GHG emission</w:t>
      </w:r>
      <w:r>
        <w:t>s</w:t>
      </w:r>
      <w:r w:rsidR="00AE72A5">
        <w:t xml:space="preserve"> from production through end consumption (well-to-wheel). </w:t>
      </w:r>
    </w:p>
    <w:p w:rsidR="00AA7F1C" w:rsidRDefault="004B2229" w:rsidP="002E76BB">
      <w:r>
        <w:t>M</w:t>
      </w:r>
      <w:r w:rsidR="00FC7C50">
        <w:t xml:space="preserve">any </w:t>
      </w:r>
      <w:r>
        <w:t>meta-analyses on oil-sands emissions were found. We used</w:t>
      </w:r>
      <w:r w:rsidR="00FC7C50">
        <w:t xml:space="preserve"> </w:t>
      </w:r>
      <w:r w:rsidR="001C3F84">
        <w:t>the</w:t>
      </w:r>
      <w:r w:rsidR="00FC7C50">
        <w:t xml:space="preserve"> IHS CERA </w:t>
      </w:r>
      <w:r w:rsidR="001C3F84">
        <w:t xml:space="preserve">report </w:t>
      </w:r>
      <w:r w:rsidR="00FC7C50">
        <w:t xml:space="preserve">because it was an independent report and </w:t>
      </w:r>
      <w:r>
        <w:t xml:space="preserve">conveniently </w:t>
      </w:r>
      <w:r w:rsidR="00FC7C50">
        <w:t>use</w:t>
      </w:r>
      <w:r w:rsidR="00A3786B">
        <w:t>d</w:t>
      </w:r>
      <w:r w:rsidR="00FC7C50">
        <w:t xml:space="preserve"> units of per barrel</w:t>
      </w:r>
      <w:r w:rsidR="00D9712E">
        <w:t xml:space="preserve"> of refined oil</w:t>
      </w:r>
      <w:r w:rsidR="00FC7C50">
        <w:t xml:space="preserve"> </w:t>
      </w:r>
      <w:r w:rsidR="00FC7C50">
        <w:fldChar w:fldCharType="begin"/>
      </w:r>
      <w:r w:rsidR="00795D5C">
        <w:instrText xml:space="preserve"> ADDIN ZOTERO_ITEM CSL_CITATION {"citationID":"1ajfl407o5","properties":{"formattedCitation":"[2]","plainCitation":"[2]"},"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FC7C50">
        <w:fldChar w:fldCharType="separate"/>
      </w:r>
      <w:r w:rsidR="00795D5C" w:rsidRPr="00795D5C">
        <w:rPr>
          <w:rFonts w:ascii="Calibri" w:hAnsi="Calibri"/>
        </w:rPr>
        <w:t>[2]</w:t>
      </w:r>
      <w:r w:rsidR="00FC7C50">
        <w:fldChar w:fldCharType="end"/>
      </w:r>
      <w:r w:rsidR="00FC7C50">
        <w:t xml:space="preserve">. </w:t>
      </w:r>
      <w:r w:rsidR="00D9712E">
        <w:t>To aggregate the highly-varied estimates of oil-sands emissions, w</w:t>
      </w:r>
      <w:r>
        <w:t>e used</w:t>
      </w:r>
      <w:r w:rsidR="00BF6B5C">
        <w:t xml:space="preserve"> IHS </w:t>
      </w:r>
      <w:r w:rsidR="001D67F5">
        <w:t>CERA’s “average oil sands r</w:t>
      </w:r>
      <w:r>
        <w:t>efined in the US (2011),”</w:t>
      </w:r>
      <w:r w:rsidR="00D9712E">
        <w:t xml:space="preserve"> which accounted for emissions from </w:t>
      </w:r>
      <w:r w:rsidR="008D2979">
        <w:t>production, upgrading, transport, refining, further transport, and product combustion</w:t>
      </w:r>
      <w:r w:rsidR="00D9712E">
        <w:t xml:space="preserve">; it also accounted for the emissions associated with fuels used in the production </w:t>
      </w:r>
      <w:r w:rsidR="00FC7C50">
        <w:t>the oil</w:t>
      </w:r>
      <w:r w:rsidR="00D9712E">
        <w:t xml:space="preserve"> </w:t>
      </w:r>
      <w:r w:rsidR="00D9712E">
        <w:fldChar w:fldCharType="begin"/>
      </w:r>
      <w:r w:rsidR="00D9712E">
        <w:instrText xml:space="preserve"> ADDIN ZOTERO_ITEM CSL_CITATION {"citationID":"hk9MTjvh","properties":{"formattedCitation":"[2]","plainCitation":"[2]"},"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D9712E">
        <w:fldChar w:fldCharType="separate"/>
      </w:r>
      <w:r w:rsidR="00D9712E" w:rsidRPr="00795D5C">
        <w:rPr>
          <w:rFonts w:ascii="Calibri" w:hAnsi="Calibri"/>
        </w:rPr>
        <w:t>[2]</w:t>
      </w:r>
      <w:r w:rsidR="00D9712E">
        <w:fldChar w:fldCharType="end"/>
      </w:r>
      <w:r w:rsidR="00FC7C50">
        <w:t xml:space="preserve">. </w:t>
      </w:r>
      <w:r w:rsidR="00D9712E">
        <w:t>T</w:t>
      </w:r>
      <w:r w:rsidR="001D67F5">
        <w:t>he incremental</w:t>
      </w:r>
      <w:r w:rsidR="00D9712E">
        <w:t xml:space="preserve"> emissions</w:t>
      </w:r>
      <w:r w:rsidR="001D67F5">
        <w:t>, production</w:t>
      </w:r>
      <w:r w:rsidR="00D9712E">
        <w:t xml:space="preserve"> emissions, </w:t>
      </w:r>
      <w:r w:rsidR="001D67F5">
        <w:t xml:space="preserve">and total emissions </w:t>
      </w:r>
      <w:r w:rsidR="00D9712E">
        <w:t>used in our model were</w:t>
      </w:r>
      <w:r w:rsidR="001D67F5">
        <w:t xml:space="preserve"> 70.8, 172.3, and 556 kg </w:t>
      </w:r>
      <w:r w:rsidR="001D67F5" w:rsidRPr="00EA62A0">
        <w:t>CO</w:t>
      </w:r>
      <w:r w:rsidR="001D67F5" w:rsidRPr="00EA62A0">
        <w:rPr>
          <w:vertAlign w:val="subscript"/>
        </w:rPr>
        <w:t>2,</w:t>
      </w:r>
      <w:r w:rsidR="001D67F5" w:rsidRPr="00EA62A0">
        <w:t>eq/bbl</w:t>
      </w:r>
      <w:r w:rsidR="001D67F5">
        <w:t>, respectively</w:t>
      </w:r>
      <w:r w:rsidR="00D9712E">
        <w:t xml:space="preserve"> </w:t>
      </w:r>
      <w:r w:rsidR="00D9712E">
        <w:fldChar w:fldCharType="begin"/>
      </w:r>
      <w:r w:rsidR="000A7FED">
        <w:instrText xml:space="preserve"> ADDIN ZOTERO_ITEM CSL_CITATION {"citationID":"H8uoFHVl","properties":{"formattedCitation":"[2]","plainCitation":"[2]"},"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D9712E">
        <w:fldChar w:fldCharType="separate"/>
      </w:r>
      <w:r w:rsidR="00D9712E" w:rsidRPr="00795D5C">
        <w:rPr>
          <w:rFonts w:ascii="Calibri" w:hAnsi="Calibri"/>
        </w:rPr>
        <w:t>[2]</w:t>
      </w:r>
      <w:r w:rsidR="00D9712E">
        <w:fldChar w:fldCharType="end"/>
      </w:r>
      <w:r w:rsidR="001D67F5">
        <w:t xml:space="preserve">. </w:t>
      </w:r>
    </w:p>
    <w:p w:rsidR="002E76BB" w:rsidRDefault="002E76BB" w:rsidP="008707C0">
      <w:pPr>
        <w:pStyle w:val="Heading2"/>
      </w:pPr>
      <w:r>
        <w:t>Accounting for the GHG Emissions of Wind Turbines</w:t>
      </w:r>
    </w:p>
    <w:p w:rsidR="00610A0B" w:rsidRDefault="00AF2568" w:rsidP="002E76BB">
      <w:r>
        <w:t xml:space="preserve">Raadal </w:t>
      </w:r>
      <w:r w:rsidR="00F275B6">
        <w:t xml:space="preserve">et al. </w:t>
      </w:r>
      <w:r>
        <w:t xml:space="preserve">reviewed 22 papers that assessed the GHG emissions associated with 1-5MW turbines; they found a range of 4-22 </w:t>
      </w:r>
      <w:r w:rsidR="00FC7C50">
        <w:t xml:space="preserve">g CO2-eq/kWh </w:t>
      </w:r>
      <w:r>
        <w:t xml:space="preserve">with a mean of 10.4 g CO2-eq/kWh </w:t>
      </w:r>
      <w:r>
        <w:fldChar w:fldCharType="begin"/>
      </w:r>
      <w:r w:rsidR="00795D5C">
        <w:instrText xml:space="preserve"> ADDIN ZOTERO_ITEM CSL_CITATION {"citationID":"141ult1oop","properties":{"formattedCitation":"[3]","plainCitation":"[3]"},"citationItems":[{"id":1955,"uris":["http://zotero.org/users/1200139/items/RRCQ8NBH"],"uri":["http://zotero.org/users/1200139/items/RRCQ8NBH"],"itemData":{"id":1955,"type":"article-journal","title":"Life cycle greenhouse gas (GHG) emissions from the generation of wind and hydro power","container-title":"Renewable and Sustainable Energy Reviews","page":"3417-3422","volume":"15","issue":"7","source":"ScienceDirect","abstract":"This paper presents a comprehensive overview of the life cycle GHG emissions from wind and hydro power generation, based on relevant published studies. Comparisons with conventional fossil, nuclear and other renewable generation systems are also presented, in order to put the GHG emissions of wind and hydro power in perspective.\n\nStudies on GHG emissions from wind and hydro power show large variations in GHG emissions, varying from 0.2 to 152 g CO2-equivalents per kW h. The main parameters affecting GHG emissions are also discussed in this article, in relation to these variations.\n\nThe wide ranging results indicate a need for stricter standardised rules and requirements for life-cycle assessments (LCAs), in order to differentiate between variations due to methodological disparities and those due to real differences in performance of the plants. Since LCAs are resource- and time-intensive, development of generic GHG results for each technology could be an alternative to developing specific data for each plant. This would require the definition of typical parameters for each technology, for example a typical capacity factor for wind power. Such generic data would be useful in documenting GHG emissions from electricity generation for electricity trading purposes.","DOI":"10.1016/j.rser.2011.05.001","ISSN":"1364-0321","journalAbbreviation":"Renewable and Sustainable Energy Reviews","author":[{"family":"Raadal","given":"Hanne Lerche"},{"family":"Gagnon","given":"Luc"},{"family":"Modahl","given":"Ingunn Saur"},{"family":"Hanssen","given":"Ole Jørgen"}],"issued":{"date-parts":[["2011",9]]}}}],"schema":"https://github.com/citation-style-language/schema/raw/master/csl-citation.json"} </w:instrText>
      </w:r>
      <w:r>
        <w:fldChar w:fldCharType="separate"/>
      </w:r>
      <w:r w:rsidR="00795D5C" w:rsidRPr="00795D5C">
        <w:rPr>
          <w:rFonts w:ascii="Calibri" w:hAnsi="Calibri"/>
        </w:rPr>
        <w:t>[3]</w:t>
      </w:r>
      <w:r>
        <w:fldChar w:fldCharType="end"/>
      </w:r>
      <w:r>
        <w:t>. This simple number however neglects the strong dependency on the capacity factor</w:t>
      </w:r>
      <w:r w:rsidR="00FC7C50">
        <w:t>, as does the presented model</w:t>
      </w:r>
      <w:r>
        <w:t xml:space="preserve">. </w:t>
      </w:r>
    </w:p>
    <w:p w:rsidR="00610A0B" w:rsidRDefault="00610A0B" w:rsidP="008707C0">
      <w:pPr>
        <w:pStyle w:val="Heading2"/>
      </w:pPr>
      <w:r>
        <w:t>Emissions Offsets for Electricity Generation</w:t>
      </w:r>
    </w:p>
    <w:p w:rsidR="009C2810" w:rsidRDefault="001C3F84" w:rsidP="002E76BB">
      <w:r>
        <w:t>W</w:t>
      </w:r>
      <w:r w:rsidR="00BC13CD">
        <w:t xml:space="preserve">ind energy </w:t>
      </w:r>
      <w:r>
        <w:t xml:space="preserve">generation </w:t>
      </w:r>
      <w:r w:rsidR="00BC13CD">
        <w:t>only has a net positive b</w:t>
      </w:r>
      <w:r w:rsidR="008B1F5B">
        <w:t>enefit</w:t>
      </w:r>
      <w:r w:rsidR="00BC13CD">
        <w:t xml:space="preserve"> on GHG emissions</w:t>
      </w:r>
      <w:r w:rsidR="008B1F5B">
        <w:t xml:space="preserve"> when a </w:t>
      </w:r>
      <w:r w:rsidR="00610A0B">
        <w:t xml:space="preserve">more </w:t>
      </w:r>
      <w:r w:rsidR="008B1F5B">
        <w:t>emitting</w:t>
      </w:r>
      <w:r w:rsidR="00610A0B">
        <w:t xml:space="preserve"> generation technology can be turned off. </w:t>
      </w:r>
      <w:r w:rsidR="009C2810">
        <w:t>As a first-order model, we assumed that the GHG intensity of the generation technology that would be turned off would be the average GHG intensity of the region</w:t>
      </w:r>
      <w:r w:rsidR="00BC13CD">
        <w:t xml:space="preserve"> to which the power was transmitted</w:t>
      </w:r>
      <w:r w:rsidR="009C2810">
        <w:t xml:space="preserve">. </w:t>
      </w:r>
      <w:r w:rsidR="00BC13CD">
        <w:t>T</w:t>
      </w:r>
      <w:r w:rsidR="00610A0B">
        <w:t xml:space="preserve">he scale of wind production proposed in this model </w:t>
      </w:r>
      <w:r w:rsidR="00BC13CD">
        <w:t>required</w:t>
      </w:r>
      <w:r w:rsidR="009C2810">
        <w:t xml:space="preserve"> transmission over long distances to different regions.</w:t>
      </w:r>
      <w:r w:rsidR="00610A0B">
        <w:t xml:space="preserve"> </w:t>
      </w:r>
      <w:r w:rsidR="009C2810">
        <w:t>Our first order model considered only five levels of resolution for the destination of the wind energy: onsite electricity usage, Alberta’s grid, the rest of Canada, California, and the rest of the United States</w:t>
      </w:r>
      <w:r w:rsidR="00BD0937">
        <w:t xml:space="preserve"> (</w:t>
      </w:r>
      <w:r w:rsidR="003B60C5">
        <w:fldChar w:fldCharType="begin"/>
      </w:r>
      <w:r w:rsidR="003B60C5">
        <w:instrText xml:space="preserve"> REF _Ref435006677 \h </w:instrText>
      </w:r>
      <w:r w:rsidR="003B60C5">
        <w:fldChar w:fldCharType="separate"/>
      </w:r>
      <w:r w:rsidR="008707C0">
        <w:t xml:space="preserve">Table </w:t>
      </w:r>
      <w:r w:rsidR="008707C0">
        <w:rPr>
          <w:noProof/>
        </w:rPr>
        <w:t>1</w:t>
      </w:r>
      <w:r w:rsidR="003B60C5">
        <w:fldChar w:fldCharType="end"/>
      </w:r>
      <w:r w:rsidR="00BD0937">
        <w:t>)</w:t>
      </w:r>
      <w:r w:rsidR="009C2810">
        <w:t xml:space="preserve">. </w:t>
      </w:r>
    </w:p>
    <w:p w:rsidR="00610A0B" w:rsidRDefault="00610A0B" w:rsidP="008707C0">
      <w:pPr>
        <w:pStyle w:val="Heading2"/>
      </w:pPr>
      <w:r>
        <w:t>Grid Capacity</w:t>
      </w:r>
    </w:p>
    <w:p w:rsidR="00165741" w:rsidRDefault="00610A0B" w:rsidP="002E76BB">
      <w:r>
        <w:t>Because of the variability of wind power, a grid supplied by 100% wind from a sin</w:t>
      </w:r>
      <w:r w:rsidR="00165741">
        <w:t xml:space="preserve">gle geographic location would </w:t>
      </w:r>
      <w:r>
        <w:t xml:space="preserve">be unstable. </w:t>
      </w:r>
      <w:r w:rsidR="00A50D8A">
        <w:t>Electricity system operators compensate for this instability in two ways: first</w:t>
      </w:r>
      <w:r w:rsidR="00DB4819">
        <w:t>,</w:t>
      </w:r>
      <w:r w:rsidR="00A50D8A">
        <w:t xml:space="preserve"> by limiting the total percent of wind power they allow into their system</w:t>
      </w:r>
      <w:r w:rsidR="00ED0AAA">
        <w:t xml:space="preserve">; </w:t>
      </w:r>
      <w:r w:rsidR="00A50D8A">
        <w:t>and second</w:t>
      </w:r>
      <w:r w:rsidR="00DB4819">
        <w:t>,</w:t>
      </w:r>
      <w:r w:rsidR="00A50D8A">
        <w:t xml:space="preserve"> by purchasing dispatchable generation to supplement when the wind is not blowing. This model does not account for the emissions associated with this dispatchable generation; it is </w:t>
      </w:r>
      <w:r w:rsidR="00DB4819">
        <w:t xml:space="preserve">therefore, </w:t>
      </w:r>
      <w:r w:rsidR="00A50D8A">
        <w:t>implicitly</w:t>
      </w:r>
      <w:r w:rsidR="00ED0AAA">
        <w:t xml:space="preserve"> </w:t>
      </w:r>
      <w:r w:rsidR="00A50D8A">
        <w:t xml:space="preserve">assumed to </w:t>
      </w:r>
      <w:r w:rsidR="00DB4819">
        <w:t xml:space="preserve">have the same GHG intensity as the region’s </w:t>
      </w:r>
      <w:r w:rsidR="00A50D8A">
        <w:t xml:space="preserve">baseline generation mix. </w:t>
      </w:r>
    </w:p>
    <w:p w:rsidR="00BF0750" w:rsidRDefault="00BA5A1C" w:rsidP="002E76BB">
      <w:r>
        <w:t>The</w:t>
      </w:r>
      <w:r w:rsidR="00613ADC">
        <w:t xml:space="preserve"> model dispatches electricity to different regions according to a user definable transmission priority. When one region reaches its maximum capacity for wind power, here assumed to be 20%</w:t>
      </w:r>
      <w:r w:rsidR="00D9712E">
        <w:t xml:space="preserve"> [</w:t>
      </w:r>
      <w:r w:rsidR="00D9712E" w:rsidRPr="00D9712E">
        <w:rPr>
          <w:highlight w:val="yellow"/>
        </w:rPr>
        <w:t>REF needed]</w:t>
      </w:r>
      <w:r w:rsidR="00613ADC" w:rsidRPr="00D9712E">
        <w:rPr>
          <w:highlight w:val="yellow"/>
        </w:rPr>
        <w:t>,</w:t>
      </w:r>
      <w:r w:rsidR="00613ADC">
        <w:t xml:space="preserve"> the model then starts to build transmission lines to the next best option.</w:t>
      </w:r>
      <w:r w:rsidR="00165741">
        <w:t xml:space="preserve"> </w:t>
      </w:r>
      <w:r w:rsidR="003B60C5">
        <w:t xml:space="preserve">Transmission priorities and the current wind-supply fraction of different grids is summarized in </w:t>
      </w:r>
      <w:r w:rsidR="003B60C5">
        <w:fldChar w:fldCharType="begin"/>
      </w:r>
      <w:r w:rsidR="003B60C5">
        <w:instrText xml:space="preserve"> REF _Ref435006677 \h </w:instrText>
      </w:r>
      <w:r w:rsidR="003B60C5">
        <w:fldChar w:fldCharType="separate"/>
      </w:r>
      <w:r w:rsidR="008707C0">
        <w:t xml:space="preserve">Table </w:t>
      </w:r>
      <w:r w:rsidR="008707C0">
        <w:rPr>
          <w:noProof/>
        </w:rPr>
        <w:t>1</w:t>
      </w:r>
      <w:r w:rsidR="003B60C5">
        <w:fldChar w:fldCharType="end"/>
      </w:r>
      <w:r w:rsidR="003B60C5">
        <w:t>.</w:t>
      </w:r>
      <w:r>
        <w:t xml:space="preserve"> </w:t>
      </w:r>
    </w:p>
    <w:p w:rsidR="003E1424" w:rsidRDefault="003E1424" w:rsidP="003E1424">
      <w:pPr>
        <w:pStyle w:val="Caption"/>
        <w:keepNext/>
      </w:pPr>
      <w:bookmarkStart w:id="1" w:name="_Ref435006677"/>
      <w:r>
        <w:lastRenderedPageBreak/>
        <w:t xml:space="preserve">Table </w:t>
      </w:r>
      <w:fldSimple w:instr=" SEQ Table \* ARABIC ">
        <w:r w:rsidR="008707C0">
          <w:rPr>
            <w:noProof/>
          </w:rPr>
          <w:t>1</w:t>
        </w:r>
      </w:fldSimple>
      <w:bookmarkEnd w:id="1"/>
      <w:r>
        <w:t>: Capacity and GHG intensity of North American grids</w:t>
      </w:r>
    </w:p>
    <w:tbl>
      <w:tblPr>
        <w:tblStyle w:val="TableGrid"/>
        <w:tblpPr w:leftFromText="180" w:rightFromText="180" w:vertAnchor="text" w:horzAnchor="margin" w:tblpY="-26"/>
        <w:tblW w:w="9350" w:type="dxa"/>
        <w:tblLook w:val="04A0" w:firstRow="1" w:lastRow="0" w:firstColumn="1" w:lastColumn="0" w:noHBand="0" w:noVBand="1"/>
      </w:tblPr>
      <w:tblGrid>
        <w:gridCol w:w="1525"/>
        <w:gridCol w:w="1388"/>
        <w:gridCol w:w="1492"/>
        <w:gridCol w:w="1440"/>
        <w:gridCol w:w="1710"/>
        <w:gridCol w:w="1795"/>
      </w:tblGrid>
      <w:tr w:rsidR="0010631D" w:rsidTr="0010631D">
        <w:trPr>
          <w:trHeight w:val="555"/>
        </w:trPr>
        <w:tc>
          <w:tcPr>
            <w:tcW w:w="1525" w:type="dxa"/>
          </w:tcPr>
          <w:p w:rsidR="0010631D" w:rsidRDefault="0010631D" w:rsidP="0010631D">
            <w:r>
              <w:t>Location</w:t>
            </w:r>
          </w:p>
        </w:tc>
        <w:tc>
          <w:tcPr>
            <w:tcW w:w="1388" w:type="dxa"/>
          </w:tcPr>
          <w:p w:rsidR="0010631D" w:rsidRDefault="0010631D" w:rsidP="0010631D">
            <w:r>
              <w:t>Transmission Priority</w:t>
            </w:r>
          </w:p>
        </w:tc>
        <w:tc>
          <w:tcPr>
            <w:tcW w:w="1492" w:type="dxa"/>
          </w:tcPr>
          <w:p w:rsidR="0010631D" w:rsidRDefault="0010631D" w:rsidP="0010631D">
            <w:r>
              <w:t>Nominal Distance (km)</w:t>
            </w:r>
          </w:p>
        </w:tc>
        <w:tc>
          <w:tcPr>
            <w:tcW w:w="1440" w:type="dxa"/>
          </w:tcPr>
          <w:p w:rsidR="0010631D" w:rsidRDefault="0010631D" w:rsidP="0010631D">
            <w:r>
              <w:t>Average Yearly Load (GW)</w:t>
            </w:r>
          </w:p>
        </w:tc>
        <w:tc>
          <w:tcPr>
            <w:tcW w:w="1710" w:type="dxa"/>
          </w:tcPr>
          <w:p w:rsidR="0010631D" w:rsidRDefault="0010631D" w:rsidP="0010631D">
            <w:r>
              <w:t>GHG Intensity</w:t>
            </w:r>
            <w:r>
              <w:br/>
              <w:t>(MT CO</w:t>
            </w:r>
            <w:r w:rsidRPr="00FE0F20">
              <w:rPr>
                <w:vertAlign w:val="subscript"/>
              </w:rPr>
              <w:t>2,</w:t>
            </w:r>
            <w:r w:rsidRPr="00143C76">
              <w:t>eq</w:t>
            </w:r>
            <w:r>
              <w:t>/GW-year)</w:t>
            </w:r>
          </w:p>
        </w:tc>
        <w:tc>
          <w:tcPr>
            <w:tcW w:w="1795" w:type="dxa"/>
          </w:tcPr>
          <w:p w:rsidR="0010631D" w:rsidRDefault="0010631D" w:rsidP="0010631D">
            <w:r>
              <w:t>Current Wind Fraction</w:t>
            </w:r>
          </w:p>
        </w:tc>
      </w:tr>
      <w:tr w:rsidR="0010631D" w:rsidTr="0010631D">
        <w:trPr>
          <w:trHeight w:val="269"/>
        </w:trPr>
        <w:tc>
          <w:tcPr>
            <w:tcW w:w="1525" w:type="dxa"/>
          </w:tcPr>
          <w:p w:rsidR="0010631D" w:rsidRDefault="0010631D" w:rsidP="0010631D">
            <w:r>
              <w:t>Onsite Usage</w:t>
            </w:r>
          </w:p>
        </w:tc>
        <w:tc>
          <w:tcPr>
            <w:tcW w:w="1388" w:type="dxa"/>
          </w:tcPr>
          <w:p w:rsidR="0010631D" w:rsidRDefault="0010631D" w:rsidP="0010631D">
            <w:r>
              <w:t>1</w:t>
            </w:r>
          </w:p>
        </w:tc>
        <w:tc>
          <w:tcPr>
            <w:tcW w:w="1492" w:type="dxa"/>
          </w:tcPr>
          <w:p w:rsidR="0010631D" w:rsidRDefault="0010631D" w:rsidP="0010631D">
            <w:r>
              <w:t>0</w:t>
            </w:r>
          </w:p>
        </w:tc>
        <w:tc>
          <w:tcPr>
            <w:tcW w:w="1440" w:type="dxa"/>
          </w:tcPr>
          <w:p w:rsidR="0010631D" w:rsidRPr="00BF0750" w:rsidRDefault="0010631D" w:rsidP="0010631D">
            <w:r>
              <w:t>1.1 [see SI]</w:t>
            </w:r>
          </w:p>
        </w:tc>
        <w:tc>
          <w:tcPr>
            <w:tcW w:w="1710" w:type="dxa"/>
          </w:tcPr>
          <w:p w:rsidR="0010631D" w:rsidRPr="006E20B2" w:rsidRDefault="0010631D" w:rsidP="0010631D">
            <w:r>
              <w:t>2891 [see SI]</w:t>
            </w:r>
          </w:p>
        </w:tc>
        <w:tc>
          <w:tcPr>
            <w:tcW w:w="1795" w:type="dxa"/>
          </w:tcPr>
          <w:p w:rsidR="0010631D" w:rsidRPr="00395E26" w:rsidRDefault="0010631D" w:rsidP="0010631D">
            <w:r w:rsidRPr="00395E26">
              <w:t>0%</w:t>
            </w:r>
            <w:r>
              <w:t xml:space="preserve"> [see SI]</w:t>
            </w:r>
          </w:p>
        </w:tc>
      </w:tr>
      <w:tr w:rsidR="0010631D" w:rsidTr="0010631D">
        <w:trPr>
          <w:trHeight w:val="137"/>
        </w:trPr>
        <w:tc>
          <w:tcPr>
            <w:tcW w:w="1525" w:type="dxa"/>
          </w:tcPr>
          <w:p w:rsidR="0010631D" w:rsidRDefault="0010631D" w:rsidP="0010631D">
            <w:r>
              <w:t>Alberta (AB)</w:t>
            </w:r>
          </w:p>
        </w:tc>
        <w:tc>
          <w:tcPr>
            <w:tcW w:w="1388" w:type="dxa"/>
          </w:tcPr>
          <w:p w:rsidR="0010631D" w:rsidRDefault="0010631D" w:rsidP="0010631D">
            <w:r>
              <w:t>2</w:t>
            </w:r>
          </w:p>
        </w:tc>
        <w:tc>
          <w:tcPr>
            <w:tcW w:w="1492" w:type="dxa"/>
          </w:tcPr>
          <w:p w:rsidR="0010631D" w:rsidRDefault="0010631D" w:rsidP="0010631D">
            <w:r>
              <w:t>500</w:t>
            </w:r>
          </w:p>
        </w:tc>
        <w:tc>
          <w:tcPr>
            <w:tcW w:w="1440" w:type="dxa"/>
          </w:tcPr>
          <w:p w:rsidR="0010631D" w:rsidRPr="008A0588" w:rsidRDefault="0010631D" w:rsidP="0010631D">
            <w:pPr>
              <w:rPr>
                <w:i/>
              </w:rPr>
            </w:pPr>
            <w:r>
              <w:t xml:space="preserve">8.8 </w:t>
            </w:r>
            <w:r>
              <w:fldChar w:fldCharType="begin"/>
            </w:r>
            <w:r>
              <w:instrText xml:space="preserve"> ADDIN ZOTERO_ITEM CSL_CITATION {"citationID":"arpror5g1","properties":{"formattedCitation":"[4]","plainCitation":"[4]"},"citationItems":[{"id":1927,"uris":["http://zotero.org/users/1200139/items/8H9QSSWI"],"uri":["http://zotero.org/users/1200139/items/8H9QSSWI"],"itemData":{"id":1927,"type":"report","title":"AESO 2014 Long-term Outlook","publisher":"Alberta Electric System Operator","author":[{"literal":"AESO"}],"issued":{"date-parts":[["2014"]]}}}],"schema":"https://github.com/citation-style-language/schema/raw/master/csl-citation.json"} </w:instrText>
            </w:r>
            <w:r>
              <w:fldChar w:fldCharType="separate"/>
            </w:r>
            <w:r w:rsidRPr="00BD005A">
              <w:rPr>
                <w:rFonts w:ascii="Calibri" w:hAnsi="Calibri"/>
              </w:rPr>
              <w:t>[4]</w:t>
            </w:r>
            <w:r>
              <w:fldChar w:fldCharType="end"/>
            </w:r>
            <w:r>
              <w:t xml:space="preserve"> </w:t>
            </w:r>
          </w:p>
        </w:tc>
        <w:tc>
          <w:tcPr>
            <w:tcW w:w="1710" w:type="dxa"/>
          </w:tcPr>
          <w:p w:rsidR="0010631D" w:rsidRDefault="0010631D" w:rsidP="0010631D">
            <w:r>
              <w:t xml:space="preserve">7542 </w:t>
            </w:r>
            <w:r>
              <w:fldChar w:fldCharType="begin"/>
            </w:r>
            <w:r>
              <w:instrText xml:space="preserve"> ADDIN ZOTERO_ITEM CSL_CITATION {"citationID":"mcn31nn9i","properties":{"formattedCitation":"[5]","plainCitation":"[5]"},"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fldChar w:fldCharType="separate"/>
            </w:r>
            <w:r w:rsidRPr="00BD005A">
              <w:rPr>
                <w:rFonts w:ascii="Calibri" w:hAnsi="Calibri"/>
              </w:rPr>
              <w:t>[5]</w:t>
            </w:r>
            <w:r>
              <w:fldChar w:fldCharType="end"/>
            </w:r>
          </w:p>
        </w:tc>
        <w:tc>
          <w:tcPr>
            <w:tcW w:w="1795" w:type="dxa"/>
          </w:tcPr>
          <w:p w:rsidR="0010631D" w:rsidRPr="00395E26" w:rsidRDefault="0010631D" w:rsidP="0010631D">
            <w:r w:rsidRPr="00395E26">
              <w:t>7%</w:t>
            </w:r>
            <w:r>
              <w:t xml:space="preserve"> </w:t>
            </w:r>
            <w:r>
              <w:fldChar w:fldCharType="begin"/>
            </w:r>
            <w:r>
              <w:instrText xml:space="preserve"> ADDIN ZOTERO_ITEM CSL_CITATION {"citationID":"bVp8Jj0V","properties":{"formattedCitation":"[4]","plainCitation":"[4]"},"citationItems":[{"id":1927,"uris":["http://zotero.org/users/1200139/items/8H9QSSWI"],"uri":["http://zotero.org/users/1200139/items/8H9QSSWI"],"itemData":{"id":1927,"type":"report","title":"AESO 2014 Long-term Outlook","publisher":"Alberta Electric System Operator","author":[{"literal":"AESO"}],"issued":{"date-parts":[["2014"]]}}}],"schema":"https://github.com/citation-style-language/schema/raw/master/csl-citation.json"} </w:instrText>
            </w:r>
            <w:r>
              <w:fldChar w:fldCharType="separate"/>
            </w:r>
            <w:r w:rsidRPr="00BD005A">
              <w:rPr>
                <w:rFonts w:ascii="Calibri" w:hAnsi="Calibri"/>
              </w:rPr>
              <w:t>[4]</w:t>
            </w:r>
            <w:r>
              <w:fldChar w:fldCharType="end"/>
            </w:r>
          </w:p>
        </w:tc>
      </w:tr>
      <w:tr w:rsidR="0010631D" w:rsidRPr="00395E26" w:rsidTr="00307803">
        <w:trPr>
          <w:trHeight w:val="413"/>
        </w:trPr>
        <w:tc>
          <w:tcPr>
            <w:tcW w:w="1525" w:type="dxa"/>
          </w:tcPr>
          <w:p w:rsidR="0010631D" w:rsidRDefault="0010631D" w:rsidP="0010631D">
            <w:r>
              <w:t>United States (excluding CA)</w:t>
            </w:r>
          </w:p>
        </w:tc>
        <w:tc>
          <w:tcPr>
            <w:tcW w:w="1388" w:type="dxa"/>
          </w:tcPr>
          <w:p w:rsidR="0010631D" w:rsidRDefault="0010631D" w:rsidP="0010631D">
            <w:r>
              <w:t>3</w:t>
            </w:r>
          </w:p>
        </w:tc>
        <w:tc>
          <w:tcPr>
            <w:tcW w:w="1492" w:type="dxa"/>
          </w:tcPr>
          <w:p w:rsidR="0010631D" w:rsidRDefault="0010631D" w:rsidP="0010631D">
            <w:r>
              <w:t>5500</w:t>
            </w:r>
          </w:p>
        </w:tc>
        <w:tc>
          <w:tcPr>
            <w:tcW w:w="1440" w:type="dxa"/>
          </w:tcPr>
          <w:p w:rsidR="0010631D" w:rsidRDefault="0010631D" w:rsidP="0010631D">
            <w:r>
              <w:t xml:space="preserve">433.1 = 467 </w:t>
            </w:r>
            <w:r>
              <w:fldChar w:fldCharType="begin"/>
            </w:r>
            <w:r w:rsidR="003B12EE">
              <w:instrText xml:space="preserve"> ADDIN ZOTERO_ITEM CSL_CITATION {"citationID":"2cb4ks69v5","properties":{"formattedCitation":"[6]","plainCitation":"[6]"},"citationItems":[{"id":1972,"uris":["http://zotero.org/users/1200139/items/HI97FHW6"],"uri":["http://zotero.org/users/1200139/items/HI97FHW6"],"itemData":{"id":1972,"type":"webpage","title":"Electric Power Monthly","container-title":"US Energy Information Administration","URL":"http://www.eia.gov/electricity/monthly/epm_table_grapher.cfm?t=epmt_1_1","author":[{"literal":"EIA"}],"issued":{"date-parts":[["2015",8,26]]},"accessed":{"date-parts":[["2015",9,21]]}}}],"schema":"https://github.com/citation-style-language/schema/raw/master/csl-citation.json"} </w:instrText>
            </w:r>
            <w:r>
              <w:fldChar w:fldCharType="separate"/>
            </w:r>
            <w:r w:rsidR="003B12EE" w:rsidRPr="003B12EE">
              <w:rPr>
                <w:rFonts w:ascii="Calibri" w:hAnsi="Calibri"/>
              </w:rPr>
              <w:t>[6]</w:t>
            </w:r>
            <w:r>
              <w:fldChar w:fldCharType="end"/>
            </w:r>
            <w:r>
              <w:t xml:space="preserve"> - 33.9 </w:t>
            </w:r>
            <w:r>
              <w:fldChar w:fldCharType="begin"/>
            </w:r>
            <w:r w:rsidR="003B12EE">
              <w:instrText xml:space="preserve"> ADDIN ZOTERO_ITEM CSL_CITATION {"citationID":"7dg9r22a","properties":{"formattedCitation":"[7]","plainCitation":"[7]"},"citationItems":[{"id":1968,"uris":["http://zotero.org/users/1200139/items/67G6INWU"],"uri":["http://zotero.org/users/1200139/items/67G6INWU"],"itemData":{"id":1968,"type":"webpage","title":"Total System Power","container-title":"Energy Almanac","URL":"http://energyalmanac.ca.gov/electricity/total_system_power.html","author":[{"literal":"California Energy Comission"}],"issued":{"date-parts":[["2015"]],"season":"Seot"},"accessed":{"date-parts":[["2015",9,21]]}}}],"schema":"https://github.com/citation-style-language/schema/raw/master/csl-citation.json"} </w:instrText>
            </w:r>
            <w:r>
              <w:fldChar w:fldCharType="separate"/>
            </w:r>
            <w:r w:rsidR="003B12EE" w:rsidRPr="003B12EE">
              <w:rPr>
                <w:rFonts w:ascii="Calibri" w:hAnsi="Calibri"/>
              </w:rPr>
              <w:t>[7]</w:t>
            </w:r>
            <w:r>
              <w:fldChar w:fldCharType="end"/>
            </w:r>
          </w:p>
        </w:tc>
        <w:tc>
          <w:tcPr>
            <w:tcW w:w="1710" w:type="dxa"/>
          </w:tcPr>
          <w:p w:rsidR="0010631D" w:rsidRDefault="0010631D" w:rsidP="0010631D">
            <w:r>
              <w:t xml:space="preserve">4710 </w:t>
            </w:r>
            <w:r>
              <w:fldChar w:fldCharType="begin"/>
            </w:r>
            <w:r w:rsidR="003B12EE">
              <w:instrText xml:space="preserve"> ADDIN ZOTERO_ITEM CSL_CITATION {"citationID":"u3t7a6pmj","properties":{"formattedCitation":"[5], [8]","plainCitation":"[5], [8]"},"citationItems":[{"id":2053,"uris":["http://zotero.org/users/1200139/items/RF6C5CM2"],"uri":["http://zotero.org/users/1200139/items/RF6C5CM2"],"itemData":{"id":2053,"type":"webpage","title":"RETScreen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Canada"}],"issued":{"date-parts":[["2013",6,14]]},"accessed":{"date-parts":[["2015",11,10]]}}},{"id":1967,"uris":["http://zotero.org/users/1200139/items/IJGCS768"],"uri":["http://zotero.org/users/1200139/items/IJGCS768"],"itemData":{"id":1967,"type":"report","title":"2014 Integrated Energy Policy Report","publisher":"California Energy Commission","number":"CEC-100-2014-001-CMF","author":[{"literal":"California Energy Comission"}],"issued":{"date-parts":[["2014"]]}}}],"schema":"https://github.com/citation-style-language/schema/raw/master/csl-citation.json"} </w:instrText>
            </w:r>
            <w:r>
              <w:fldChar w:fldCharType="separate"/>
            </w:r>
            <w:r w:rsidR="003B12EE" w:rsidRPr="003B12EE">
              <w:rPr>
                <w:rFonts w:ascii="Calibri" w:hAnsi="Calibri"/>
              </w:rPr>
              <w:t>[5], [8]</w:t>
            </w:r>
            <w:r>
              <w:fldChar w:fldCharType="end"/>
            </w:r>
          </w:p>
        </w:tc>
        <w:tc>
          <w:tcPr>
            <w:tcW w:w="1795" w:type="dxa"/>
          </w:tcPr>
          <w:p w:rsidR="0010631D" w:rsidRPr="00395E26" w:rsidRDefault="0010631D" w:rsidP="0010631D">
            <w:r>
              <w:t xml:space="preserve">3.9% (4.2% including CA  </w:t>
            </w:r>
            <w:r>
              <w:fldChar w:fldCharType="begin"/>
            </w:r>
            <w:r w:rsidR="003B12EE">
              <w:instrText xml:space="preserve"> ADDIN ZOTERO_ITEM CSL_CITATION {"citationID":"abWKNaqh","properties":{"formattedCitation":"[6]","plainCitation":"[6]"},"citationItems":[{"id":1972,"uris":["http://zotero.org/users/1200139/items/HI97FHW6"],"uri":["http://zotero.org/users/1200139/items/HI97FHW6"],"itemData":{"id":1972,"type":"webpage","title":"Electric Power Monthly","container-title":"US Energy Information Administration","URL":"http://www.eia.gov/electricity/monthly/epm_table_grapher.cfm?t=epmt_1_1","author":[{"literal":"EIA"}],"issued":{"date-parts":[["2015",8,26]]},"accessed":{"date-parts":[["2015",9,21]]}}}],"schema":"https://github.com/citation-style-language/schema/raw/master/csl-citation.json"} </w:instrText>
            </w:r>
            <w:r>
              <w:fldChar w:fldCharType="separate"/>
            </w:r>
            <w:r w:rsidR="003B12EE" w:rsidRPr="003B12EE">
              <w:rPr>
                <w:rFonts w:ascii="Calibri" w:hAnsi="Calibri"/>
              </w:rPr>
              <w:t>[6]</w:t>
            </w:r>
            <w:r>
              <w:fldChar w:fldCharType="end"/>
            </w:r>
            <w:r>
              <w:t>)</w:t>
            </w:r>
          </w:p>
        </w:tc>
      </w:tr>
      <w:tr w:rsidR="0010631D" w:rsidTr="0010631D">
        <w:trPr>
          <w:trHeight w:val="137"/>
        </w:trPr>
        <w:tc>
          <w:tcPr>
            <w:tcW w:w="1525" w:type="dxa"/>
          </w:tcPr>
          <w:p w:rsidR="0010631D" w:rsidRDefault="0010631D" w:rsidP="0010631D">
            <w:r>
              <w:t>California (CA)</w:t>
            </w:r>
          </w:p>
        </w:tc>
        <w:tc>
          <w:tcPr>
            <w:tcW w:w="1388" w:type="dxa"/>
          </w:tcPr>
          <w:p w:rsidR="0010631D" w:rsidRDefault="0010631D" w:rsidP="0010631D">
            <w:r>
              <w:t>4</w:t>
            </w:r>
          </w:p>
        </w:tc>
        <w:tc>
          <w:tcPr>
            <w:tcW w:w="1492" w:type="dxa"/>
          </w:tcPr>
          <w:p w:rsidR="0010631D" w:rsidRDefault="0010631D" w:rsidP="0010631D">
            <w:r>
              <w:t>2800</w:t>
            </w:r>
          </w:p>
        </w:tc>
        <w:tc>
          <w:tcPr>
            <w:tcW w:w="1440" w:type="dxa"/>
          </w:tcPr>
          <w:p w:rsidR="0010631D" w:rsidRDefault="0010631D" w:rsidP="0010631D">
            <w:r>
              <w:t xml:space="preserve">33.9 </w:t>
            </w:r>
            <w:r>
              <w:fldChar w:fldCharType="begin"/>
            </w:r>
            <w:r w:rsidR="003B12EE">
              <w:instrText xml:space="preserve"> ADDIN ZOTERO_ITEM CSL_CITATION {"citationID":"1eut9c6qn4","properties":{"formattedCitation":"[7]","plainCitation":"[7]"},"citationItems":[{"id":1968,"uris":["http://zotero.org/users/1200139/items/67G6INWU"],"uri":["http://zotero.org/users/1200139/items/67G6INWU"],"itemData":{"id":1968,"type":"webpage","title":"Total System Power","container-title":"Energy Almanac","URL":"http://energyalmanac.ca.gov/electricity/total_system_power.html","author":[{"literal":"California Energy Comission"}],"issued":{"date-parts":[["2015"]],"season":"Seot"},"accessed":{"date-parts":[["2015",9,21]]}}}],"schema":"https://github.com/citation-style-language/schema/raw/master/csl-citation.json"} </w:instrText>
            </w:r>
            <w:r>
              <w:fldChar w:fldCharType="separate"/>
            </w:r>
            <w:r w:rsidR="003B12EE" w:rsidRPr="003B12EE">
              <w:rPr>
                <w:rFonts w:ascii="Calibri" w:hAnsi="Calibri"/>
              </w:rPr>
              <w:t>[7]</w:t>
            </w:r>
            <w:r>
              <w:fldChar w:fldCharType="end"/>
            </w:r>
            <w:r>
              <w:t xml:space="preserve"> </w:t>
            </w:r>
          </w:p>
        </w:tc>
        <w:tc>
          <w:tcPr>
            <w:tcW w:w="1710" w:type="dxa"/>
          </w:tcPr>
          <w:p w:rsidR="0010631D" w:rsidRDefault="0010631D" w:rsidP="0010631D">
            <w:r>
              <w:t xml:space="preserve">2800 </w:t>
            </w:r>
            <w:r>
              <w:fldChar w:fldCharType="begin"/>
            </w:r>
            <w:r w:rsidR="003B12EE">
              <w:instrText xml:space="preserve"> ADDIN ZOTERO_ITEM CSL_CITATION {"citationID":"oc1v21h4s","properties":{"formattedCitation":"[9]","plainCitation":"[9]"},"citationItems":[{"id":2063,"uris":["http://zotero.org/users/1200139/items/IFP3XUK6"],"uri":["http://zotero.org/users/1200139/items/IFP3XUK6"],"itemData":{"id":2063,"type":"report","title":"California Greenhouse Gas Emission Inventory: 2000-2013","collection-title":"California GHG Emissions Inventory","publisher":"California Environmental Protection Agency: Air Resources Board","number":"2015 Edition","author":[{"literal":"California EPA"}],"issued":{"date-parts":[["2015",6,16]]}}}],"schema":"https://github.com/citation-style-language/schema/raw/master/csl-citation.json"} </w:instrText>
            </w:r>
            <w:r>
              <w:fldChar w:fldCharType="separate"/>
            </w:r>
            <w:r w:rsidR="003B12EE" w:rsidRPr="003B12EE">
              <w:rPr>
                <w:rFonts w:ascii="Calibri" w:hAnsi="Calibri"/>
              </w:rPr>
              <w:t>[9]</w:t>
            </w:r>
            <w:r>
              <w:fldChar w:fldCharType="end"/>
            </w:r>
          </w:p>
        </w:tc>
        <w:tc>
          <w:tcPr>
            <w:tcW w:w="1795" w:type="dxa"/>
          </w:tcPr>
          <w:p w:rsidR="0010631D" w:rsidRPr="00395E26" w:rsidRDefault="0010631D" w:rsidP="0010631D">
            <w:r>
              <w:t xml:space="preserve">8.1% </w:t>
            </w:r>
            <w:r>
              <w:fldChar w:fldCharType="begin"/>
            </w:r>
            <w:r w:rsidR="003B12EE">
              <w:instrText xml:space="preserve"> ADDIN ZOTERO_ITEM CSL_CITATION {"citationID":"ui8hubvud","properties":{"formattedCitation":"[7]","plainCitation":"[7]"},"citationItems":[{"id":1968,"uris":["http://zotero.org/users/1200139/items/67G6INWU"],"uri":["http://zotero.org/users/1200139/items/67G6INWU"],"itemData":{"id":1968,"type":"webpage","title":"Total System Power","container-title":"Energy Almanac","URL":"http://energyalmanac.ca.gov/electricity/total_system_power.html","author":[{"literal":"California Energy Comission"}],"issued":{"date-parts":[["2015"]],"season":"Seot"},"accessed":{"date-parts":[["2015",9,21]]}}}],"schema":"https://github.com/citation-style-language/schema/raw/master/csl-citation.json"} </w:instrText>
            </w:r>
            <w:r>
              <w:fldChar w:fldCharType="separate"/>
            </w:r>
            <w:r w:rsidR="003B12EE" w:rsidRPr="003B12EE">
              <w:rPr>
                <w:rFonts w:ascii="Calibri" w:hAnsi="Calibri"/>
              </w:rPr>
              <w:t>[7]</w:t>
            </w:r>
            <w:r>
              <w:fldChar w:fldCharType="end"/>
            </w:r>
          </w:p>
        </w:tc>
      </w:tr>
      <w:tr w:rsidR="0010631D" w:rsidTr="0010631D">
        <w:trPr>
          <w:trHeight w:val="512"/>
        </w:trPr>
        <w:tc>
          <w:tcPr>
            <w:tcW w:w="1525" w:type="dxa"/>
          </w:tcPr>
          <w:p w:rsidR="0010631D" w:rsidRDefault="0010631D" w:rsidP="0010631D">
            <w:r>
              <w:t xml:space="preserve">Canada </w:t>
            </w:r>
            <w:r>
              <w:br/>
              <w:t>(excluding AB)</w:t>
            </w:r>
          </w:p>
        </w:tc>
        <w:tc>
          <w:tcPr>
            <w:tcW w:w="1388" w:type="dxa"/>
          </w:tcPr>
          <w:p w:rsidR="0010631D" w:rsidRDefault="0010631D" w:rsidP="0010631D">
            <w:r>
              <w:t>5</w:t>
            </w:r>
          </w:p>
        </w:tc>
        <w:tc>
          <w:tcPr>
            <w:tcW w:w="1492" w:type="dxa"/>
          </w:tcPr>
          <w:p w:rsidR="0010631D" w:rsidRDefault="0010631D" w:rsidP="0010631D">
            <w:r>
              <w:t>4000</w:t>
            </w:r>
          </w:p>
        </w:tc>
        <w:tc>
          <w:tcPr>
            <w:tcW w:w="1440" w:type="dxa"/>
          </w:tcPr>
          <w:p w:rsidR="0010631D" w:rsidRDefault="0010631D" w:rsidP="0010631D">
            <w:r>
              <w:t xml:space="preserve">62.8 = 71.6 </w:t>
            </w:r>
            <w:r>
              <w:fldChar w:fldCharType="begin"/>
            </w:r>
            <w:r w:rsidR="003B12EE">
              <w:instrText xml:space="preserve"> ADDIN ZOTERO_ITEM CSL_CITATION {"citationID":"lrnd2te7a","properties":{"formattedCitation":"[10]","plainCitation":"[10]"},"citationItems":[{"id":1974,"uris":["http://zotero.org/users/1200139/items/ZS6MWT97"],"uri":["http://zotero.org/users/1200139/items/ZS6MWT97"],"itemData":{"id":1974,"type":"webpage","title":"Electricity Generation","container-title":"National Energy Board","abstract":"Electricity Generation","URL":"https://www.neb-one.gc.ca/nrg/ntgrtd/ftr/2013/ppndcs/pxlctrctgnrtn-eng.html","language":"eng","author":[{"literal":"NEB"}],"issued":{"date-parts":[["2015",9,16]]},"accessed":{"date-parts":[["2015",9,21]]}}}],"schema":"https://github.com/citation-style-language/schema/raw/master/csl-citation.json"} </w:instrText>
            </w:r>
            <w:r>
              <w:fldChar w:fldCharType="separate"/>
            </w:r>
            <w:r w:rsidR="003B12EE" w:rsidRPr="003B12EE">
              <w:rPr>
                <w:rFonts w:ascii="Calibri" w:hAnsi="Calibri"/>
              </w:rPr>
              <w:t>[10]</w:t>
            </w:r>
            <w:r>
              <w:fldChar w:fldCharType="end"/>
            </w:r>
            <w:r>
              <w:t xml:space="preserve"> - 8.8 </w:t>
            </w:r>
            <w:r>
              <w:fldChar w:fldCharType="begin"/>
            </w:r>
            <w:r>
              <w:instrText xml:space="preserve"> ADDIN ZOTERO_ITEM CSL_CITATION {"citationID":"XQ3NNH9v","properties":{"formattedCitation":"[4]","plainCitation":"[4]"},"citationItems":[{"id":1927,"uris":["http://zotero.org/users/1200139/items/8H9QSSWI"],"uri":["http://zotero.org/users/1200139/items/8H9QSSWI"],"itemData":{"id":1927,"type":"report","title":"AESO 2014 Long-term Outlook","publisher":"Alberta Electric System Operator","author":[{"literal":"AESO"}],"issued":{"date-parts":[["2014"]]}}}],"schema":"https://github.com/citation-style-language/schema/raw/master/csl-citation.json"} </w:instrText>
            </w:r>
            <w:r>
              <w:fldChar w:fldCharType="separate"/>
            </w:r>
            <w:r w:rsidRPr="00BD005A">
              <w:rPr>
                <w:rFonts w:ascii="Calibri" w:hAnsi="Calibri"/>
              </w:rPr>
              <w:t>[4]</w:t>
            </w:r>
            <w:r>
              <w:fldChar w:fldCharType="end"/>
            </w:r>
            <w:r>
              <w:t xml:space="preserve"> </w:t>
            </w:r>
          </w:p>
        </w:tc>
        <w:tc>
          <w:tcPr>
            <w:tcW w:w="1710" w:type="dxa"/>
          </w:tcPr>
          <w:p w:rsidR="0010631D" w:rsidRDefault="0010631D" w:rsidP="0010631D">
            <w:r>
              <w:t xml:space="preserve">585 </w:t>
            </w:r>
            <w:r>
              <w:fldChar w:fldCharType="begin"/>
            </w:r>
            <w:r>
              <w:instrText xml:space="preserve"> ADDIN ZOTERO_ITEM CSL_CITATION {"citationID":"2a77au5lt","properties":{"formattedCitation":"[5]","plainCitation":"[5]"},"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fldChar w:fldCharType="separate"/>
            </w:r>
            <w:r w:rsidRPr="00BD005A">
              <w:rPr>
                <w:rFonts w:ascii="Calibri" w:hAnsi="Calibri"/>
              </w:rPr>
              <w:t>[5]</w:t>
            </w:r>
            <w:r>
              <w:fldChar w:fldCharType="end"/>
            </w:r>
          </w:p>
        </w:tc>
        <w:tc>
          <w:tcPr>
            <w:tcW w:w="1795" w:type="dxa"/>
          </w:tcPr>
          <w:p w:rsidR="0010631D" w:rsidRPr="00395E26" w:rsidRDefault="0010631D" w:rsidP="0010631D">
            <w:r>
              <w:t xml:space="preserve">0.8% (1.6% including AB  </w:t>
            </w:r>
            <w:r>
              <w:fldChar w:fldCharType="begin"/>
            </w:r>
            <w:r w:rsidR="003B12EE">
              <w:instrText xml:space="preserve"> ADDIN ZOTERO_ITEM CSL_CITATION {"citationID":"3VVyUpm3","properties":{"formattedCitation":"[10]","plainCitation":"[10]"},"citationItems":[{"id":1974,"uris":["http://zotero.org/users/1200139/items/ZS6MWT97"],"uri":["http://zotero.org/users/1200139/items/ZS6MWT97"],"itemData":{"id":1974,"type":"webpage","title":"Electricity Generation","container-title":"National Energy Board","abstract":"Electricity Generation","URL":"https://www.neb-one.gc.ca/nrg/ntgrtd/ftr/2013/ppndcs/pxlctrctgnrtn-eng.html","language":"eng","author":[{"literal":"NEB"}],"issued":{"date-parts":[["2015",9,16]]},"accessed":{"date-parts":[["2015",9,21]]}}}],"schema":"https://github.com/citation-style-language/schema/raw/master/csl-citation.json"} </w:instrText>
            </w:r>
            <w:r>
              <w:fldChar w:fldCharType="separate"/>
            </w:r>
            <w:r w:rsidR="003B12EE" w:rsidRPr="003B12EE">
              <w:rPr>
                <w:rFonts w:ascii="Calibri" w:hAnsi="Calibri"/>
              </w:rPr>
              <w:t>[10]</w:t>
            </w:r>
            <w:r>
              <w:fldChar w:fldCharType="end"/>
            </w:r>
            <w:r>
              <w:t>)</w:t>
            </w:r>
          </w:p>
        </w:tc>
      </w:tr>
    </w:tbl>
    <w:p w:rsidR="0010631D" w:rsidRDefault="0010631D" w:rsidP="002E76BB">
      <w:pPr>
        <w:rPr>
          <w:i/>
        </w:rPr>
      </w:pPr>
    </w:p>
    <w:p w:rsidR="00A50D8A" w:rsidRDefault="00A50D8A" w:rsidP="008707C0">
      <w:pPr>
        <w:pStyle w:val="Heading2"/>
      </w:pPr>
      <w:r>
        <w:t>Transmission</w:t>
      </w:r>
    </w:p>
    <w:p w:rsidR="00D13C40" w:rsidRDefault="00A50D8A" w:rsidP="002E76BB">
      <w:r>
        <w:t>D</w:t>
      </w:r>
      <w:r w:rsidR="00F57425">
        <w:t>elucci and Jacobson’s estimate the cost of high-voltage, l</w:t>
      </w:r>
      <w:r w:rsidR="00ED0AAA">
        <w:t xml:space="preserve">ong-distance power transmission to be </w:t>
      </w:r>
      <w:r>
        <w:t>$372$/MW/km</w:t>
      </w:r>
      <w:r w:rsidR="00D13C40">
        <w:t xml:space="preserve"> </w:t>
      </w:r>
      <w:r w:rsidR="00D13C40">
        <w:fldChar w:fldCharType="begin"/>
      </w:r>
      <w:r w:rsidR="003B12EE">
        <w:instrText xml:space="preserve"> ADDIN ZOTERO_ITEM CSL_CITATION {"citationID":"198otj6gvq","properties":{"formattedCitation":"[11]","plainCitation":"[11]"},"citationItems":[{"id":1882,"uris":["http://zotero.org/users/1200139/items/VAIP7BTT"],"uri":["http://zotero.org/users/1200139/items/VAIP7BTT"],"itemData":{"id":1882,"type":"article-journal","title":"Providing all global energy with wind, water, and solar power, Part II: Reliability, system and transmission costs, and policies","container-title":"Energy Policy","page":"1170–1190","volume":"39","issue":"3","source":"Google Scholar","shortTitle":"Providing all global energy with wind, water, and solar power, Part II","author":[{"family":"Delucchi","given":"Mark A."},{"family":"Jacobson","given":"Mark Z."}],"issued":{"date-parts":[["2011"]]}}}],"schema":"https://github.com/citation-style-language/schema/raw/master/csl-citation.json"} </w:instrText>
      </w:r>
      <w:r w:rsidR="00D13C40">
        <w:fldChar w:fldCharType="separate"/>
      </w:r>
      <w:r w:rsidR="003B12EE" w:rsidRPr="003B12EE">
        <w:rPr>
          <w:rFonts w:ascii="Calibri" w:hAnsi="Calibri"/>
        </w:rPr>
        <w:t>[11]</w:t>
      </w:r>
      <w:r w:rsidR="00D13C40">
        <w:fldChar w:fldCharType="end"/>
      </w:r>
      <w:r>
        <w:t xml:space="preserve">.  </w:t>
      </w:r>
      <w:r w:rsidR="00ED0AAA">
        <w:t>However, l</w:t>
      </w:r>
      <w:r>
        <w:t>ong transmission lines that are not grid-connected can pose serious issues if they are ever interrupted as there is no met</w:t>
      </w:r>
      <w:r w:rsidR="00ED0AAA">
        <w:t xml:space="preserve">hod for the power to dissipate. </w:t>
      </w:r>
      <w:r w:rsidR="00DB4819">
        <w:t>T</w:t>
      </w:r>
      <w:r w:rsidR="00ED0AAA">
        <w:t xml:space="preserve">he </w:t>
      </w:r>
      <w:r w:rsidR="00D13C40">
        <w:t>model</w:t>
      </w:r>
      <w:r w:rsidR="00ED0AAA">
        <w:t>ling tool</w:t>
      </w:r>
      <w:r w:rsidR="00D13C40">
        <w:t xml:space="preserve"> </w:t>
      </w:r>
      <w:r w:rsidR="00F57425">
        <w:t xml:space="preserve">has a variable to allow </w:t>
      </w:r>
      <w:r w:rsidR="00DB4819">
        <w:t xml:space="preserve">lines to be in duplicate, </w:t>
      </w:r>
      <w:r w:rsidR="00165741">
        <w:t>but</w:t>
      </w:r>
      <w:r w:rsidR="00D13C40">
        <w:t xml:space="preserve"> </w:t>
      </w:r>
      <w:r w:rsidR="00DB4819">
        <w:t>the</w:t>
      </w:r>
      <w:r w:rsidR="00F57425">
        <w:t xml:space="preserve"> presented analysis does not include transmission duplication.</w:t>
      </w:r>
      <w:r w:rsidR="00ED0AAA">
        <w:t xml:space="preserve"> Costs and emissions from transmission line construction and transmission losses are left to a future version of the model.</w:t>
      </w:r>
    </w:p>
    <w:p w:rsidR="00A50D8A" w:rsidRDefault="00D13C40" w:rsidP="002E76BB">
      <w:r>
        <w:t xml:space="preserve">Transmission stations are expected to have a lifetime of approximately 30 years, </w:t>
      </w:r>
      <w:r w:rsidR="00ED0AAA">
        <w:t>and</w:t>
      </w:r>
      <w:r>
        <w:t xml:space="preserve"> transmission towers and lines may last for 50-70 years </w:t>
      </w:r>
      <w:r>
        <w:fldChar w:fldCharType="begin"/>
      </w:r>
      <w:r w:rsidR="003B12EE">
        <w:instrText xml:space="preserve"> ADDIN ZOTERO_ITEM CSL_CITATION {"citationID":"2j6c07t59f","properties":{"formattedCitation":"[11]","plainCitation":"[11]"},"citationItems":[{"id":1882,"uris":["http://zotero.org/users/1200139/items/VAIP7BTT"],"uri":["http://zotero.org/users/1200139/items/VAIP7BTT"],"itemData":{"id":1882,"type":"article-journal","title":"Providing all global energy with wind, water, and solar power, Part II: Reliability, system and transmission costs, and policies","container-title":"Energy Policy","page":"1170–1190","volume":"39","issue":"3","source":"Google Scholar","shortTitle":"Providing all global energy with wind, water, and solar power, Part II","author":[{"family":"Delucchi","given":"Mark A."},{"family":"Jacobson","given":"Mark Z."}],"issued":{"date-parts":[["2011"]]}}}],"schema":"https://github.com/citation-style-language/schema/raw/master/csl-citation.json"} </w:instrText>
      </w:r>
      <w:r>
        <w:fldChar w:fldCharType="separate"/>
      </w:r>
      <w:r w:rsidR="003B12EE" w:rsidRPr="003B12EE">
        <w:rPr>
          <w:rFonts w:ascii="Calibri" w:hAnsi="Calibri"/>
        </w:rPr>
        <w:t>[11]</w:t>
      </w:r>
      <w:r>
        <w:fldChar w:fldCharType="end"/>
      </w:r>
      <w:r>
        <w:t>. The</w:t>
      </w:r>
      <w:r w:rsidR="00ED0AAA">
        <w:t xml:space="preserve"> </w:t>
      </w:r>
      <w:r w:rsidR="00F57425">
        <w:t>first-order model</w:t>
      </w:r>
      <w:r>
        <w:t xml:space="preserve"> assumed </w:t>
      </w:r>
      <w:r w:rsidR="00ED0AAA">
        <w:t xml:space="preserve">all transmission components </w:t>
      </w:r>
      <w:r>
        <w:t xml:space="preserve">last for the </w:t>
      </w:r>
      <w:r w:rsidR="00DB4819">
        <w:t xml:space="preserve">entire </w:t>
      </w:r>
      <w:r>
        <w:t xml:space="preserve">40 year modelling window.  </w:t>
      </w:r>
    </w:p>
    <w:p w:rsidR="00A50D8A" w:rsidRDefault="00A50D8A" w:rsidP="008707C0">
      <w:pPr>
        <w:pStyle w:val="Heading2"/>
      </w:pPr>
      <w:r>
        <w:t>Cost of Wind</w:t>
      </w:r>
      <w:r w:rsidR="00775C66">
        <w:t xml:space="preserve"> Turbines</w:t>
      </w:r>
    </w:p>
    <w:p w:rsidR="00A50D8A" w:rsidRDefault="00A50D8A" w:rsidP="002E76BB">
      <w:r>
        <w:t xml:space="preserve">We modeled the upfront </w:t>
      </w:r>
      <w:r w:rsidR="00DB4819">
        <w:t>costs of wind generation as US$2</w:t>
      </w:r>
      <w:r>
        <w:t>/W</w:t>
      </w:r>
      <w:r w:rsidR="00DB4819">
        <w:t xml:space="preserve"> of nameplate capacity</w:t>
      </w:r>
      <w:r w:rsidR="00ED4CCE">
        <w:t xml:space="preserve"> </w:t>
      </w:r>
      <w:r w:rsidR="00ED4CCE" w:rsidRPr="007C7711">
        <w:rPr>
          <w:highlight w:val="yellow"/>
        </w:rPr>
        <w:t>[</w:t>
      </w:r>
      <w:r w:rsidR="007C7711" w:rsidRPr="007C7711">
        <w:rPr>
          <w:highlight w:val="yellow"/>
        </w:rPr>
        <w:t>S.D. Johnson, E.J. Moyer. Energy Policy 49 (2012) p.509</w:t>
      </w:r>
      <w:r w:rsidR="00ED4CCE" w:rsidRPr="007C7711">
        <w:rPr>
          <w:highlight w:val="yellow"/>
        </w:rPr>
        <w:t>]</w:t>
      </w:r>
      <w:r>
        <w:t>,</w:t>
      </w:r>
      <w:r w:rsidR="00DB4819">
        <w:t xml:space="preserve"> and assumed that the required annual maintenance was</w:t>
      </w:r>
      <w:r>
        <w:t xml:space="preserve"> 5%</w:t>
      </w:r>
      <w:r w:rsidR="00DB4819">
        <w:t xml:space="preserve"> of the capital costs</w:t>
      </w:r>
      <w:r w:rsidR="00ED4CCE">
        <w:t xml:space="preserve"> </w:t>
      </w:r>
      <w:r w:rsidR="00ED4CCE" w:rsidRPr="008C6E2F">
        <w:rPr>
          <w:highlight w:val="yellow"/>
        </w:rPr>
        <w:t>[</w:t>
      </w:r>
      <w:r w:rsidR="008C6E2F" w:rsidRPr="008C6E2F">
        <w:rPr>
          <w:highlight w:val="yellow"/>
        </w:rPr>
        <w:t>M.I. Blanco. Renewable and Sustainable Energy Reviews 13 (2009) p.1375</w:t>
      </w:r>
      <w:r w:rsidR="00ED4CCE" w:rsidRPr="008C6E2F">
        <w:rPr>
          <w:highlight w:val="yellow"/>
        </w:rPr>
        <w:t>]</w:t>
      </w:r>
      <w:r w:rsidR="00ED4CCE">
        <w:t xml:space="preserve">, and that the life expectancy of a turbine was 20 years </w:t>
      </w:r>
      <w:r w:rsidR="00BF1AC7" w:rsidRPr="00BF1AC7">
        <w:rPr>
          <w:highlight w:val="yellow"/>
        </w:rPr>
        <w:t>[D. Nugent, B.K. Sovacool. Energy Policy 65 (2014) p.239]</w:t>
      </w:r>
      <w:r w:rsidR="00D13C40">
        <w:t xml:space="preserve">. </w:t>
      </w:r>
    </w:p>
    <w:p w:rsidR="00DB4819" w:rsidRDefault="00DB4819" w:rsidP="008707C0">
      <w:pPr>
        <w:pStyle w:val="Heading2"/>
      </w:pPr>
      <w:r>
        <w:t>Capacity Factor</w:t>
      </w:r>
    </w:p>
    <w:p w:rsidR="006B749A" w:rsidRDefault="00D35647" w:rsidP="00DB4819">
      <w:r>
        <w:t>RETScreen was used for its extensive wind turbine database</w:t>
      </w:r>
      <w:r w:rsidR="00FD05D9">
        <w:t xml:space="preserve"> </w:t>
      </w:r>
      <w:r w:rsidR="00FD05D9">
        <w:fldChar w:fldCharType="begin"/>
      </w:r>
      <w:r w:rsidR="00BD005A">
        <w:instrText xml:space="preserve"> ADDIN ZOTERO_ITEM CSL_CITATION {"citationID":"1fm2h49nna","properties":{"formattedCitation":"[5]","plainCitation":"[5]"},"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rsidR="00FD05D9">
        <w:fldChar w:fldCharType="separate"/>
      </w:r>
      <w:r w:rsidR="00BD005A" w:rsidRPr="00BD005A">
        <w:rPr>
          <w:rFonts w:ascii="Calibri" w:hAnsi="Calibri"/>
        </w:rPr>
        <w:t>[5]</w:t>
      </w:r>
      <w:r w:rsidR="00FD05D9">
        <w:fldChar w:fldCharType="end"/>
      </w:r>
      <w:r>
        <w:t xml:space="preserve">. Capacity factor numbers were based on Repower’s 5MW, 117m turbine. </w:t>
      </w:r>
      <w:r w:rsidR="00FD05D9">
        <w:t>Using a wind</w:t>
      </w:r>
      <w:r>
        <w:t xml:space="preserve"> shear exponent of 0.2,</w:t>
      </w:r>
      <w:r w:rsidR="00FD05D9">
        <w:t xml:space="preserve"> the average found by Schwartz and Elliot </w:t>
      </w:r>
      <w:r w:rsidR="00FD05D9">
        <w:fldChar w:fldCharType="begin"/>
      </w:r>
      <w:r w:rsidR="003B12EE">
        <w:instrText xml:space="preserve"> ADDIN ZOTERO_ITEM CSL_CITATION {"citationID":"26upe4pgsu","properties":{"formattedCitation":"[12]","plainCitation":"[12]"},"citationItems":[{"id":2050,"uris":["http://zotero.org/users/1200139/items/PCCQW3WW"],"uri":["http://zotero.org/users/1200139/items/PCCQW3WW"],"itemData":{"id":2050,"type":"paper-conference","title":"Wind shear characteristics at central plains tall towers","publisher":"National Renewable Energy Laboratory","source":"Google Scholar","event":"American Wind Energy Association WindPower 2006 Conference","URL":"http://www.mapcruzin.com/wind-power-publications/wind-issues/40019.pdf","author":[{"family":"Schwartz","given":"Marc N."},{"family":"Elliott","given":"Dennis L."}],"issued":{"date-parts":[["2006"]]},"accessed":{"date-parts":[["2015",11,10]]}}}],"schema":"https://github.com/citation-style-language/schema/raw/master/csl-citation.json"} </w:instrText>
      </w:r>
      <w:r w:rsidR="00FD05D9">
        <w:fldChar w:fldCharType="separate"/>
      </w:r>
      <w:r w:rsidR="003B12EE" w:rsidRPr="003B12EE">
        <w:rPr>
          <w:rFonts w:ascii="Calibri" w:hAnsi="Calibri"/>
        </w:rPr>
        <w:t>[12]</w:t>
      </w:r>
      <w:r w:rsidR="00FD05D9">
        <w:fldChar w:fldCharType="end"/>
      </w:r>
      <w:r w:rsidR="00FD05D9">
        <w:t>,</w:t>
      </w:r>
      <w:r>
        <w:t xml:space="preserve"> the capacity factor was </w:t>
      </w:r>
      <w:r w:rsidR="00775C66">
        <w:t>determined</w:t>
      </w:r>
      <w:r>
        <w:t xml:space="preserve"> based on an average annual wind speed</w:t>
      </w:r>
      <w:r w:rsidR="0025081E">
        <w:t xml:space="preserve"> </w:t>
      </w:r>
      <w:r w:rsidR="00F57425">
        <w:t>at Fort McMurray airport</w:t>
      </w:r>
      <w:r w:rsidR="00775C66">
        <w:t xml:space="preserve"> (2.7m/s)</w:t>
      </w:r>
      <w:r w:rsidR="0025081E">
        <w:t xml:space="preserve"> </w:t>
      </w:r>
      <w:r w:rsidR="00775C66">
        <w:t xml:space="preserve">to be 8.9% </w:t>
      </w:r>
      <w:r w:rsidR="00775C66">
        <w:fldChar w:fldCharType="begin"/>
      </w:r>
      <w:r w:rsidR="003B12EE">
        <w:instrText xml:space="preserve"> ADDIN ZOTERO_ITEM CSL_CITATION {"citationID":"RivRxJnR","properties":{"formattedCitation":"[5]","plainCitation":"[5]"},"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rsidR="00775C66">
        <w:fldChar w:fldCharType="separate"/>
      </w:r>
      <w:r w:rsidR="00775C66" w:rsidRPr="00BD005A">
        <w:rPr>
          <w:rFonts w:ascii="Calibri" w:hAnsi="Calibri"/>
        </w:rPr>
        <w:t>[5]</w:t>
      </w:r>
      <w:r w:rsidR="00775C66">
        <w:fldChar w:fldCharType="end"/>
      </w:r>
      <w:r w:rsidR="00775C66">
        <w:t xml:space="preserve"> </w:t>
      </w:r>
      <w:r>
        <w:t xml:space="preserve">. </w:t>
      </w:r>
    </w:p>
    <w:p w:rsidR="00582CE4" w:rsidRDefault="00582CE4" w:rsidP="008707C0">
      <w:pPr>
        <w:pStyle w:val="Heading2"/>
      </w:pPr>
      <w:r>
        <w:t>Performance Metrics</w:t>
      </w:r>
    </w:p>
    <w:p w:rsidR="00582CE4" w:rsidRDefault="00AF52F6" w:rsidP="00DB4819">
      <w:r>
        <w:t xml:space="preserve">The environmental benefits of the proposed solutions were assessed </w:t>
      </w:r>
      <w:r w:rsidR="006E353D">
        <w:t>as the ratio of GHG emissions from the oil sands compared to the GHG offsets generated by the wind power. This ratio was calculated for the incremental, production</w:t>
      </w:r>
      <w:r w:rsidR="00ED0AAA">
        <w:t>, and total emissions. All three ratios were</w:t>
      </w:r>
      <w:r w:rsidR="006E353D">
        <w:t xml:space="preserve"> evaluated for a given moment in time (</w:t>
      </w:r>
      <w:r w:rsidR="004D7918">
        <w:t>Instantaneous Carbon Ratio (Eq1)</w:t>
      </w:r>
      <w:r w:rsidR="006E353D">
        <w:t xml:space="preserve">) and over the </w:t>
      </w:r>
      <w:r w:rsidR="004D7918">
        <w:t>duration</w:t>
      </w:r>
      <w:r w:rsidR="006E353D">
        <w:t xml:space="preserve"> of </w:t>
      </w:r>
      <w:r w:rsidR="004D7918">
        <w:t>the proposed project (Cumulative Carbon Ratio (Eq2)</w:t>
      </w:r>
      <w:r w:rsidR="006E353D">
        <w:t>) (</w:t>
      </w:r>
      <w:r w:rsidR="006E353D">
        <w:fldChar w:fldCharType="begin"/>
      </w:r>
      <w:r w:rsidR="006E353D">
        <w:instrText xml:space="preserve"> REF _Ref435096693 \h </w:instrText>
      </w:r>
      <w:r w:rsidR="006E353D">
        <w:fldChar w:fldCharType="separate"/>
      </w:r>
      <w:r w:rsidR="008707C0">
        <w:t xml:space="preserve">Table </w:t>
      </w:r>
      <w:r w:rsidR="008707C0">
        <w:rPr>
          <w:noProof/>
        </w:rPr>
        <w:t>2</w:t>
      </w:r>
      <w:r w:rsidR="006E353D">
        <w:fldChar w:fldCharType="end"/>
      </w:r>
      <w:r w:rsidR="006E353D">
        <w:t>).</w:t>
      </w:r>
    </w:p>
    <w:p w:rsidR="00D9712E" w:rsidRDefault="004D7918" w:rsidP="00DB4819">
      <m:oMath>
        <m:r>
          <m:rPr>
            <m:nor/>
          </m:rPr>
          <w:rPr>
            <w:rFonts w:ascii="Cambria Math" w:hAnsi="Cambria Math"/>
          </w:rPr>
          <m:t>Instantaneous Carbon Ratio</m:t>
        </m:r>
        <m:r>
          <w:rPr>
            <w:rFonts w:ascii="Cambria Math" w:hAnsi="Cambria Math"/>
          </w:rPr>
          <m:t xml:space="preserve">= </m:t>
        </m:r>
        <m:f>
          <m:fPr>
            <m:ctrlPr>
              <w:rPr>
                <w:rFonts w:ascii="Cambria Math" w:hAnsi="Cambria Math"/>
                <w:i/>
              </w:rPr>
            </m:ctrlPr>
          </m:fPr>
          <m:num>
            <m:r>
              <m:rPr>
                <m:nor/>
              </m:rPr>
              <w:rPr>
                <w:rFonts w:ascii="Cambria Math" w:hAnsi="Cambria Math"/>
              </w:rPr>
              <m:t>Rate of GHG-emission offsets from wind power</m:t>
            </m:r>
          </m:num>
          <m:den>
            <m:r>
              <m:rPr>
                <m:nor/>
              </m:rPr>
              <w:rPr>
                <w:rFonts w:ascii="Cambria Math" w:hAnsi="Cambria Math"/>
              </w:rPr>
              <m:t>Rate of GHG emissions from the oil sands</m:t>
            </m:r>
          </m:den>
        </m:f>
      </m:oMath>
      <w:r w:rsidR="00D9712E">
        <w:tab/>
      </w:r>
      <w:r w:rsidR="00D9712E">
        <w:tab/>
      </w:r>
      <w:r w:rsidR="00D9712E">
        <w:tab/>
      </w:r>
      <w:r w:rsidR="00D9712E">
        <w:tab/>
        <w:t>(1)</w:t>
      </w:r>
    </w:p>
    <w:p w:rsidR="00D9712E" w:rsidRDefault="004D7918" w:rsidP="00D9712E">
      <m:oMath>
        <m:r>
          <m:rPr>
            <m:nor/>
          </m:rPr>
          <w:rPr>
            <w:rFonts w:ascii="Cambria Math" w:hAnsi="Cambria Math"/>
          </w:rPr>
          <w:lastRenderedPageBreak/>
          <m:t>Cumulative Carbon Ratio</m:t>
        </m:r>
        <m:r>
          <w:rPr>
            <w:rFonts w:ascii="Cambria Math" w:hAnsi="Cambria Math"/>
          </w:rPr>
          <m:t xml:space="preserve">(t)= </m:t>
        </m:r>
        <m:f>
          <m:fPr>
            <m:ctrlPr>
              <w:rPr>
                <w:rFonts w:ascii="Cambria Math" w:hAnsi="Cambria Math"/>
                <w:i/>
              </w:rPr>
            </m:ctrlPr>
          </m:fPr>
          <m:num>
            <m:r>
              <m:rPr>
                <m:nor/>
              </m:rPr>
              <w:rPr>
                <w:rFonts w:ascii="Cambria Math" w:hAnsi="Cambria Math"/>
              </w:rPr>
              <m:t>1</m:t>
            </m:r>
          </m:num>
          <m:den>
            <m:r>
              <m:rPr>
                <m:nor/>
              </m:rP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r>
                  <m:rPr>
                    <m:nor/>
                  </m:rPr>
                  <w:rPr>
                    <w:rFonts w:ascii="Cambria Math" w:hAnsi="Cambria Math"/>
                  </w:rPr>
                  <m:t>Instantaneous Carbon Ratio</m:t>
                </m:r>
              </m:e>
            </m:d>
            <m:r>
              <w:rPr>
                <w:rFonts w:ascii="Cambria Math" w:hAnsi="Cambria Math"/>
              </w:rPr>
              <m:t>dt</m:t>
            </m:r>
          </m:e>
        </m:nary>
      </m:oMath>
      <w:r>
        <w:tab/>
      </w:r>
      <w:r>
        <w:tab/>
      </w:r>
      <w:r w:rsidR="00D9712E">
        <w:tab/>
      </w:r>
      <w:r w:rsidR="00D9712E">
        <w:tab/>
      </w:r>
      <w:r>
        <w:t>(2</w:t>
      </w:r>
      <w:r w:rsidR="00D9712E">
        <w:t>)</w:t>
      </w:r>
    </w:p>
    <w:p w:rsidR="00D9712E" w:rsidRDefault="00D9712E" w:rsidP="00DB4819"/>
    <w:p w:rsidR="006E353D" w:rsidRDefault="006E353D" w:rsidP="006E353D">
      <w:pPr>
        <w:pStyle w:val="Caption"/>
        <w:keepNext/>
      </w:pPr>
      <w:bookmarkStart w:id="2" w:name="_Ref435096693"/>
      <w:r>
        <w:t xml:space="preserve">Table </w:t>
      </w:r>
      <w:fldSimple w:instr=" SEQ Table \* ARABIC ">
        <w:r w:rsidR="008707C0">
          <w:rPr>
            <w:noProof/>
          </w:rPr>
          <w:t>2</w:t>
        </w:r>
      </w:fldSimple>
      <w:bookmarkEnd w:id="2"/>
      <w:r>
        <w:t>: Performance Metrics</w:t>
      </w:r>
    </w:p>
    <w:tbl>
      <w:tblPr>
        <w:tblStyle w:val="TableGrid"/>
        <w:tblW w:w="0" w:type="auto"/>
        <w:tblLook w:val="04A0" w:firstRow="1" w:lastRow="0" w:firstColumn="1" w:lastColumn="0" w:noHBand="0" w:noVBand="1"/>
      </w:tblPr>
      <w:tblGrid>
        <w:gridCol w:w="1530"/>
        <w:gridCol w:w="2606"/>
        <w:gridCol w:w="2607"/>
        <w:gridCol w:w="2607"/>
      </w:tblGrid>
      <w:tr w:rsidR="00ED7DBE" w:rsidTr="00ED0AAA">
        <w:tc>
          <w:tcPr>
            <w:tcW w:w="1530" w:type="dxa"/>
            <w:tcBorders>
              <w:top w:val="nil"/>
              <w:left w:val="nil"/>
              <w:bottom w:val="single" w:sz="4" w:space="0" w:color="auto"/>
              <w:right w:val="single" w:sz="4" w:space="0" w:color="auto"/>
            </w:tcBorders>
          </w:tcPr>
          <w:p w:rsidR="00ED7DBE" w:rsidRDefault="00ED7DBE" w:rsidP="00DB4819"/>
        </w:tc>
        <w:tc>
          <w:tcPr>
            <w:tcW w:w="2606" w:type="dxa"/>
            <w:tcBorders>
              <w:top w:val="single" w:sz="4" w:space="0" w:color="auto"/>
              <w:left w:val="single" w:sz="4" w:space="0" w:color="auto"/>
              <w:bottom w:val="single" w:sz="4" w:space="0" w:color="auto"/>
              <w:right w:val="single" w:sz="4" w:space="0" w:color="auto"/>
            </w:tcBorders>
          </w:tcPr>
          <w:p w:rsidR="00ED7DBE" w:rsidRDefault="00ED7DBE" w:rsidP="00DB4819">
            <w:r>
              <w:t>Incremental Emissions</w:t>
            </w:r>
          </w:p>
        </w:tc>
        <w:tc>
          <w:tcPr>
            <w:tcW w:w="2607" w:type="dxa"/>
            <w:tcBorders>
              <w:left w:val="single" w:sz="4" w:space="0" w:color="auto"/>
            </w:tcBorders>
          </w:tcPr>
          <w:p w:rsidR="00ED7DBE" w:rsidRDefault="00ED7DBE" w:rsidP="00DB4819">
            <w:r>
              <w:t>Production Emissions</w:t>
            </w:r>
          </w:p>
        </w:tc>
        <w:tc>
          <w:tcPr>
            <w:tcW w:w="2607" w:type="dxa"/>
          </w:tcPr>
          <w:p w:rsidR="00ED7DBE" w:rsidRDefault="00ED7DBE" w:rsidP="00DB4819">
            <w:r>
              <w:t>Total Emissions</w:t>
            </w:r>
          </w:p>
        </w:tc>
      </w:tr>
      <w:tr w:rsidR="00ED7DBE" w:rsidTr="00ED0AAA">
        <w:trPr>
          <w:trHeight w:val="359"/>
        </w:trPr>
        <w:tc>
          <w:tcPr>
            <w:tcW w:w="1530" w:type="dxa"/>
            <w:tcBorders>
              <w:top w:val="single" w:sz="4" w:space="0" w:color="auto"/>
            </w:tcBorders>
          </w:tcPr>
          <w:p w:rsidR="00ED7DBE" w:rsidRDefault="00ED7DBE" w:rsidP="00DB4819">
            <w:r>
              <w:t>Instantaneous</w:t>
            </w:r>
          </w:p>
        </w:tc>
        <w:tc>
          <w:tcPr>
            <w:tcW w:w="2606" w:type="dxa"/>
            <w:tcBorders>
              <w:top w:val="single" w:sz="4" w:space="0" w:color="auto"/>
            </w:tcBorders>
          </w:tcPr>
          <w:p w:rsidR="00ED7DBE" w:rsidRDefault="00ED7DBE" w:rsidP="00DB4819">
            <w:r>
              <w:t>Incremental Carbon Ratio</w:t>
            </w:r>
          </w:p>
        </w:tc>
        <w:tc>
          <w:tcPr>
            <w:tcW w:w="2607" w:type="dxa"/>
          </w:tcPr>
          <w:p w:rsidR="00ED7DBE" w:rsidRDefault="00ED7DBE" w:rsidP="00DB4819">
            <w:r>
              <w:t>Production Carbon Ratio</w:t>
            </w:r>
          </w:p>
        </w:tc>
        <w:tc>
          <w:tcPr>
            <w:tcW w:w="2607" w:type="dxa"/>
          </w:tcPr>
          <w:p w:rsidR="00ED7DBE" w:rsidRDefault="00ED7DBE" w:rsidP="00DB4819">
            <w:r>
              <w:t>Total Carbon Ratio</w:t>
            </w:r>
          </w:p>
        </w:tc>
      </w:tr>
      <w:tr w:rsidR="00ED7DBE" w:rsidTr="00ED0AAA">
        <w:tc>
          <w:tcPr>
            <w:tcW w:w="1530" w:type="dxa"/>
          </w:tcPr>
          <w:p w:rsidR="00ED7DBE" w:rsidRDefault="00ED7DBE" w:rsidP="00DB4819">
            <w:r>
              <w:t>Cumulative</w:t>
            </w:r>
          </w:p>
        </w:tc>
        <w:tc>
          <w:tcPr>
            <w:tcW w:w="2606" w:type="dxa"/>
          </w:tcPr>
          <w:p w:rsidR="00ED7DBE" w:rsidRDefault="00ED7DBE" w:rsidP="00ED0AAA">
            <w:r>
              <w:t xml:space="preserve">Incremental Cumulative Carbon Ratio </w:t>
            </w:r>
            <w:r w:rsidR="00ED0AAA">
              <w:br/>
            </w:r>
            <w:r>
              <w:t>(Incremental CCR)</w:t>
            </w:r>
          </w:p>
        </w:tc>
        <w:tc>
          <w:tcPr>
            <w:tcW w:w="2607" w:type="dxa"/>
          </w:tcPr>
          <w:p w:rsidR="00ED7DBE" w:rsidRDefault="00ED7DBE" w:rsidP="00ED0AAA">
            <w:r>
              <w:t xml:space="preserve">Production  Cumulative Carbon Ratio </w:t>
            </w:r>
            <w:r w:rsidR="00ED0AAA">
              <w:br/>
            </w:r>
            <w:r>
              <w:t>(Production CCR)</w:t>
            </w:r>
          </w:p>
        </w:tc>
        <w:tc>
          <w:tcPr>
            <w:tcW w:w="2607" w:type="dxa"/>
          </w:tcPr>
          <w:p w:rsidR="00ED7DBE" w:rsidRDefault="00ED7DBE" w:rsidP="00ED0AAA">
            <w:r>
              <w:t xml:space="preserve">Total Cumulative Carbon Ratio </w:t>
            </w:r>
            <w:r w:rsidR="00ED0AAA">
              <w:br/>
            </w:r>
            <w:r>
              <w:t>(Total CCR)</w:t>
            </w:r>
          </w:p>
        </w:tc>
      </w:tr>
    </w:tbl>
    <w:p w:rsidR="00ED7DBE" w:rsidRDefault="00ED7DBE" w:rsidP="00DB4819"/>
    <w:p w:rsidR="00ED7DBE" w:rsidRDefault="00ED7DBE" w:rsidP="00DB4819">
      <w:r w:rsidRPr="006E353D">
        <w:t>The financial viability of the model was assessed by considering two separate funding mechanisms: a</w:t>
      </w:r>
      <w:r w:rsidR="005E772D">
        <w:t xml:space="preserve"> per barrel required investment, </w:t>
      </w:r>
      <w:r w:rsidR="009F623D" w:rsidRPr="006E353D">
        <w:t>used to build wind turbines</w:t>
      </w:r>
      <w:r w:rsidRPr="006E353D">
        <w:t>, and a required reinves</w:t>
      </w:r>
      <w:r w:rsidR="009F623D" w:rsidRPr="006E353D">
        <w:t>tment amount which levies an additional charge per kWh o</w:t>
      </w:r>
      <w:r w:rsidR="00F57425" w:rsidRPr="006E353D">
        <w:t>f</w:t>
      </w:r>
      <w:r w:rsidR="009F623D" w:rsidRPr="006E353D">
        <w:t xml:space="preserve"> generated power to cover </w:t>
      </w:r>
      <w:r w:rsidR="00F57425" w:rsidRPr="006E353D">
        <w:t xml:space="preserve">turbine </w:t>
      </w:r>
      <w:r w:rsidR="009F623D" w:rsidRPr="006E353D">
        <w:t>maintenance and to build additional t</w:t>
      </w:r>
      <w:r w:rsidR="006C4312">
        <w:t xml:space="preserve">urbines. Investment amounts of </w:t>
      </w:r>
      <w:r w:rsidR="009F623D" w:rsidRPr="006E353D">
        <w:t>$</w:t>
      </w:r>
      <w:r w:rsidR="006E353D" w:rsidRPr="006E353D">
        <w:t>3, 10$, and $17</w:t>
      </w:r>
      <w:r w:rsidR="006C4312">
        <w:t>/bbl</w:t>
      </w:r>
      <w:r w:rsidR="009F623D" w:rsidRPr="006E353D">
        <w:t>, and re</w:t>
      </w:r>
      <w:r w:rsidR="006C4312">
        <w:t xml:space="preserve">investment requirement amounts of </w:t>
      </w:r>
      <w:r w:rsidR="009F623D" w:rsidRPr="006E353D">
        <w:t>$0, $0.02, and $0.04/</w:t>
      </w:r>
      <w:r w:rsidR="006C4312">
        <w:t>kWh</w:t>
      </w:r>
      <w:r w:rsidR="004D7918" w:rsidRPr="004D7918">
        <w:rPr>
          <w:vertAlign w:val="subscript"/>
        </w:rPr>
        <w:t>wind</w:t>
      </w:r>
      <w:r w:rsidR="006C4312">
        <w:t xml:space="preserve"> </w:t>
      </w:r>
      <w:r w:rsidR="009F623D" w:rsidRPr="006E353D">
        <w:t>were considered</w:t>
      </w:r>
      <w:r w:rsidR="00775C66" w:rsidRPr="006E353D">
        <w:t>. An investment of $3</w:t>
      </w:r>
      <w:r w:rsidR="009F623D" w:rsidRPr="006E353D">
        <w:t>/bbl is equivalent to the</w:t>
      </w:r>
      <w:r w:rsidR="009F623D" w:rsidRPr="006E353D">
        <w:rPr>
          <w:b/>
          <w:u w:val="single"/>
        </w:rPr>
        <w:t xml:space="preserve"> </w:t>
      </w:r>
      <w:r w:rsidR="009F623D" w:rsidRPr="006E353D">
        <w:t>Alberta</w:t>
      </w:r>
      <w:r w:rsidR="00F7149D" w:rsidRPr="006E353D">
        <w:t>’s 2016</w:t>
      </w:r>
      <w:r w:rsidR="009F623D" w:rsidRPr="006E353D">
        <w:t xml:space="preserve"> carbon tax</w:t>
      </w:r>
      <w:r w:rsidR="00F7149D" w:rsidRPr="006E353D">
        <w:t xml:space="preserve"> </w:t>
      </w:r>
      <w:r w:rsidR="006E353D" w:rsidRPr="006E353D">
        <w:t>(</w:t>
      </w:r>
      <w:r w:rsidR="00F7149D" w:rsidRPr="006E353D">
        <w:t>$20/ton</w:t>
      </w:r>
      <w:r w:rsidR="009F623D" w:rsidRPr="006E353D">
        <w:t xml:space="preserve"> </w:t>
      </w:r>
      <w:r w:rsidR="00F7149D" w:rsidRPr="006E353D">
        <w:fldChar w:fldCharType="begin"/>
      </w:r>
      <w:r w:rsidR="00795D5C" w:rsidRPr="006E353D">
        <w:instrText xml:space="preserve"> ADDIN ZOTERO_ITEM CSL_CITATION {"citationID":"507qkl02i","properties":{"formattedCitation":"[1]","plainCitation":"[1]"},"citationItems":[{"id":2057,"uris":["http://zotero.org/users/1200139/items/VIX8FEPJ"],"uri":["http://zotero.org/users/1200139/items/VIX8FEPJ"],"itemData":{"id":2057,"type":"article-newspaper","title":"Alberta to double carbon tax by 2017, strengthen emissions reduction targets","container-title":"The Globe and Mail","publisher-place":"Toronto, Canada","event-place":"Toronto, Canada","URL":"http://www.theglobeandmail.com/report-on-business/industry-news/energy-and-resources/alberta-to-double-carbon-tax-by-2017/article25109876/","author":[{"family":"Giovannetti","given":"Justin"}],"issued":{"date-parts":[["2015",6,25]]},"accessed":{"date-parts":[["2015",11,10]]}}}],"schema":"https://github.com/citation-style-language/schema/raw/master/csl-citation.json"} </w:instrText>
      </w:r>
      <w:r w:rsidR="00F7149D" w:rsidRPr="006E353D">
        <w:fldChar w:fldCharType="separate"/>
      </w:r>
      <w:r w:rsidR="00795D5C" w:rsidRPr="006E353D">
        <w:rPr>
          <w:rFonts w:ascii="Calibri" w:hAnsi="Calibri"/>
        </w:rPr>
        <w:t>[1]</w:t>
      </w:r>
      <w:r w:rsidR="00F7149D" w:rsidRPr="006E353D">
        <w:fldChar w:fldCharType="end"/>
      </w:r>
      <w:r w:rsidR="006E353D" w:rsidRPr="006E353D">
        <w:t>)</w:t>
      </w:r>
      <w:r w:rsidR="00F7149D" w:rsidRPr="006E353D">
        <w:t xml:space="preserve"> </w:t>
      </w:r>
      <w:r w:rsidR="009F623D" w:rsidRPr="006E353D">
        <w:t>applied to the production emis</w:t>
      </w:r>
      <w:r w:rsidR="00775C66" w:rsidRPr="006E353D">
        <w:t>sions of the oil sands, while $17</w:t>
      </w:r>
      <w:r w:rsidR="009F623D" w:rsidRPr="006E353D">
        <w:t xml:space="preserve">/bbl is equivalent to the proposed </w:t>
      </w:r>
      <w:r w:rsidR="00775C66" w:rsidRPr="006E353D">
        <w:t xml:space="preserve">2017 </w:t>
      </w:r>
      <w:r w:rsidR="009F623D" w:rsidRPr="006E353D">
        <w:t>tax</w:t>
      </w:r>
      <w:r w:rsidR="006E353D" w:rsidRPr="006E353D">
        <w:t xml:space="preserve"> ($30/ton </w:t>
      </w:r>
      <w:r w:rsidR="006E353D" w:rsidRPr="006E353D">
        <w:fldChar w:fldCharType="begin"/>
      </w:r>
      <w:r w:rsidR="003B12EE">
        <w:instrText xml:space="preserve"> ADDIN ZOTERO_ITEM CSL_CITATION {"citationID":"BY6c4eom","properties":{"formattedCitation":"[1]","plainCitation":"[1]"},"citationItems":[{"id":2057,"uris":["http://zotero.org/users/1200139/items/VIX8FEPJ"],"uri":["http://zotero.org/users/1200139/items/VIX8FEPJ"],"itemData":{"id":2057,"type":"article-newspaper","title":"Alberta to double carbon tax by 2017, strengthen emissions reduction targets","container-title":"The Globe and Mail","publisher-place":"Toronto, Canada","event-place":"Toronto, Canada","URL":"http://www.theglobeandmail.com/report-on-business/industry-news/energy-and-resources/alberta-to-double-carbon-tax-by-2017/article25109876/","author":[{"family":"Giovannetti","given":"Justin"}],"issued":{"date-parts":[["2015",6,25]]},"accessed":{"date-parts":[["2015",11,10]]}}}],"schema":"https://github.com/citation-style-language/schema/raw/master/csl-citation.json"} </w:instrText>
      </w:r>
      <w:r w:rsidR="006E353D" w:rsidRPr="006E353D">
        <w:fldChar w:fldCharType="separate"/>
      </w:r>
      <w:r w:rsidR="006E353D" w:rsidRPr="006E353D">
        <w:rPr>
          <w:rFonts w:ascii="Calibri" w:hAnsi="Calibri"/>
        </w:rPr>
        <w:t>[1]</w:t>
      </w:r>
      <w:r w:rsidR="006E353D" w:rsidRPr="006E353D">
        <w:fldChar w:fldCharType="end"/>
      </w:r>
      <w:r w:rsidR="006E353D" w:rsidRPr="006E353D">
        <w:t>)</w:t>
      </w:r>
      <w:r w:rsidR="009F623D" w:rsidRPr="006E353D">
        <w:t xml:space="preserve"> applied to the </w:t>
      </w:r>
      <w:r w:rsidR="00775C66" w:rsidRPr="006E353D">
        <w:t>total e</w:t>
      </w:r>
      <w:r w:rsidR="009F623D" w:rsidRPr="006E353D">
        <w:t xml:space="preserve">missions. </w:t>
      </w:r>
      <w:r w:rsidR="004D7918">
        <w:t>The 2014 average wholesale electricity price in Alberta was $0.049</w:t>
      </w:r>
      <w:r w:rsidR="000A7FED">
        <w:t xml:space="preserve"> </w:t>
      </w:r>
      <w:r w:rsidR="000A7FED">
        <w:fldChar w:fldCharType="begin"/>
      </w:r>
      <w:r w:rsidR="000A7FED">
        <w:instrText xml:space="preserve"> ADDIN ZOTERO_ITEM CSL_CITATION {"citationID":"nb26p9g58","properties":{"formattedCitation":"[13]","plainCitation":"[13]"},"citationItems":[{"id":2077,"uris":["http://zotero.org/users/1200139/items/788UGQFK"],"uri":["http://zotero.org/users/1200139/items/788UGQFK"],"itemData":{"id":2077,"type":"report","title":"2014 Annual Market Statistics","publisher":"Alberta Electric System Operator","publisher-place":"Calgary","event-place":"Calgary","author":[{"literal":"AESO"}],"issued":{"date-parts":[["2015",2]]}}}],"schema":"https://github.com/citation-style-language/schema/raw/master/csl-citation.json"} </w:instrText>
      </w:r>
      <w:r w:rsidR="000A7FED">
        <w:fldChar w:fldCharType="separate"/>
      </w:r>
      <w:r w:rsidR="000A7FED" w:rsidRPr="000A7FED">
        <w:rPr>
          <w:rFonts w:ascii="Calibri" w:hAnsi="Calibri"/>
        </w:rPr>
        <w:t>[13]</w:t>
      </w:r>
      <w:r w:rsidR="000A7FED">
        <w:fldChar w:fldCharType="end"/>
      </w:r>
      <w:r w:rsidR="000A7FED">
        <w:t>. An upper limit on reinvestment charges was therefore chosen to be</w:t>
      </w:r>
      <w:r w:rsidR="004D7918">
        <w:t xml:space="preserve"> </w:t>
      </w:r>
      <w:r w:rsidR="009F623D" w:rsidRPr="006E353D">
        <w:t>$0.04/kWh</w:t>
      </w:r>
      <w:r w:rsidR="004D7918" w:rsidRPr="004D7918">
        <w:rPr>
          <w:vertAlign w:val="subscript"/>
        </w:rPr>
        <w:t>wind</w:t>
      </w:r>
      <w:r w:rsidR="009F623D" w:rsidRPr="006E353D">
        <w:t xml:space="preserve"> </w:t>
      </w:r>
      <w:r w:rsidR="000A7FED">
        <w:t>in order to maintain</w:t>
      </w:r>
      <w:r w:rsidR="00F7149D" w:rsidRPr="006E353D">
        <w:t xml:space="preserve"> </w:t>
      </w:r>
      <w:r w:rsidR="000A7FED" w:rsidRPr="006E353D">
        <w:t>incentive</w:t>
      </w:r>
      <w:r w:rsidR="000A7FED">
        <w:t>s</w:t>
      </w:r>
      <w:r w:rsidR="000A7FED" w:rsidRPr="006E353D">
        <w:t xml:space="preserve"> </w:t>
      </w:r>
      <w:r w:rsidR="00F7149D" w:rsidRPr="006E353D">
        <w:t>for oil companies to keep the turbines spinning</w:t>
      </w:r>
      <w:r w:rsidR="009F623D" w:rsidRPr="006E353D">
        <w:t xml:space="preserve">. </w:t>
      </w:r>
    </w:p>
    <w:p w:rsidR="00307803" w:rsidRPr="006E353D" w:rsidRDefault="00307803" w:rsidP="00DB4819">
      <w:r>
        <w:t xml:space="preserve">To keep the financial model clear, the investment required was presented </w:t>
      </w:r>
      <w:r w:rsidR="006C4312">
        <w:t>in</w:t>
      </w:r>
      <w:r>
        <w:t xml:space="preserve"> dollars per barrel of oil produced. </w:t>
      </w:r>
      <w:r w:rsidR="006C4312">
        <w:t>A better</w:t>
      </w:r>
      <w:r>
        <w:t xml:space="preserve"> system </w:t>
      </w:r>
      <w:r w:rsidR="006C4312">
        <w:t xml:space="preserve">would base required investment amounts </w:t>
      </w:r>
      <w:r>
        <w:t xml:space="preserve">on carbon emissions </w:t>
      </w:r>
      <w:r w:rsidR="006C4312">
        <w:t>to</w:t>
      </w:r>
      <w:r>
        <w:t xml:space="preserve"> incentivize inno</w:t>
      </w:r>
      <w:r w:rsidR="006C4312">
        <w:t>vation and emissions reductions.</w:t>
      </w:r>
      <w:r>
        <w:t xml:space="preserve">  </w:t>
      </w:r>
    </w:p>
    <w:p w:rsidR="003709F8" w:rsidRPr="006E353D" w:rsidRDefault="003709F8" w:rsidP="008707C0">
      <w:pPr>
        <w:pStyle w:val="Heading1"/>
      </w:pPr>
      <w:r w:rsidRPr="006E353D">
        <w:t>Results</w:t>
      </w:r>
    </w:p>
    <w:p w:rsidR="006B749A" w:rsidRPr="006E353D" w:rsidRDefault="00133E08" w:rsidP="008707C0">
      <w:pPr>
        <w:pStyle w:val="Heading2"/>
      </w:pPr>
      <w:r>
        <w:t>Instantaneous efficacy of wind power to offset GHG emissions</w:t>
      </w:r>
    </w:p>
    <w:p w:rsidR="003709F8" w:rsidRDefault="003709F8" w:rsidP="003709F8">
      <w:r w:rsidRPr="006E353D">
        <w:t xml:space="preserve">With </w:t>
      </w:r>
      <w:r w:rsidR="00133E08">
        <w:t>21,507</w:t>
      </w:r>
      <w:r w:rsidRPr="006E353D">
        <w:t xml:space="preserve"> 5MW wind</w:t>
      </w:r>
      <w:r>
        <w:t xml:space="preserve"> turbines, the </w:t>
      </w:r>
      <w:r w:rsidR="00A455A2">
        <w:t>incremental GHG emissions</w:t>
      </w:r>
      <w:r>
        <w:t xml:space="preserve"> caused by oil sands as compared to conventional oil would be offset. This amount of electricity generation is equivalent to </w:t>
      </w:r>
      <w:r w:rsidR="00133E08">
        <w:t>86</w:t>
      </w:r>
      <w:r w:rsidR="00582CE4">
        <w:t>%</w:t>
      </w:r>
      <w:r>
        <w:t xml:space="preserve"> of Alberta’s </w:t>
      </w:r>
      <w:r w:rsidR="00582CE4">
        <w:t>electricity generation</w:t>
      </w:r>
      <w:r w:rsidR="00A455A2">
        <w:t xml:space="preserve"> (</w:t>
      </w:r>
      <w:r w:rsidR="00A455A2">
        <w:fldChar w:fldCharType="begin"/>
      </w:r>
      <w:r w:rsidR="00A455A2">
        <w:instrText xml:space="preserve"> REF _Ref434935975 \h </w:instrText>
      </w:r>
      <w:r w:rsidR="00A455A2">
        <w:fldChar w:fldCharType="separate"/>
      </w:r>
      <w:r w:rsidR="008707C0">
        <w:t xml:space="preserve">Table </w:t>
      </w:r>
      <w:r w:rsidR="008707C0">
        <w:rPr>
          <w:noProof/>
        </w:rPr>
        <w:t>3</w:t>
      </w:r>
      <w:r w:rsidR="00A455A2">
        <w:fldChar w:fldCharType="end"/>
      </w:r>
      <w:r w:rsidR="00A455A2">
        <w:t xml:space="preserve">), but is actually sold to </w:t>
      </w:r>
      <w:r w:rsidR="00133E08">
        <w:t xml:space="preserve">both </w:t>
      </w:r>
      <w:r w:rsidR="00A455A2">
        <w:t>Alberta</w:t>
      </w:r>
      <w:r w:rsidR="00133E08">
        <w:t xml:space="preserve">n and </w:t>
      </w:r>
      <w:r w:rsidR="006C4312">
        <w:t>American</w:t>
      </w:r>
      <w:r w:rsidR="00133E08">
        <w:t xml:space="preserve"> grids</w:t>
      </w:r>
      <w:r w:rsidR="00A455A2">
        <w:t xml:space="preserve">. </w:t>
      </w:r>
      <w:r w:rsidR="00133E08">
        <w:t>Unfortunately, due to the low capacity factor, at the maximum turbine density of one per two square kilometers</w:t>
      </w:r>
      <w:r w:rsidR="006C4312">
        <w:t xml:space="preserve"> (35,050 5MW turbines)</w:t>
      </w:r>
      <w:r w:rsidR="00133E08">
        <w:t xml:space="preserve">, only 65% of the </w:t>
      </w:r>
      <w:r w:rsidR="006C4312">
        <w:t>production</w:t>
      </w:r>
      <w:r w:rsidR="00582CE4">
        <w:t xml:space="preserve"> emissions can be offset</w:t>
      </w:r>
      <w:r w:rsidR="006C4312">
        <w:t xml:space="preserve"> (</w:t>
      </w:r>
      <w:r w:rsidR="006C4312">
        <w:fldChar w:fldCharType="begin"/>
      </w:r>
      <w:r w:rsidR="006C4312">
        <w:instrText xml:space="preserve"> REF _Ref434935975 \h </w:instrText>
      </w:r>
      <w:r w:rsidR="006C4312">
        <w:fldChar w:fldCharType="separate"/>
      </w:r>
      <w:r w:rsidR="008707C0">
        <w:t xml:space="preserve">Table </w:t>
      </w:r>
      <w:r w:rsidR="008707C0">
        <w:rPr>
          <w:noProof/>
        </w:rPr>
        <w:t>3</w:t>
      </w:r>
      <w:r w:rsidR="006C4312">
        <w:fldChar w:fldCharType="end"/>
      </w:r>
      <w:r w:rsidR="006C4312">
        <w:t>)</w:t>
      </w:r>
      <w:r w:rsidR="00133E08">
        <w:t xml:space="preserve">. </w:t>
      </w:r>
      <w:r w:rsidR="00582CE4">
        <w:t xml:space="preserve"> </w:t>
      </w:r>
      <w:r w:rsidR="006C4312">
        <w:t xml:space="preserve">Beyond the land and capacity factor constraints, the model demonstrated that </w:t>
      </w:r>
      <w:r w:rsidR="00133E08">
        <w:t xml:space="preserve">if </w:t>
      </w:r>
      <w:r w:rsidR="006C4312">
        <w:t>Canadian and American</w:t>
      </w:r>
      <w:r w:rsidR="00133E08">
        <w:t xml:space="preserve"> grid</w:t>
      </w:r>
      <w:r w:rsidR="006C4312">
        <w:t>s</w:t>
      </w:r>
      <w:r w:rsidR="00133E08">
        <w:t xml:space="preserve"> can only handle 20% wind energy, only 93% of the total emissions of the oil sand</w:t>
      </w:r>
      <w:r w:rsidR="006C4312">
        <w:t xml:space="preserve">s could be offset with wind power </w:t>
      </w:r>
      <w:r w:rsidR="00F20818">
        <w:t>(</w:t>
      </w:r>
      <w:r w:rsidR="00F20818">
        <w:fldChar w:fldCharType="begin"/>
      </w:r>
      <w:r w:rsidR="00F20818">
        <w:instrText xml:space="preserve"> REF _Ref434935975 \h </w:instrText>
      </w:r>
      <w:r w:rsidR="00F20818">
        <w:fldChar w:fldCharType="separate"/>
      </w:r>
      <w:r w:rsidR="008707C0">
        <w:t xml:space="preserve">Table </w:t>
      </w:r>
      <w:r w:rsidR="008707C0">
        <w:rPr>
          <w:noProof/>
        </w:rPr>
        <w:t>3</w:t>
      </w:r>
      <w:r w:rsidR="00F20818">
        <w:fldChar w:fldCharType="end"/>
      </w:r>
      <w:r w:rsidR="00F20818">
        <w:t>)</w:t>
      </w:r>
      <w:r w:rsidR="00133E08">
        <w:t xml:space="preserve">. </w:t>
      </w:r>
    </w:p>
    <w:p w:rsidR="002E4507" w:rsidRPr="006E353D" w:rsidRDefault="002E4507" w:rsidP="002E4507">
      <w:pPr>
        <w:pStyle w:val="Heading2"/>
      </w:pPr>
      <w:r>
        <w:t>Cumulative efficacy and financial feasibility of wind power to offset GHG emissions</w:t>
      </w:r>
    </w:p>
    <w:p w:rsidR="002E4507" w:rsidRDefault="002E4507" w:rsidP="002E4507">
      <w:pPr>
        <w:rPr>
          <w:rFonts w:ascii="Calibri" w:eastAsia="Times New Roman" w:hAnsi="Calibri" w:cs="Times New Roman"/>
          <w:color w:val="000000"/>
        </w:rPr>
      </w:pPr>
      <w:r>
        <w:t>With the abysmal capacity factor of 8.9%, it was not surprising that this proposal was not financially viable</w:t>
      </w:r>
      <w:r w:rsidR="00157A96">
        <w:t xml:space="preserve"> when evaluated with the metrics defined in Equation 2 and </w:t>
      </w:r>
      <w:r w:rsidR="00157A96">
        <w:fldChar w:fldCharType="begin"/>
      </w:r>
      <w:r w:rsidR="00157A96">
        <w:instrText xml:space="preserve"> REF _Ref435096693 \h </w:instrText>
      </w:r>
      <w:r w:rsidR="00157A96">
        <w:fldChar w:fldCharType="separate"/>
      </w:r>
      <w:r w:rsidR="00157A96">
        <w:t xml:space="preserve">Table </w:t>
      </w:r>
      <w:r w:rsidR="00157A96">
        <w:rPr>
          <w:noProof/>
        </w:rPr>
        <w:t>2</w:t>
      </w:r>
      <w:r w:rsidR="00157A96">
        <w:fldChar w:fldCharType="end"/>
      </w:r>
      <w:r>
        <w:t>. Even at the highest tariff scheme of $17/bbl and $0.04/</w:t>
      </w:r>
      <w:r w:rsidR="004F1E11" w:rsidRPr="004F1E11">
        <w:t xml:space="preserve"> </w:t>
      </w:r>
      <w:r w:rsidR="004F1E11" w:rsidRPr="006E353D">
        <w:t>kWh</w:t>
      </w:r>
      <w:r w:rsidR="004F1E11" w:rsidRPr="004D7918">
        <w:rPr>
          <w:vertAlign w:val="subscript"/>
        </w:rPr>
        <w:t>wind</w:t>
      </w:r>
      <w:r>
        <w:t xml:space="preserve">, the incremental CCR reached only 86% (Fig Y). While some might </w:t>
      </w:r>
      <w:r>
        <w:lastRenderedPageBreak/>
        <w:t xml:space="preserve">tout this as a victory worth pursuing, the effective cost of carbon reduction through this scheme was $192/ton of </w:t>
      </w:r>
      <w:r w:rsidRPr="00236D53">
        <w:rPr>
          <w:rFonts w:ascii="Calibri" w:eastAsia="Times New Roman" w:hAnsi="Calibri" w:cs="Times New Roman"/>
          <w:color w:val="000000"/>
        </w:rPr>
        <w:t>CO2-eq</w:t>
      </w:r>
      <w:r w:rsidR="00157A96">
        <w:rPr>
          <w:rFonts w:ascii="Calibri" w:eastAsia="Times New Roman" w:hAnsi="Calibri" w:cs="Times New Roman"/>
          <w:color w:val="000000"/>
        </w:rPr>
        <w:t xml:space="preserve"> (</w:t>
      </w:r>
      <w:r w:rsidR="00157A96">
        <w:rPr>
          <w:rFonts w:ascii="Calibri" w:eastAsia="Times New Roman" w:hAnsi="Calibri" w:cs="Times New Roman"/>
          <w:color w:val="000000"/>
        </w:rPr>
        <w:fldChar w:fldCharType="begin"/>
      </w:r>
      <w:r w:rsidR="00157A96">
        <w:rPr>
          <w:rFonts w:ascii="Calibri" w:eastAsia="Times New Roman" w:hAnsi="Calibri" w:cs="Times New Roman"/>
          <w:color w:val="000000"/>
        </w:rPr>
        <w:instrText xml:space="preserve"> REF _Ref435432504 \h </w:instrText>
      </w:r>
      <w:r w:rsidR="00157A96">
        <w:rPr>
          <w:rFonts w:ascii="Calibri" w:eastAsia="Times New Roman" w:hAnsi="Calibri" w:cs="Times New Roman"/>
          <w:color w:val="000000"/>
        </w:rPr>
      </w:r>
      <w:r w:rsidR="00157A96">
        <w:rPr>
          <w:rFonts w:ascii="Calibri" w:eastAsia="Times New Roman" w:hAnsi="Calibri" w:cs="Times New Roman"/>
          <w:color w:val="000000"/>
        </w:rPr>
        <w:fldChar w:fldCharType="separate"/>
      </w:r>
      <w:r w:rsidR="00157A96">
        <w:t xml:space="preserve">Figure </w:t>
      </w:r>
      <w:r w:rsidR="00157A96">
        <w:rPr>
          <w:noProof/>
        </w:rPr>
        <w:t>2</w:t>
      </w:r>
      <w:r w:rsidR="00157A96">
        <w:rPr>
          <w:rFonts w:ascii="Calibri" w:eastAsia="Times New Roman" w:hAnsi="Calibri" w:cs="Times New Roman"/>
          <w:color w:val="000000"/>
        </w:rPr>
        <w:fldChar w:fldCharType="end"/>
      </w:r>
      <w:r w:rsidR="00157A96">
        <w:rPr>
          <w:rFonts w:ascii="Calibri" w:eastAsia="Times New Roman" w:hAnsi="Calibri" w:cs="Times New Roman"/>
          <w:color w:val="000000"/>
        </w:rPr>
        <w:t>)</w:t>
      </w:r>
      <w:r>
        <w:rPr>
          <w:rFonts w:ascii="Calibri" w:eastAsia="Times New Roman" w:hAnsi="Calibri" w:cs="Times New Roman"/>
          <w:color w:val="000000"/>
        </w:rPr>
        <w:t xml:space="preserve">. </w:t>
      </w:r>
    </w:p>
    <w:p w:rsidR="002E4507" w:rsidRDefault="002E4507" w:rsidP="002E4507">
      <w:pPr>
        <w:rPr>
          <w:rFonts w:ascii="Calibri" w:eastAsia="Times New Roman" w:hAnsi="Calibri" w:cs="Times New Roman"/>
          <w:color w:val="000000"/>
        </w:rPr>
      </w:pPr>
      <w:r>
        <w:rPr>
          <w:rFonts w:ascii="Calibri" w:eastAsia="Times New Roman" w:hAnsi="Calibri" w:cs="Times New Roman"/>
          <w:color w:val="000000"/>
        </w:rPr>
        <w:t xml:space="preserve">If the capacity factor were improved, the </w:t>
      </w:r>
      <w:r w:rsidR="00157A96">
        <w:rPr>
          <w:rFonts w:ascii="Calibri" w:eastAsia="Times New Roman" w:hAnsi="Calibri" w:cs="Times New Roman"/>
          <w:color w:val="000000"/>
        </w:rPr>
        <w:t>cost-effectiveness</w:t>
      </w:r>
      <w:r>
        <w:rPr>
          <w:rFonts w:ascii="Calibri" w:eastAsia="Times New Roman" w:hAnsi="Calibri" w:cs="Times New Roman"/>
          <w:color w:val="000000"/>
        </w:rPr>
        <w:t xml:space="preserve"> of this proposal would dramatically increase</w:t>
      </w:r>
      <w:r w:rsidR="00157A96">
        <w:rPr>
          <w:rFonts w:ascii="Calibri" w:eastAsia="Times New Roman" w:hAnsi="Calibri" w:cs="Times New Roman"/>
          <w:color w:val="000000"/>
        </w:rPr>
        <w:t xml:space="preserve"> (</w:t>
      </w:r>
      <w:r w:rsidR="00157A96">
        <w:rPr>
          <w:rFonts w:ascii="Calibri" w:eastAsia="Times New Roman" w:hAnsi="Calibri" w:cs="Times New Roman"/>
          <w:color w:val="000000"/>
        </w:rPr>
        <w:fldChar w:fldCharType="begin"/>
      </w:r>
      <w:r w:rsidR="00157A96">
        <w:rPr>
          <w:rFonts w:ascii="Calibri" w:eastAsia="Times New Roman" w:hAnsi="Calibri" w:cs="Times New Roman"/>
          <w:color w:val="000000"/>
        </w:rPr>
        <w:instrText xml:space="preserve"> REF _Ref435432504 \h </w:instrText>
      </w:r>
      <w:r w:rsidR="00157A96">
        <w:rPr>
          <w:rFonts w:ascii="Calibri" w:eastAsia="Times New Roman" w:hAnsi="Calibri" w:cs="Times New Roman"/>
          <w:color w:val="000000"/>
        </w:rPr>
      </w:r>
      <w:r w:rsidR="00157A96">
        <w:rPr>
          <w:rFonts w:ascii="Calibri" w:eastAsia="Times New Roman" w:hAnsi="Calibri" w:cs="Times New Roman"/>
          <w:color w:val="000000"/>
        </w:rPr>
        <w:fldChar w:fldCharType="separate"/>
      </w:r>
      <w:r w:rsidR="00157A96">
        <w:t xml:space="preserve">Figure </w:t>
      </w:r>
      <w:r w:rsidR="00157A96">
        <w:rPr>
          <w:noProof/>
        </w:rPr>
        <w:t>2</w:t>
      </w:r>
      <w:r w:rsidR="00157A96">
        <w:rPr>
          <w:rFonts w:ascii="Calibri" w:eastAsia="Times New Roman" w:hAnsi="Calibri" w:cs="Times New Roman"/>
          <w:color w:val="000000"/>
        </w:rPr>
        <w:fldChar w:fldCharType="end"/>
      </w:r>
      <w:r w:rsidR="00157A96">
        <w:rPr>
          <w:rFonts w:ascii="Calibri" w:eastAsia="Times New Roman" w:hAnsi="Calibri" w:cs="Times New Roman"/>
          <w:color w:val="000000"/>
        </w:rPr>
        <w:t>)</w:t>
      </w:r>
      <w:r>
        <w:rPr>
          <w:rFonts w:ascii="Calibri" w:eastAsia="Times New Roman" w:hAnsi="Calibri" w:cs="Times New Roman"/>
          <w:color w:val="000000"/>
        </w:rPr>
        <w:t xml:space="preserve">. Had the oil sands been located in a region with a capacity factor of 30%, for example, </w:t>
      </w:r>
      <w:r w:rsidR="00157A96">
        <w:rPr>
          <w:rFonts w:ascii="Calibri" w:eastAsia="Times New Roman" w:hAnsi="Calibri" w:cs="Times New Roman"/>
          <w:color w:val="000000"/>
        </w:rPr>
        <w:t>the highest tariff scheme would have had an incremental CCR of 285% and a production CCR of</w:t>
      </w:r>
      <w:r>
        <w:rPr>
          <w:rFonts w:ascii="Calibri" w:eastAsia="Times New Roman" w:hAnsi="Calibri" w:cs="Times New Roman"/>
          <w:color w:val="000000"/>
        </w:rPr>
        <w:t xml:space="preserve"> 121% (</w:t>
      </w:r>
      <w:r w:rsidR="00157A96">
        <w:rPr>
          <w:rFonts w:ascii="Calibri" w:eastAsia="Times New Roman" w:hAnsi="Calibri" w:cs="Times New Roman"/>
          <w:color w:val="000000"/>
        </w:rPr>
        <w:fldChar w:fldCharType="begin"/>
      </w:r>
      <w:r w:rsidR="00157A96">
        <w:rPr>
          <w:rFonts w:ascii="Calibri" w:eastAsia="Times New Roman" w:hAnsi="Calibri" w:cs="Times New Roman"/>
          <w:color w:val="000000"/>
        </w:rPr>
        <w:instrText xml:space="preserve"> REF _Ref435432518 \h </w:instrText>
      </w:r>
      <w:r w:rsidR="00157A96">
        <w:rPr>
          <w:rFonts w:ascii="Calibri" w:eastAsia="Times New Roman" w:hAnsi="Calibri" w:cs="Times New Roman"/>
          <w:color w:val="000000"/>
        </w:rPr>
      </w:r>
      <w:r w:rsidR="00157A96">
        <w:rPr>
          <w:rFonts w:ascii="Calibri" w:eastAsia="Times New Roman" w:hAnsi="Calibri" w:cs="Times New Roman"/>
          <w:color w:val="000000"/>
        </w:rPr>
        <w:fldChar w:fldCharType="separate"/>
      </w:r>
      <w:r w:rsidR="00157A96">
        <w:t xml:space="preserve">Figure </w:t>
      </w:r>
      <w:r w:rsidR="00157A96">
        <w:rPr>
          <w:noProof/>
        </w:rPr>
        <w:t>3</w:t>
      </w:r>
      <w:r w:rsidR="00157A96">
        <w:rPr>
          <w:rFonts w:ascii="Calibri" w:eastAsia="Times New Roman" w:hAnsi="Calibri" w:cs="Times New Roman"/>
          <w:color w:val="000000"/>
        </w:rPr>
        <w:fldChar w:fldCharType="end"/>
      </w:r>
      <w:r>
        <w:rPr>
          <w:rFonts w:ascii="Calibri" w:eastAsia="Times New Roman" w:hAnsi="Calibri" w:cs="Times New Roman"/>
          <w:color w:val="000000"/>
        </w:rPr>
        <w:t xml:space="preserve">). Readers interested in exploring further how to improve these results are directed to the model available in the SI. Such explorations will highlight that the reinvestment rate can create a positive feedback mechanism and help </w:t>
      </w:r>
      <w:r w:rsidR="00157A96">
        <w:rPr>
          <w:rFonts w:ascii="Calibri" w:eastAsia="Times New Roman" w:hAnsi="Calibri" w:cs="Times New Roman"/>
          <w:color w:val="000000"/>
        </w:rPr>
        <w:t xml:space="preserve">the </w:t>
      </w:r>
      <w:r>
        <w:rPr>
          <w:rFonts w:ascii="Calibri" w:eastAsia="Times New Roman" w:hAnsi="Calibri" w:cs="Times New Roman"/>
          <w:color w:val="000000"/>
        </w:rPr>
        <w:t xml:space="preserve">project reach scale quickly.  </w:t>
      </w:r>
    </w:p>
    <w:p w:rsidR="00704027" w:rsidRPr="00307803" w:rsidRDefault="00704027" w:rsidP="00704027">
      <w:pPr>
        <w:pStyle w:val="Heading1"/>
      </w:pPr>
      <w:r>
        <w:t>Conclusions</w:t>
      </w:r>
    </w:p>
    <w:p w:rsidR="00704027" w:rsidRPr="00F20818" w:rsidRDefault="00704027" w:rsidP="00704027">
      <w:pPr>
        <w:rPr>
          <w:rFonts w:ascii="Calibri" w:eastAsia="Times New Roman" w:hAnsi="Calibri" w:cs="Times New Roman"/>
          <w:color w:val="000000"/>
        </w:rPr>
      </w:pPr>
      <w:r>
        <w:rPr>
          <w:rFonts w:ascii="Calibri" w:eastAsia="Times New Roman" w:hAnsi="Calibri" w:cs="Times New Roman"/>
          <w:color w:val="000000"/>
        </w:rPr>
        <w:t xml:space="preserve">The proposed massive investment in wind energy co-located with Alberta’s oil sands was not found to be viable. However, the concept and evaluation tool may still hold promise for two reasons: first, were oil sands companies able to manage the NIMBY problem in southern Alberta and secure land-use contacts for a reasonable price, the capacity factor and viability would increase; second, in other locations of large scale extraction where average wind speeds are higher, as perhaps in some part of the US northwest </w:t>
      </w:r>
      <w:r w:rsidR="00411116" w:rsidRPr="00411116">
        <w:rPr>
          <w:rFonts w:ascii="Calibri" w:eastAsia="Times New Roman" w:hAnsi="Calibri" w:cs="Times New Roman"/>
          <w:color w:val="000000"/>
          <w:highlight w:val="yellow"/>
        </w:rPr>
        <w:t>[Sailor et al. Renewable Energy 33 (2008) p.2397]</w:t>
      </w:r>
      <w:r w:rsidR="007C7711">
        <w:rPr>
          <w:rFonts w:ascii="Calibri" w:eastAsia="Times New Roman" w:hAnsi="Calibri" w:cs="Times New Roman"/>
          <w:color w:val="000000"/>
          <w:highlight w:val="yellow"/>
        </w:rPr>
        <w:t xml:space="preserve"> and </w:t>
      </w:r>
      <w:r w:rsidR="00411116" w:rsidRPr="00411116">
        <w:rPr>
          <w:rFonts w:ascii="Calibri" w:eastAsia="Times New Roman" w:hAnsi="Calibri" w:cs="Times New Roman"/>
          <w:color w:val="000000"/>
          <w:highlight w:val="yellow"/>
        </w:rPr>
        <w:t>[Gorsevski et al. Energy Policy 55 (2013) p.375]</w:t>
      </w:r>
      <w:r>
        <w:rPr>
          <w:rFonts w:ascii="Calibri" w:eastAsia="Times New Roman" w:hAnsi="Calibri" w:cs="Times New Roman"/>
          <w:color w:val="000000"/>
        </w:rPr>
        <w:t xml:space="preserve">, the modelling tool could help to efficiently evaluate the applicability of this proposal. </w:t>
      </w:r>
    </w:p>
    <w:p w:rsidR="00704027" w:rsidRDefault="00704027" w:rsidP="00704027">
      <w:pPr>
        <w:rPr>
          <w:rFonts w:ascii="Calibri" w:eastAsia="Times New Roman" w:hAnsi="Calibri" w:cs="Times New Roman"/>
          <w:color w:val="000000"/>
        </w:rPr>
      </w:pPr>
      <w:r>
        <w:t xml:space="preserve">This work validated that large numbers of wind turbines can offset the incremental emissions of the oil sands, but given the low wind speeds in the Fort McMurray area, the model was not found to be financially viable.  Importantly, however, this work demonstrates a new top-down method of analyzing large-scale proposals for GHG emission reduction and provides readers with a rapid scenario evaluation tool to help understand when and where such innovative proposals can apply.  </w:t>
      </w:r>
    </w:p>
    <w:p w:rsidR="00704027" w:rsidRDefault="00704027">
      <w:r>
        <w:br w:type="page"/>
      </w:r>
    </w:p>
    <w:p w:rsidR="00236D53" w:rsidRDefault="00236D53" w:rsidP="00236D53">
      <w:pPr>
        <w:pStyle w:val="Caption"/>
        <w:keepNext/>
      </w:pPr>
      <w:bookmarkStart w:id="3" w:name="_Ref434935975"/>
      <w:r>
        <w:lastRenderedPageBreak/>
        <w:t xml:space="preserve">Table </w:t>
      </w:r>
      <w:fldSimple w:instr=" SEQ Table \* ARABIC ">
        <w:r w:rsidR="008707C0">
          <w:rPr>
            <w:noProof/>
          </w:rPr>
          <w:t>3</w:t>
        </w:r>
      </w:fldSimple>
      <w:bookmarkEnd w:id="3"/>
      <w:r>
        <w:t>: Instantaneous model of wind turbine impact</w:t>
      </w:r>
    </w:p>
    <w:tbl>
      <w:tblPr>
        <w:tblStyle w:val="GridTable1Light"/>
        <w:tblW w:w="9535" w:type="dxa"/>
        <w:tblLook w:val="04A0" w:firstRow="1" w:lastRow="0" w:firstColumn="1" w:lastColumn="0" w:noHBand="0" w:noVBand="1"/>
      </w:tblPr>
      <w:tblGrid>
        <w:gridCol w:w="3110"/>
        <w:gridCol w:w="1010"/>
        <w:gridCol w:w="1321"/>
        <w:gridCol w:w="906"/>
        <w:gridCol w:w="1225"/>
        <w:gridCol w:w="1963"/>
      </w:tblGrid>
      <w:tr w:rsidR="00133E08" w:rsidRPr="00236D53" w:rsidTr="001A1312">
        <w:trPr>
          <w:cnfStyle w:val="100000000000" w:firstRow="1" w:lastRow="0" w:firstColumn="0" w:lastColumn="0" w:oddVBand="0" w:evenVBand="0" w:oddHBand="0"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3110" w:type="dxa"/>
            <w:noWrap/>
            <w:vAlign w:val="bottom"/>
            <w:hideMark/>
          </w:tcPr>
          <w:p w:rsidR="00133E08" w:rsidRPr="00236D53" w:rsidRDefault="00133E08" w:rsidP="00133E08">
            <w:pPr>
              <w:rPr>
                <w:rFonts w:ascii="Calibri" w:eastAsia="Times New Roman" w:hAnsi="Calibri" w:cs="Times New Roman"/>
                <w:color w:val="000000"/>
              </w:rPr>
            </w:pPr>
            <w:r w:rsidRPr="00236D53">
              <w:rPr>
                <w:rFonts w:ascii="Calibri" w:eastAsia="Times New Roman" w:hAnsi="Calibri" w:cs="Times New Roman"/>
                <w:color w:val="000000"/>
              </w:rPr>
              <w:t>Scenarios</w:t>
            </w:r>
          </w:p>
        </w:tc>
        <w:tc>
          <w:tcPr>
            <w:tcW w:w="1010" w:type="dxa"/>
            <w:noWrap/>
            <w:vAlign w:val="bottom"/>
            <w:hideMark/>
          </w:tcPr>
          <w:p w:rsidR="00133E08" w:rsidRPr="00236D53" w:rsidRDefault="00133E08" w:rsidP="00133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D53">
              <w:rPr>
                <w:rFonts w:ascii="Calibri" w:eastAsia="Times New Roman" w:hAnsi="Calibri" w:cs="Times New Roman"/>
                <w:color w:val="000000"/>
              </w:rPr>
              <w:t>1000 Turbines</w:t>
            </w:r>
          </w:p>
        </w:tc>
        <w:tc>
          <w:tcPr>
            <w:tcW w:w="1321" w:type="dxa"/>
            <w:noWrap/>
            <w:vAlign w:val="bottom"/>
            <w:hideMark/>
          </w:tcPr>
          <w:p w:rsidR="00133E08" w:rsidRPr="00236D53" w:rsidRDefault="00133E08" w:rsidP="00133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D53">
              <w:rPr>
                <w:rFonts w:ascii="Calibri" w:eastAsia="Times New Roman" w:hAnsi="Calibri" w:cs="Times New Roman"/>
                <w:color w:val="000000"/>
              </w:rPr>
              <w:t>Incremental Offset</w:t>
            </w:r>
          </w:p>
        </w:tc>
        <w:tc>
          <w:tcPr>
            <w:tcW w:w="906" w:type="dxa"/>
            <w:noWrap/>
            <w:vAlign w:val="bottom"/>
            <w:hideMark/>
          </w:tcPr>
          <w:p w:rsidR="00133E08" w:rsidRDefault="00133E08" w:rsidP="00133E08">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Max Density</w:t>
            </w:r>
          </w:p>
        </w:tc>
        <w:tc>
          <w:tcPr>
            <w:tcW w:w="1225" w:type="dxa"/>
            <w:vAlign w:val="bottom"/>
          </w:tcPr>
          <w:p w:rsidR="00133E08" w:rsidRPr="00236D53" w:rsidRDefault="00133E08" w:rsidP="00133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D53">
              <w:rPr>
                <w:rFonts w:ascii="Calibri" w:eastAsia="Times New Roman" w:hAnsi="Calibri" w:cs="Times New Roman"/>
                <w:color w:val="000000"/>
              </w:rPr>
              <w:t>Production Offset</w:t>
            </w:r>
          </w:p>
        </w:tc>
        <w:tc>
          <w:tcPr>
            <w:tcW w:w="1963" w:type="dxa"/>
            <w:noWrap/>
            <w:vAlign w:val="bottom"/>
            <w:hideMark/>
          </w:tcPr>
          <w:p w:rsidR="00133E08" w:rsidRPr="00236D53" w:rsidRDefault="001A1312" w:rsidP="001A13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Saturating the Grid with 20% Wind</w:t>
            </w:r>
          </w:p>
        </w:tc>
      </w:tr>
      <w:tr w:rsidR="00133E08" w:rsidRPr="00236D53" w:rsidTr="001A1312">
        <w:trPr>
          <w:trHeight w:val="177"/>
        </w:trPr>
        <w:tc>
          <w:tcPr>
            <w:cnfStyle w:val="001000000000" w:firstRow="0" w:lastRow="0" w:firstColumn="1" w:lastColumn="0" w:oddVBand="0" w:evenVBand="0" w:oddHBand="0" w:evenHBand="0" w:firstRowFirstColumn="0" w:firstRowLastColumn="0" w:lastRowFirstColumn="0" w:lastRowLastColumn="0"/>
            <w:tcW w:w="3110" w:type="dxa"/>
            <w:noWrap/>
            <w:hideMark/>
          </w:tcPr>
          <w:p w:rsidR="00133E08" w:rsidRPr="00236D53" w:rsidRDefault="00133E08" w:rsidP="00133E08">
            <w:pPr>
              <w:rPr>
                <w:rFonts w:ascii="Calibri" w:eastAsia="Times New Roman" w:hAnsi="Calibri" w:cs="Times New Roman"/>
                <w:color w:val="000000"/>
              </w:rPr>
            </w:pPr>
            <w:r w:rsidRPr="00236D53">
              <w:rPr>
                <w:rFonts w:ascii="Calibri" w:eastAsia="Times New Roman" w:hAnsi="Calibri" w:cs="Times New Roman"/>
                <w:color w:val="000000"/>
              </w:rPr>
              <w:t>Turbines Built</w:t>
            </w:r>
          </w:p>
        </w:tc>
        <w:tc>
          <w:tcPr>
            <w:tcW w:w="1010" w:type="dxa"/>
            <w:noWrap/>
            <w:vAlign w:val="bottom"/>
            <w:hideMark/>
          </w:tcPr>
          <w:p w:rsidR="00133E08" w:rsidRPr="00133E08" w:rsidRDefault="00133E08" w:rsidP="001A1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1,000</w:t>
            </w:r>
          </w:p>
        </w:tc>
        <w:tc>
          <w:tcPr>
            <w:tcW w:w="1321" w:type="dxa"/>
            <w:noWrap/>
            <w:vAlign w:val="bottom"/>
            <w:hideMark/>
          </w:tcPr>
          <w:p w:rsidR="00133E08" w:rsidRPr="00133E08" w:rsidRDefault="00133E08" w:rsidP="001A1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21,507</w:t>
            </w:r>
          </w:p>
        </w:tc>
        <w:tc>
          <w:tcPr>
            <w:tcW w:w="906" w:type="dxa"/>
            <w:noWrap/>
            <w:vAlign w:val="bottom"/>
            <w:hideMark/>
          </w:tcPr>
          <w:p w:rsidR="00133E08" w:rsidRPr="00133E08" w:rsidRDefault="00133E08" w:rsidP="001A1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35,050</w:t>
            </w:r>
          </w:p>
        </w:tc>
        <w:tc>
          <w:tcPr>
            <w:tcW w:w="1225" w:type="dxa"/>
            <w:vAlign w:val="bottom"/>
          </w:tcPr>
          <w:p w:rsidR="00133E08" w:rsidRPr="00133E08" w:rsidRDefault="00133E08" w:rsidP="001A1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54,909</w:t>
            </w:r>
          </w:p>
        </w:tc>
        <w:tc>
          <w:tcPr>
            <w:tcW w:w="1963" w:type="dxa"/>
            <w:noWrap/>
            <w:vAlign w:val="bottom"/>
            <w:hideMark/>
          </w:tcPr>
          <w:p w:rsidR="00133E08" w:rsidRPr="00133E08" w:rsidRDefault="00133E08" w:rsidP="001A1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196,596</w:t>
            </w:r>
          </w:p>
        </w:tc>
      </w:tr>
      <w:tr w:rsidR="00133E08" w:rsidRPr="00236D53" w:rsidTr="001A1312">
        <w:trPr>
          <w:trHeight w:val="207"/>
        </w:trPr>
        <w:tc>
          <w:tcPr>
            <w:cnfStyle w:val="001000000000" w:firstRow="0" w:lastRow="0" w:firstColumn="1" w:lastColumn="0" w:oddVBand="0" w:evenVBand="0" w:oddHBand="0" w:evenHBand="0" w:firstRowFirstColumn="0" w:firstRowLastColumn="0" w:lastRowFirstColumn="0" w:lastRowLastColumn="0"/>
            <w:tcW w:w="3110" w:type="dxa"/>
            <w:noWrap/>
            <w:hideMark/>
          </w:tcPr>
          <w:p w:rsidR="00133E08" w:rsidRPr="00236D53" w:rsidRDefault="00133E08" w:rsidP="00133E08">
            <w:pPr>
              <w:rPr>
                <w:rFonts w:ascii="Calibri" w:eastAsia="Times New Roman" w:hAnsi="Calibri" w:cs="Times New Roman"/>
                <w:color w:val="000000"/>
              </w:rPr>
            </w:pPr>
            <w:r w:rsidRPr="00236D53">
              <w:rPr>
                <w:rFonts w:ascii="Calibri" w:eastAsia="Times New Roman" w:hAnsi="Calibri" w:cs="Times New Roman"/>
                <w:color w:val="000000"/>
              </w:rPr>
              <w:t>Turbine Density (#/(km)^2)</w:t>
            </w:r>
          </w:p>
        </w:tc>
        <w:tc>
          <w:tcPr>
            <w:tcW w:w="1010" w:type="dxa"/>
            <w:noWrap/>
            <w:hideMark/>
          </w:tcPr>
          <w:p w:rsidR="00133E08" w:rsidRPr="00133E08" w:rsidRDefault="00133E08" w:rsidP="001A1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0.01</w:t>
            </w:r>
          </w:p>
        </w:tc>
        <w:tc>
          <w:tcPr>
            <w:tcW w:w="1321" w:type="dxa"/>
            <w:noWrap/>
            <w:hideMark/>
          </w:tcPr>
          <w:p w:rsidR="00133E08" w:rsidRPr="00133E08" w:rsidRDefault="00133E08" w:rsidP="001A1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0.31</w:t>
            </w:r>
          </w:p>
        </w:tc>
        <w:tc>
          <w:tcPr>
            <w:tcW w:w="906" w:type="dxa"/>
            <w:noWrap/>
            <w:hideMark/>
          </w:tcPr>
          <w:p w:rsidR="00133E08" w:rsidRPr="00133E08" w:rsidRDefault="00133E08" w:rsidP="001A1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0.50</w:t>
            </w:r>
          </w:p>
        </w:tc>
        <w:tc>
          <w:tcPr>
            <w:tcW w:w="1225" w:type="dxa"/>
          </w:tcPr>
          <w:p w:rsidR="00133E08" w:rsidRPr="00133E08" w:rsidRDefault="00133E08" w:rsidP="001A1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0.78</w:t>
            </w:r>
          </w:p>
        </w:tc>
        <w:tc>
          <w:tcPr>
            <w:tcW w:w="1963" w:type="dxa"/>
            <w:noWrap/>
            <w:hideMark/>
          </w:tcPr>
          <w:p w:rsidR="00133E08" w:rsidRPr="00133E08" w:rsidRDefault="00133E08" w:rsidP="001A1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2.80</w:t>
            </w:r>
          </w:p>
        </w:tc>
      </w:tr>
      <w:tr w:rsidR="00133E08" w:rsidRPr="00236D53" w:rsidTr="001A1312">
        <w:trPr>
          <w:trHeight w:val="207"/>
        </w:trPr>
        <w:tc>
          <w:tcPr>
            <w:cnfStyle w:val="001000000000" w:firstRow="0" w:lastRow="0" w:firstColumn="1" w:lastColumn="0" w:oddVBand="0" w:evenVBand="0" w:oddHBand="0" w:evenHBand="0" w:firstRowFirstColumn="0" w:firstRowLastColumn="0" w:lastRowFirstColumn="0" w:lastRowLastColumn="0"/>
            <w:tcW w:w="3110" w:type="dxa"/>
            <w:noWrap/>
            <w:hideMark/>
          </w:tcPr>
          <w:p w:rsidR="00133E08" w:rsidRPr="00236D53" w:rsidRDefault="00157A96" w:rsidP="00133E08">
            <w:pPr>
              <w:rPr>
                <w:rFonts w:ascii="Calibri" w:eastAsia="Times New Roman" w:hAnsi="Calibri" w:cs="Times New Roman"/>
                <w:color w:val="000000"/>
              </w:rPr>
            </w:pPr>
            <w:r>
              <w:rPr>
                <w:rFonts w:ascii="Calibri" w:eastAsia="Times New Roman" w:hAnsi="Calibri" w:cs="Times New Roman"/>
                <w:color w:val="000000"/>
              </w:rPr>
              <w:t>Wind Turbine</w:t>
            </w:r>
            <w:r w:rsidR="00133E08" w:rsidRPr="00236D53">
              <w:rPr>
                <w:rFonts w:ascii="Calibri" w:eastAsia="Times New Roman" w:hAnsi="Calibri" w:cs="Times New Roman"/>
                <w:color w:val="000000"/>
              </w:rPr>
              <w:t xml:space="preserve"> Cost ($ Billions)</w:t>
            </w:r>
          </w:p>
        </w:tc>
        <w:tc>
          <w:tcPr>
            <w:tcW w:w="1010"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10.0</w:t>
            </w:r>
          </w:p>
        </w:tc>
        <w:tc>
          <w:tcPr>
            <w:tcW w:w="1321"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215.1</w:t>
            </w:r>
          </w:p>
        </w:tc>
        <w:tc>
          <w:tcPr>
            <w:tcW w:w="906"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350.5</w:t>
            </w:r>
          </w:p>
        </w:tc>
        <w:tc>
          <w:tcPr>
            <w:tcW w:w="1225" w:type="dxa"/>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549.1</w:t>
            </w:r>
          </w:p>
        </w:tc>
        <w:tc>
          <w:tcPr>
            <w:tcW w:w="1963"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1966.0</w:t>
            </w:r>
          </w:p>
        </w:tc>
      </w:tr>
      <w:tr w:rsidR="00133E08" w:rsidRPr="00236D53" w:rsidTr="001A1312">
        <w:trPr>
          <w:trHeight w:val="207"/>
        </w:trPr>
        <w:tc>
          <w:tcPr>
            <w:cnfStyle w:val="001000000000" w:firstRow="0" w:lastRow="0" w:firstColumn="1" w:lastColumn="0" w:oddVBand="0" w:evenVBand="0" w:oddHBand="0" w:evenHBand="0" w:firstRowFirstColumn="0" w:firstRowLastColumn="0" w:lastRowFirstColumn="0" w:lastRowLastColumn="0"/>
            <w:tcW w:w="3110" w:type="dxa"/>
            <w:noWrap/>
            <w:hideMark/>
          </w:tcPr>
          <w:p w:rsidR="00133E08" w:rsidRPr="00236D53" w:rsidRDefault="00133E08" w:rsidP="00133E08">
            <w:pPr>
              <w:rPr>
                <w:rFonts w:ascii="Calibri" w:eastAsia="Times New Roman" w:hAnsi="Calibri" w:cs="Times New Roman"/>
                <w:color w:val="000000"/>
              </w:rPr>
            </w:pPr>
            <w:r w:rsidRPr="00236D53">
              <w:rPr>
                <w:rFonts w:ascii="Calibri" w:eastAsia="Times New Roman" w:hAnsi="Calibri" w:cs="Times New Roman"/>
                <w:color w:val="000000"/>
              </w:rPr>
              <w:t>Transmission Cost ($ Billions)</w:t>
            </w:r>
          </w:p>
        </w:tc>
        <w:tc>
          <w:tcPr>
            <w:tcW w:w="1010"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0.0</w:t>
            </w:r>
          </w:p>
        </w:tc>
        <w:tc>
          <w:tcPr>
            <w:tcW w:w="1321"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9.7</w:t>
            </w:r>
          </w:p>
        </w:tc>
        <w:tc>
          <w:tcPr>
            <w:tcW w:w="906"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16.9</w:t>
            </w:r>
          </w:p>
        </w:tc>
        <w:tc>
          <w:tcPr>
            <w:tcW w:w="1225" w:type="dxa"/>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27.4</w:t>
            </w:r>
          </w:p>
        </w:tc>
        <w:tc>
          <w:tcPr>
            <w:tcW w:w="1963"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105.4</w:t>
            </w:r>
          </w:p>
        </w:tc>
      </w:tr>
      <w:tr w:rsidR="00133E08" w:rsidRPr="00236D53" w:rsidTr="001A1312">
        <w:trPr>
          <w:trHeight w:val="207"/>
        </w:trPr>
        <w:tc>
          <w:tcPr>
            <w:cnfStyle w:val="001000000000" w:firstRow="0" w:lastRow="0" w:firstColumn="1" w:lastColumn="0" w:oddVBand="0" w:evenVBand="0" w:oddHBand="0" w:evenHBand="0" w:firstRowFirstColumn="0" w:firstRowLastColumn="0" w:lastRowFirstColumn="0" w:lastRowLastColumn="0"/>
            <w:tcW w:w="3110" w:type="dxa"/>
            <w:noWrap/>
            <w:hideMark/>
          </w:tcPr>
          <w:p w:rsidR="00133E08" w:rsidRPr="00236D53" w:rsidRDefault="00133E08" w:rsidP="00133E08">
            <w:pPr>
              <w:rPr>
                <w:rFonts w:ascii="Calibri" w:eastAsia="Times New Roman" w:hAnsi="Calibri" w:cs="Times New Roman"/>
                <w:color w:val="000000"/>
              </w:rPr>
            </w:pPr>
            <w:r w:rsidRPr="00236D53">
              <w:rPr>
                <w:rFonts w:ascii="Calibri" w:eastAsia="Times New Roman" w:hAnsi="Calibri" w:cs="Times New Roman"/>
                <w:color w:val="000000"/>
              </w:rPr>
              <w:t>Name Plate Capacity (GW)</w:t>
            </w:r>
          </w:p>
        </w:tc>
        <w:tc>
          <w:tcPr>
            <w:tcW w:w="1010"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5.0</w:t>
            </w:r>
          </w:p>
        </w:tc>
        <w:tc>
          <w:tcPr>
            <w:tcW w:w="1321"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107.5</w:t>
            </w:r>
          </w:p>
        </w:tc>
        <w:tc>
          <w:tcPr>
            <w:tcW w:w="906"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175.3</w:t>
            </w:r>
          </w:p>
        </w:tc>
        <w:tc>
          <w:tcPr>
            <w:tcW w:w="1225" w:type="dxa"/>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274.5</w:t>
            </w:r>
          </w:p>
        </w:tc>
        <w:tc>
          <w:tcPr>
            <w:tcW w:w="1963"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983.0</w:t>
            </w:r>
          </w:p>
        </w:tc>
      </w:tr>
      <w:tr w:rsidR="00133E08" w:rsidRPr="00236D53" w:rsidTr="001A1312">
        <w:trPr>
          <w:trHeight w:val="207"/>
        </w:trPr>
        <w:tc>
          <w:tcPr>
            <w:cnfStyle w:val="001000000000" w:firstRow="0" w:lastRow="0" w:firstColumn="1" w:lastColumn="0" w:oddVBand="0" w:evenVBand="0" w:oddHBand="0" w:evenHBand="0" w:firstRowFirstColumn="0" w:firstRowLastColumn="0" w:lastRowFirstColumn="0" w:lastRowLastColumn="0"/>
            <w:tcW w:w="3110" w:type="dxa"/>
            <w:noWrap/>
            <w:hideMark/>
          </w:tcPr>
          <w:p w:rsidR="00133E08" w:rsidRPr="00236D53" w:rsidRDefault="00133E08" w:rsidP="00133E08">
            <w:pPr>
              <w:rPr>
                <w:rFonts w:ascii="Calibri" w:eastAsia="Times New Roman" w:hAnsi="Calibri" w:cs="Times New Roman"/>
                <w:color w:val="000000"/>
              </w:rPr>
            </w:pPr>
            <w:r w:rsidRPr="00236D53">
              <w:rPr>
                <w:rFonts w:ascii="Calibri" w:eastAsia="Times New Roman" w:hAnsi="Calibri" w:cs="Times New Roman"/>
                <w:color w:val="000000"/>
              </w:rPr>
              <w:t>Generation (GW)</w:t>
            </w:r>
          </w:p>
        </w:tc>
        <w:tc>
          <w:tcPr>
            <w:tcW w:w="1010"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0.4</w:t>
            </w:r>
          </w:p>
        </w:tc>
        <w:tc>
          <w:tcPr>
            <w:tcW w:w="1321"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9.6</w:t>
            </w:r>
          </w:p>
        </w:tc>
        <w:tc>
          <w:tcPr>
            <w:tcW w:w="906"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15.6</w:t>
            </w:r>
          </w:p>
        </w:tc>
        <w:tc>
          <w:tcPr>
            <w:tcW w:w="1225" w:type="dxa"/>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24.4</w:t>
            </w:r>
          </w:p>
        </w:tc>
        <w:tc>
          <w:tcPr>
            <w:tcW w:w="1963"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87.5</w:t>
            </w:r>
          </w:p>
        </w:tc>
      </w:tr>
      <w:tr w:rsidR="00133E08" w:rsidRPr="00236D53" w:rsidTr="001A1312">
        <w:trPr>
          <w:trHeight w:val="207"/>
        </w:trPr>
        <w:tc>
          <w:tcPr>
            <w:cnfStyle w:val="001000000000" w:firstRow="0" w:lastRow="0" w:firstColumn="1" w:lastColumn="0" w:oddVBand="0" w:evenVBand="0" w:oddHBand="0" w:evenHBand="0" w:firstRowFirstColumn="0" w:firstRowLastColumn="0" w:lastRowFirstColumn="0" w:lastRowLastColumn="0"/>
            <w:tcW w:w="3110" w:type="dxa"/>
            <w:noWrap/>
            <w:hideMark/>
          </w:tcPr>
          <w:p w:rsidR="00133E08" w:rsidRPr="00236D53" w:rsidRDefault="00133E08" w:rsidP="00133E08">
            <w:pPr>
              <w:rPr>
                <w:rFonts w:ascii="Calibri" w:eastAsia="Times New Roman" w:hAnsi="Calibri" w:cs="Times New Roman"/>
                <w:color w:val="000000"/>
              </w:rPr>
            </w:pPr>
            <w:r w:rsidRPr="00236D53">
              <w:rPr>
                <w:rFonts w:ascii="Calibri" w:eastAsia="Times New Roman" w:hAnsi="Calibri" w:cs="Times New Roman"/>
                <w:color w:val="000000"/>
              </w:rPr>
              <w:t xml:space="preserve">Wind Turbine Emissions </w:t>
            </w:r>
            <w:r>
              <w:rPr>
                <w:rFonts w:ascii="Calibri" w:eastAsia="Times New Roman" w:hAnsi="Calibri" w:cs="Times New Roman"/>
                <w:color w:val="000000"/>
              </w:rPr>
              <w:br/>
            </w:r>
            <w:r w:rsidRPr="00236D53">
              <w:rPr>
                <w:rFonts w:ascii="Calibri" w:eastAsia="Times New Roman" w:hAnsi="Calibri" w:cs="Times New Roman"/>
                <w:color w:val="000000"/>
              </w:rPr>
              <w:t>(MT CO2-eq)</w:t>
            </w:r>
          </w:p>
        </w:tc>
        <w:tc>
          <w:tcPr>
            <w:tcW w:w="1010"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41</w:t>
            </w:r>
          </w:p>
        </w:tc>
        <w:tc>
          <w:tcPr>
            <w:tcW w:w="1321"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872</w:t>
            </w:r>
          </w:p>
        </w:tc>
        <w:tc>
          <w:tcPr>
            <w:tcW w:w="906"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1421</w:t>
            </w:r>
          </w:p>
        </w:tc>
        <w:tc>
          <w:tcPr>
            <w:tcW w:w="1225" w:type="dxa"/>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2226</w:t>
            </w:r>
          </w:p>
        </w:tc>
        <w:tc>
          <w:tcPr>
            <w:tcW w:w="1963"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7970</w:t>
            </w:r>
          </w:p>
        </w:tc>
      </w:tr>
      <w:tr w:rsidR="00133E08" w:rsidRPr="00236D53" w:rsidTr="001A1312">
        <w:trPr>
          <w:trHeight w:val="207"/>
        </w:trPr>
        <w:tc>
          <w:tcPr>
            <w:cnfStyle w:val="001000000000" w:firstRow="0" w:lastRow="0" w:firstColumn="1" w:lastColumn="0" w:oddVBand="0" w:evenVBand="0" w:oddHBand="0" w:evenHBand="0" w:firstRowFirstColumn="0" w:firstRowLastColumn="0" w:lastRowFirstColumn="0" w:lastRowLastColumn="0"/>
            <w:tcW w:w="3110" w:type="dxa"/>
            <w:noWrap/>
            <w:hideMark/>
          </w:tcPr>
          <w:p w:rsidR="00133E08" w:rsidRPr="00236D53" w:rsidRDefault="00133E08" w:rsidP="00133E08">
            <w:pPr>
              <w:rPr>
                <w:rFonts w:ascii="Calibri" w:eastAsia="Times New Roman" w:hAnsi="Calibri" w:cs="Times New Roman"/>
                <w:color w:val="000000"/>
              </w:rPr>
            </w:pPr>
            <w:r w:rsidRPr="00236D53">
              <w:rPr>
                <w:rFonts w:ascii="Calibri" w:eastAsia="Times New Roman" w:hAnsi="Calibri" w:cs="Times New Roman"/>
                <w:color w:val="000000"/>
              </w:rPr>
              <w:t xml:space="preserve">Annual Carbon Offset </w:t>
            </w:r>
            <w:r>
              <w:rPr>
                <w:rFonts w:ascii="Calibri" w:eastAsia="Times New Roman" w:hAnsi="Calibri" w:cs="Times New Roman"/>
                <w:color w:val="000000"/>
              </w:rPr>
              <w:br/>
            </w:r>
            <w:r w:rsidRPr="00236D53">
              <w:rPr>
                <w:rFonts w:ascii="Calibri" w:eastAsia="Times New Roman" w:hAnsi="Calibri" w:cs="Times New Roman"/>
                <w:color w:val="000000"/>
              </w:rPr>
              <w:t>(MT CO2-eq)</w:t>
            </w:r>
          </w:p>
        </w:tc>
        <w:tc>
          <w:tcPr>
            <w:tcW w:w="1010" w:type="dxa"/>
            <w:noWrap/>
            <w:vAlign w:val="bottom"/>
            <w:hideMark/>
          </w:tcPr>
          <w:p w:rsidR="00133E08" w:rsidRPr="00133E08" w:rsidRDefault="00133E08" w:rsidP="001A1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2,285</w:t>
            </w:r>
          </w:p>
        </w:tc>
        <w:tc>
          <w:tcPr>
            <w:tcW w:w="1321" w:type="dxa"/>
            <w:noWrap/>
            <w:vAlign w:val="bottom"/>
            <w:hideMark/>
          </w:tcPr>
          <w:p w:rsidR="00133E08" w:rsidRPr="00133E08" w:rsidRDefault="00133E08" w:rsidP="001A1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47,889</w:t>
            </w:r>
          </w:p>
        </w:tc>
        <w:tc>
          <w:tcPr>
            <w:tcW w:w="906" w:type="dxa"/>
            <w:noWrap/>
            <w:vAlign w:val="bottom"/>
            <w:hideMark/>
          </w:tcPr>
          <w:p w:rsidR="00133E08" w:rsidRPr="00133E08" w:rsidRDefault="00133E08" w:rsidP="001A1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75,725</w:t>
            </w:r>
          </w:p>
        </w:tc>
        <w:tc>
          <w:tcPr>
            <w:tcW w:w="1225" w:type="dxa"/>
            <w:vAlign w:val="bottom"/>
          </w:tcPr>
          <w:p w:rsidR="00133E08" w:rsidRPr="00133E08" w:rsidRDefault="00133E08" w:rsidP="001A1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116,544</w:t>
            </w:r>
          </w:p>
        </w:tc>
        <w:tc>
          <w:tcPr>
            <w:tcW w:w="1963" w:type="dxa"/>
            <w:noWrap/>
            <w:vAlign w:val="bottom"/>
            <w:hideMark/>
          </w:tcPr>
          <w:p w:rsidR="00133E08" w:rsidRPr="00133E08" w:rsidRDefault="00133E08" w:rsidP="001A1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350,327</w:t>
            </w:r>
          </w:p>
        </w:tc>
      </w:tr>
      <w:tr w:rsidR="00133E08" w:rsidRPr="00236D53" w:rsidTr="001A1312">
        <w:trPr>
          <w:trHeight w:val="207"/>
        </w:trPr>
        <w:tc>
          <w:tcPr>
            <w:cnfStyle w:val="001000000000" w:firstRow="0" w:lastRow="0" w:firstColumn="1" w:lastColumn="0" w:oddVBand="0" w:evenVBand="0" w:oddHBand="0" w:evenHBand="0" w:firstRowFirstColumn="0" w:firstRowLastColumn="0" w:lastRowFirstColumn="0" w:lastRowLastColumn="0"/>
            <w:tcW w:w="3110" w:type="dxa"/>
            <w:noWrap/>
            <w:hideMark/>
          </w:tcPr>
          <w:p w:rsidR="00133E08" w:rsidRPr="00236D53" w:rsidRDefault="00133E08" w:rsidP="00133E08">
            <w:pPr>
              <w:rPr>
                <w:rFonts w:ascii="Calibri" w:eastAsia="Times New Roman" w:hAnsi="Calibri" w:cs="Times New Roman"/>
                <w:color w:val="000000"/>
              </w:rPr>
            </w:pPr>
            <w:r w:rsidRPr="00236D53">
              <w:rPr>
                <w:rFonts w:ascii="Calibri" w:eastAsia="Times New Roman" w:hAnsi="Calibri" w:cs="Times New Roman"/>
                <w:color w:val="000000"/>
              </w:rPr>
              <w:t>Incremental Carbon Ratio</w:t>
            </w:r>
          </w:p>
        </w:tc>
        <w:tc>
          <w:tcPr>
            <w:tcW w:w="1010"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5%</w:t>
            </w:r>
          </w:p>
        </w:tc>
        <w:tc>
          <w:tcPr>
            <w:tcW w:w="1321"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100%</w:t>
            </w:r>
          </w:p>
        </w:tc>
        <w:tc>
          <w:tcPr>
            <w:tcW w:w="906"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158%</w:t>
            </w:r>
          </w:p>
        </w:tc>
        <w:tc>
          <w:tcPr>
            <w:tcW w:w="1225" w:type="dxa"/>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243%</w:t>
            </w:r>
          </w:p>
        </w:tc>
        <w:tc>
          <w:tcPr>
            <w:tcW w:w="1963"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732%</w:t>
            </w:r>
          </w:p>
        </w:tc>
      </w:tr>
      <w:tr w:rsidR="00133E08" w:rsidRPr="00236D53" w:rsidTr="001A1312">
        <w:trPr>
          <w:trHeight w:val="207"/>
        </w:trPr>
        <w:tc>
          <w:tcPr>
            <w:cnfStyle w:val="001000000000" w:firstRow="0" w:lastRow="0" w:firstColumn="1" w:lastColumn="0" w:oddVBand="0" w:evenVBand="0" w:oddHBand="0" w:evenHBand="0" w:firstRowFirstColumn="0" w:firstRowLastColumn="0" w:lastRowFirstColumn="0" w:lastRowLastColumn="0"/>
            <w:tcW w:w="3110" w:type="dxa"/>
            <w:noWrap/>
            <w:hideMark/>
          </w:tcPr>
          <w:p w:rsidR="00133E08" w:rsidRPr="00236D53" w:rsidRDefault="00133E08" w:rsidP="00133E08">
            <w:pPr>
              <w:rPr>
                <w:rFonts w:ascii="Calibri" w:eastAsia="Times New Roman" w:hAnsi="Calibri" w:cs="Times New Roman"/>
                <w:color w:val="000000"/>
              </w:rPr>
            </w:pPr>
            <w:r w:rsidRPr="00236D53">
              <w:rPr>
                <w:rFonts w:ascii="Calibri" w:eastAsia="Times New Roman" w:hAnsi="Calibri" w:cs="Times New Roman"/>
                <w:color w:val="000000"/>
              </w:rPr>
              <w:t>Production Carbon Ratio</w:t>
            </w:r>
          </w:p>
        </w:tc>
        <w:tc>
          <w:tcPr>
            <w:tcW w:w="1010"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2%</w:t>
            </w:r>
          </w:p>
        </w:tc>
        <w:tc>
          <w:tcPr>
            <w:tcW w:w="1321"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41%</w:t>
            </w:r>
          </w:p>
        </w:tc>
        <w:tc>
          <w:tcPr>
            <w:tcW w:w="906"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65%</w:t>
            </w:r>
          </w:p>
        </w:tc>
        <w:tc>
          <w:tcPr>
            <w:tcW w:w="1225" w:type="dxa"/>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100%</w:t>
            </w:r>
          </w:p>
        </w:tc>
        <w:tc>
          <w:tcPr>
            <w:tcW w:w="1963"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301%</w:t>
            </w:r>
          </w:p>
        </w:tc>
      </w:tr>
      <w:tr w:rsidR="00133E08" w:rsidRPr="00236D53" w:rsidTr="001A1312">
        <w:trPr>
          <w:trHeight w:val="207"/>
        </w:trPr>
        <w:tc>
          <w:tcPr>
            <w:cnfStyle w:val="001000000000" w:firstRow="0" w:lastRow="0" w:firstColumn="1" w:lastColumn="0" w:oddVBand="0" w:evenVBand="0" w:oddHBand="0" w:evenHBand="0" w:firstRowFirstColumn="0" w:firstRowLastColumn="0" w:lastRowFirstColumn="0" w:lastRowLastColumn="0"/>
            <w:tcW w:w="3110" w:type="dxa"/>
            <w:noWrap/>
            <w:hideMark/>
          </w:tcPr>
          <w:p w:rsidR="00133E08" w:rsidRPr="00236D53" w:rsidRDefault="00133E08" w:rsidP="00133E08">
            <w:pPr>
              <w:rPr>
                <w:rFonts w:ascii="Calibri" w:eastAsia="Times New Roman" w:hAnsi="Calibri" w:cs="Times New Roman"/>
                <w:color w:val="000000"/>
              </w:rPr>
            </w:pPr>
            <w:r w:rsidRPr="00236D53">
              <w:rPr>
                <w:rFonts w:ascii="Calibri" w:eastAsia="Times New Roman" w:hAnsi="Calibri" w:cs="Times New Roman"/>
                <w:color w:val="000000"/>
              </w:rPr>
              <w:t>Total Carbon Ratio</w:t>
            </w:r>
          </w:p>
        </w:tc>
        <w:tc>
          <w:tcPr>
            <w:tcW w:w="1010"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w:t>
            </w:r>
          </w:p>
        </w:tc>
        <w:tc>
          <w:tcPr>
            <w:tcW w:w="1321"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13%</w:t>
            </w:r>
          </w:p>
        </w:tc>
        <w:tc>
          <w:tcPr>
            <w:tcW w:w="906"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20%</w:t>
            </w:r>
          </w:p>
        </w:tc>
        <w:tc>
          <w:tcPr>
            <w:tcW w:w="1225" w:type="dxa"/>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31%</w:t>
            </w:r>
          </w:p>
        </w:tc>
        <w:tc>
          <w:tcPr>
            <w:tcW w:w="1963" w:type="dxa"/>
            <w:noWrap/>
            <w:vAlign w:val="bottom"/>
            <w:hideMark/>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93%</w:t>
            </w:r>
          </w:p>
        </w:tc>
      </w:tr>
      <w:tr w:rsidR="00133E08" w:rsidRPr="00236D53" w:rsidTr="001A1312">
        <w:trPr>
          <w:trHeight w:val="207"/>
        </w:trPr>
        <w:tc>
          <w:tcPr>
            <w:cnfStyle w:val="001000000000" w:firstRow="0" w:lastRow="0" w:firstColumn="1" w:lastColumn="0" w:oddVBand="0" w:evenVBand="0" w:oddHBand="0" w:evenHBand="0" w:firstRowFirstColumn="0" w:firstRowLastColumn="0" w:lastRowFirstColumn="0" w:lastRowLastColumn="0"/>
            <w:tcW w:w="3110" w:type="dxa"/>
            <w:noWrap/>
            <w:vAlign w:val="bottom"/>
          </w:tcPr>
          <w:p w:rsidR="00133E08" w:rsidRPr="00236D53" w:rsidRDefault="00133E08" w:rsidP="00133E08">
            <w:pPr>
              <w:rPr>
                <w:rFonts w:ascii="Calibri" w:hAnsi="Calibri"/>
                <w:color w:val="000000"/>
              </w:rPr>
            </w:pPr>
            <w:r w:rsidRPr="00236D53">
              <w:rPr>
                <w:rFonts w:ascii="Calibri" w:hAnsi="Calibri"/>
                <w:bCs w:val="0"/>
                <w:color w:val="000000"/>
              </w:rPr>
              <w:t>Percent of Alberta's Generation</w:t>
            </w:r>
          </w:p>
        </w:tc>
        <w:tc>
          <w:tcPr>
            <w:tcW w:w="1010" w:type="dxa"/>
            <w:noWrap/>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4%</w:t>
            </w:r>
          </w:p>
        </w:tc>
        <w:tc>
          <w:tcPr>
            <w:tcW w:w="1321" w:type="dxa"/>
            <w:noWrap/>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86%</w:t>
            </w:r>
          </w:p>
        </w:tc>
        <w:tc>
          <w:tcPr>
            <w:tcW w:w="906" w:type="dxa"/>
            <w:noWrap/>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141%</w:t>
            </w:r>
          </w:p>
        </w:tc>
        <w:tc>
          <w:tcPr>
            <w:tcW w:w="1225" w:type="dxa"/>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220%</w:t>
            </w:r>
          </w:p>
        </w:tc>
        <w:tc>
          <w:tcPr>
            <w:tcW w:w="1963" w:type="dxa"/>
            <w:noWrap/>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788%</w:t>
            </w:r>
          </w:p>
        </w:tc>
      </w:tr>
      <w:tr w:rsidR="00133E08" w:rsidRPr="00236D53" w:rsidTr="001A1312">
        <w:trPr>
          <w:trHeight w:val="207"/>
        </w:trPr>
        <w:tc>
          <w:tcPr>
            <w:cnfStyle w:val="001000000000" w:firstRow="0" w:lastRow="0" w:firstColumn="1" w:lastColumn="0" w:oddVBand="0" w:evenVBand="0" w:oddHBand="0" w:evenHBand="0" w:firstRowFirstColumn="0" w:firstRowLastColumn="0" w:lastRowFirstColumn="0" w:lastRowLastColumn="0"/>
            <w:tcW w:w="3110" w:type="dxa"/>
            <w:noWrap/>
            <w:vAlign w:val="bottom"/>
          </w:tcPr>
          <w:p w:rsidR="00133E08" w:rsidRPr="00236D53" w:rsidRDefault="00133E08" w:rsidP="00133E08">
            <w:pPr>
              <w:rPr>
                <w:rFonts w:ascii="Calibri" w:hAnsi="Calibri"/>
                <w:color w:val="000000"/>
              </w:rPr>
            </w:pPr>
            <w:r w:rsidRPr="00236D53">
              <w:rPr>
                <w:rFonts w:ascii="Calibri" w:hAnsi="Calibri"/>
                <w:bCs w:val="0"/>
                <w:color w:val="000000"/>
              </w:rPr>
              <w:t>Percent of Canada's Generation</w:t>
            </w:r>
          </w:p>
        </w:tc>
        <w:tc>
          <w:tcPr>
            <w:tcW w:w="1010" w:type="dxa"/>
            <w:noWrap/>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w:t>
            </w:r>
          </w:p>
        </w:tc>
        <w:tc>
          <w:tcPr>
            <w:tcW w:w="1321" w:type="dxa"/>
            <w:noWrap/>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15%</w:t>
            </w:r>
          </w:p>
        </w:tc>
        <w:tc>
          <w:tcPr>
            <w:tcW w:w="906" w:type="dxa"/>
            <w:noWrap/>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25%</w:t>
            </w:r>
          </w:p>
        </w:tc>
        <w:tc>
          <w:tcPr>
            <w:tcW w:w="1225" w:type="dxa"/>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39%</w:t>
            </w:r>
          </w:p>
        </w:tc>
        <w:tc>
          <w:tcPr>
            <w:tcW w:w="1963" w:type="dxa"/>
            <w:noWrap/>
            <w:vAlign w:val="bottom"/>
          </w:tcPr>
          <w:p w:rsidR="00133E08" w:rsidRPr="00133E08" w:rsidRDefault="00133E08" w:rsidP="00133E0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133E08">
              <w:rPr>
                <w:rFonts w:ascii="Calibri" w:hAnsi="Calibri"/>
                <w:color w:val="000000" w:themeColor="text1"/>
              </w:rPr>
              <w:t>139%</w:t>
            </w:r>
          </w:p>
        </w:tc>
      </w:tr>
    </w:tbl>
    <w:p w:rsidR="002E4507" w:rsidRDefault="002E4507" w:rsidP="003709F8"/>
    <w:p w:rsidR="00B378A6" w:rsidRDefault="00B378A6" w:rsidP="003709F8"/>
    <w:p w:rsidR="00B378A6" w:rsidRDefault="00B378A6" w:rsidP="003709F8"/>
    <w:p w:rsidR="00CF75C4" w:rsidRDefault="00307803" w:rsidP="00CF75C4">
      <w:pPr>
        <w:keepNext/>
      </w:pPr>
      <w:r>
        <w:rPr>
          <w:noProof/>
          <w:lang w:val="en-CA" w:eastAsia="en-CA"/>
        </w:rPr>
        <w:drawing>
          <wp:inline distT="0" distB="0" distL="0" distR="0" wp14:anchorId="37058554" wp14:editId="69D8B477">
            <wp:extent cx="5803900" cy="3204376"/>
            <wp:effectExtent l="0" t="0" r="63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07803" w:rsidRDefault="00CF75C4" w:rsidP="00CF75C4">
      <w:pPr>
        <w:pStyle w:val="Caption"/>
      </w:pPr>
      <w:r>
        <w:t xml:space="preserve">Figure </w:t>
      </w:r>
      <w:fldSimple w:instr=" SEQ Figure \* ARABIC ">
        <w:r w:rsidR="00157A96">
          <w:rPr>
            <w:noProof/>
          </w:rPr>
          <w:t>1</w:t>
        </w:r>
      </w:fldSimple>
      <w:r>
        <w:t xml:space="preserve">: The viability of the proposed scheme with </w:t>
      </w:r>
      <w:r w:rsidR="00B378A6">
        <w:t>8.</w:t>
      </w:r>
      <w:r>
        <w:t>9% capacity factor, charging $17/bbl and $0.04/kWh</w:t>
      </w:r>
      <w:r w:rsidR="00B378A6" w:rsidRPr="00B378A6">
        <w:rPr>
          <w:vertAlign w:val="subscript"/>
        </w:rPr>
        <w:t>wind</w:t>
      </w:r>
    </w:p>
    <w:p w:rsidR="00157A96" w:rsidRDefault="00157A96" w:rsidP="00157A96">
      <w:pPr>
        <w:keepNext/>
      </w:pPr>
      <w:r>
        <w:rPr>
          <w:noProof/>
          <w:lang w:val="en-CA" w:eastAsia="en-CA"/>
        </w:rPr>
        <w:lastRenderedPageBreak/>
        <w:drawing>
          <wp:inline distT="0" distB="0" distL="0" distR="0" wp14:anchorId="399027FA" wp14:editId="6A5A6720">
            <wp:extent cx="5927697" cy="4968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boCostBreakDown.png"/>
                    <pic:cNvPicPr/>
                  </pic:nvPicPr>
                  <pic:blipFill rotWithShape="1">
                    <a:blip r:embed="rId9">
                      <a:extLst>
                        <a:ext uri="{28A0092B-C50C-407E-A947-70E740481C1C}">
                          <a14:useLocalDpi xmlns:a14="http://schemas.microsoft.com/office/drawing/2010/main" val="0"/>
                        </a:ext>
                      </a:extLst>
                    </a:blip>
                    <a:srcRect l="267"/>
                    <a:stretch/>
                  </pic:blipFill>
                  <pic:spPr bwMode="auto">
                    <a:xfrm>
                      <a:off x="0" y="0"/>
                      <a:ext cx="5927697" cy="4968240"/>
                    </a:xfrm>
                    <a:prstGeom prst="rect">
                      <a:avLst/>
                    </a:prstGeom>
                    <a:ln>
                      <a:noFill/>
                    </a:ln>
                    <a:extLst>
                      <a:ext uri="{53640926-AAD7-44D8-BBD7-CCE9431645EC}">
                        <a14:shadowObscured xmlns:a14="http://schemas.microsoft.com/office/drawing/2010/main"/>
                      </a:ext>
                    </a:extLst>
                  </pic:spPr>
                </pic:pic>
              </a:graphicData>
            </a:graphic>
          </wp:inline>
        </w:drawing>
      </w:r>
    </w:p>
    <w:p w:rsidR="002E4507" w:rsidRPr="002E4507" w:rsidRDefault="00157A96" w:rsidP="00157A96">
      <w:pPr>
        <w:pStyle w:val="Caption"/>
      </w:pPr>
      <w:bookmarkStart w:id="4" w:name="_Ref435432504"/>
      <w:r>
        <w:t xml:space="preserve">Figure </w:t>
      </w:r>
      <w:fldSimple w:instr=" SEQ Figure \* ARABIC ">
        <w:r>
          <w:rPr>
            <w:noProof/>
          </w:rPr>
          <w:t>2</w:t>
        </w:r>
      </w:fldSimple>
      <w:bookmarkEnd w:id="4"/>
      <w:r>
        <w:t xml:space="preserve">: The effect capacity factor has </w:t>
      </w:r>
      <w:r w:rsidR="00ED4CCE">
        <w:t xml:space="preserve">on the net present value (NPV) of the proposal’s total </w:t>
      </w:r>
      <w:r>
        <w:t>cost</w:t>
      </w:r>
      <w:r w:rsidR="00ED4CCE">
        <w:t>s</w:t>
      </w:r>
      <w:r>
        <w:t xml:space="preserve"> (A), cost effectiveness (B), and net emissions reductions (C). Two scenarios are compared: the predicted scenario at Fort McMurray – a capacity </w:t>
      </w:r>
      <w:r w:rsidR="00ED4CCE">
        <w:t xml:space="preserve">factor of 8.9% (8.9% CF) and a </w:t>
      </w:r>
      <w:r>
        <w:t>hypothesized alternative scenario with a capacity factor of 30% (30% CF).</w:t>
      </w:r>
    </w:p>
    <w:p w:rsidR="00704027" w:rsidRDefault="00704027">
      <w:pPr>
        <w:rPr>
          <w:i/>
        </w:rPr>
      </w:pPr>
      <w:r>
        <w:rPr>
          <w:i/>
        </w:rPr>
        <w:br w:type="page"/>
      </w:r>
    </w:p>
    <w:p w:rsidR="00704027" w:rsidRDefault="00704027" w:rsidP="00704027">
      <w:pPr>
        <w:pStyle w:val="Heading1"/>
      </w:pPr>
      <w:r>
        <w:lastRenderedPageBreak/>
        <w:t>References</w:t>
      </w:r>
    </w:p>
    <w:p w:rsidR="00704027" w:rsidRPr="000A7FED" w:rsidRDefault="00704027" w:rsidP="00704027">
      <w:pPr>
        <w:pStyle w:val="Bibliography"/>
        <w:rPr>
          <w:rFonts w:ascii="Calibri" w:hAnsi="Calibri"/>
        </w:rPr>
      </w:pPr>
      <w:r>
        <w:rPr>
          <w:i/>
        </w:rPr>
        <w:fldChar w:fldCharType="begin"/>
      </w:r>
      <w:r>
        <w:rPr>
          <w:i/>
        </w:rPr>
        <w:instrText xml:space="preserve"> ADDIN ZOTERO_BIBL {"custom":[]} CSL_BIBLIOGRAPHY </w:instrText>
      </w:r>
      <w:r>
        <w:rPr>
          <w:i/>
        </w:rPr>
        <w:fldChar w:fldCharType="separate"/>
      </w:r>
      <w:r w:rsidRPr="000A7FED">
        <w:rPr>
          <w:rFonts w:ascii="Calibri" w:hAnsi="Calibri"/>
        </w:rPr>
        <w:t>[1]</w:t>
      </w:r>
      <w:r w:rsidRPr="000A7FED">
        <w:rPr>
          <w:rFonts w:ascii="Calibri" w:hAnsi="Calibri"/>
        </w:rPr>
        <w:tab/>
        <w:t xml:space="preserve">J. Giovannetti, “Alberta to double carbon tax by 2017, strengthen emissions reduction targets,” </w:t>
      </w:r>
      <w:r w:rsidRPr="000A7FED">
        <w:rPr>
          <w:rFonts w:ascii="Calibri" w:hAnsi="Calibri"/>
          <w:i/>
          <w:iCs/>
        </w:rPr>
        <w:t>The Globe and Mail</w:t>
      </w:r>
      <w:r w:rsidRPr="000A7FED">
        <w:rPr>
          <w:rFonts w:ascii="Calibri" w:hAnsi="Calibri"/>
        </w:rPr>
        <w:t>, Toronto, Canada, 25-Jun-2015.</w:t>
      </w:r>
    </w:p>
    <w:p w:rsidR="00704027" w:rsidRPr="000A7FED" w:rsidRDefault="00704027" w:rsidP="00704027">
      <w:pPr>
        <w:pStyle w:val="Bibliography"/>
        <w:rPr>
          <w:rFonts w:ascii="Calibri" w:hAnsi="Calibri"/>
        </w:rPr>
      </w:pPr>
      <w:r w:rsidRPr="000A7FED">
        <w:rPr>
          <w:rFonts w:ascii="Calibri" w:hAnsi="Calibri"/>
        </w:rPr>
        <w:t>[2]</w:t>
      </w:r>
      <w:r w:rsidRPr="000A7FED">
        <w:rPr>
          <w:rFonts w:ascii="Calibri" w:hAnsi="Calibri"/>
        </w:rPr>
        <w:tab/>
        <w:t>IHS CERA, “Oil Sands, Greenhouse Gases, and US Oil Supply: Getting the Numbers Right - 2012 Update,” IHS CERA, 2012.</w:t>
      </w:r>
    </w:p>
    <w:p w:rsidR="00704027" w:rsidRPr="000A7FED" w:rsidRDefault="00704027" w:rsidP="00704027">
      <w:pPr>
        <w:pStyle w:val="Bibliography"/>
        <w:rPr>
          <w:rFonts w:ascii="Calibri" w:hAnsi="Calibri"/>
        </w:rPr>
      </w:pPr>
      <w:r w:rsidRPr="000A7FED">
        <w:rPr>
          <w:rFonts w:ascii="Calibri" w:hAnsi="Calibri"/>
        </w:rPr>
        <w:t>[3]</w:t>
      </w:r>
      <w:r w:rsidRPr="000A7FED">
        <w:rPr>
          <w:rFonts w:ascii="Calibri" w:hAnsi="Calibri"/>
        </w:rPr>
        <w:tab/>
        <w:t xml:space="preserve">H. L. Raadal, L. Gagnon, I. S. Modahl, and O. J. Hanssen, “Life cycle greenhouse gas (GHG) emissions from the generation of wind and hydro power,” </w:t>
      </w:r>
      <w:r w:rsidRPr="000A7FED">
        <w:rPr>
          <w:rFonts w:ascii="Calibri" w:hAnsi="Calibri"/>
          <w:i/>
          <w:iCs/>
        </w:rPr>
        <w:t>Renew. Sustain. Energy Rev.</w:t>
      </w:r>
      <w:r w:rsidRPr="000A7FED">
        <w:rPr>
          <w:rFonts w:ascii="Calibri" w:hAnsi="Calibri"/>
        </w:rPr>
        <w:t>, vol. 15, no. 7, pp. 3417–3422, Sep. 2011.</w:t>
      </w:r>
    </w:p>
    <w:p w:rsidR="00704027" w:rsidRPr="000A7FED" w:rsidRDefault="00704027" w:rsidP="00704027">
      <w:pPr>
        <w:pStyle w:val="Bibliography"/>
        <w:rPr>
          <w:rFonts w:ascii="Calibri" w:hAnsi="Calibri"/>
        </w:rPr>
      </w:pPr>
      <w:r w:rsidRPr="000A7FED">
        <w:rPr>
          <w:rFonts w:ascii="Calibri" w:hAnsi="Calibri"/>
        </w:rPr>
        <w:t>[4]</w:t>
      </w:r>
      <w:r w:rsidRPr="000A7FED">
        <w:rPr>
          <w:rFonts w:ascii="Calibri" w:hAnsi="Calibri"/>
        </w:rPr>
        <w:tab/>
        <w:t>AESO, “AESO 2014 Long-term Outlook,” Alberta Electric System Operator, 2014.</w:t>
      </w:r>
    </w:p>
    <w:p w:rsidR="00704027" w:rsidRPr="000A7FED" w:rsidRDefault="00704027" w:rsidP="00704027">
      <w:pPr>
        <w:pStyle w:val="Bibliography"/>
        <w:rPr>
          <w:rFonts w:ascii="Calibri" w:hAnsi="Calibri"/>
        </w:rPr>
      </w:pPr>
      <w:r w:rsidRPr="000A7FED">
        <w:rPr>
          <w:rFonts w:ascii="Calibri" w:hAnsi="Calibri"/>
        </w:rPr>
        <w:t>[5]</w:t>
      </w:r>
      <w:r w:rsidRPr="000A7FED">
        <w:rPr>
          <w:rFonts w:ascii="Calibri" w:hAnsi="Calibri"/>
        </w:rPr>
        <w:tab/>
        <w:t xml:space="preserve">Natural Resources Canada, “RETScreen 4,” </w:t>
      </w:r>
      <w:r w:rsidRPr="000A7FED">
        <w:rPr>
          <w:rFonts w:ascii="Calibri" w:hAnsi="Calibri"/>
          <w:i/>
          <w:iCs/>
        </w:rPr>
        <w:t>RETScreen International</w:t>
      </w:r>
      <w:r w:rsidRPr="000A7FED">
        <w:rPr>
          <w:rFonts w:ascii="Calibri" w:hAnsi="Calibri"/>
        </w:rPr>
        <w:t>, 14-Jun-2013. [Online]. Available: http://www.retscreen.net/ang/version4.php. [Accessed: 10-Nov-2015].</w:t>
      </w:r>
    </w:p>
    <w:p w:rsidR="00704027" w:rsidRPr="000A7FED" w:rsidRDefault="00704027" w:rsidP="00704027">
      <w:pPr>
        <w:pStyle w:val="Bibliography"/>
        <w:rPr>
          <w:rFonts w:ascii="Calibri" w:hAnsi="Calibri"/>
        </w:rPr>
      </w:pPr>
      <w:r w:rsidRPr="000A7FED">
        <w:rPr>
          <w:rFonts w:ascii="Calibri" w:hAnsi="Calibri"/>
        </w:rPr>
        <w:t>[6]</w:t>
      </w:r>
      <w:r w:rsidRPr="000A7FED">
        <w:rPr>
          <w:rFonts w:ascii="Calibri" w:hAnsi="Calibri"/>
        </w:rPr>
        <w:tab/>
        <w:t xml:space="preserve">EIA, “Electric Power Monthly,” </w:t>
      </w:r>
      <w:r w:rsidRPr="000A7FED">
        <w:rPr>
          <w:rFonts w:ascii="Calibri" w:hAnsi="Calibri"/>
          <w:i/>
          <w:iCs/>
        </w:rPr>
        <w:t>US Energy Information Administration</w:t>
      </w:r>
      <w:r w:rsidRPr="000A7FED">
        <w:rPr>
          <w:rFonts w:ascii="Calibri" w:hAnsi="Calibri"/>
        </w:rPr>
        <w:t>, 26-Aug-2015. [Online]. Available: http://www.eia.gov/electricity/monthly/epm_table_grapher.cfm?t=epmt_1_1. [Accessed: 21-Sep-2015].</w:t>
      </w:r>
    </w:p>
    <w:p w:rsidR="00704027" w:rsidRPr="000A7FED" w:rsidRDefault="00704027" w:rsidP="00704027">
      <w:pPr>
        <w:pStyle w:val="Bibliography"/>
        <w:rPr>
          <w:rFonts w:ascii="Calibri" w:hAnsi="Calibri"/>
        </w:rPr>
      </w:pPr>
      <w:r w:rsidRPr="000A7FED">
        <w:rPr>
          <w:rFonts w:ascii="Calibri" w:hAnsi="Calibri"/>
        </w:rPr>
        <w:t>[7]</w:t>
      </w:r>
      <w:r w:rsidRPr="000A7FED">
        <w:rPr>
          <w:rFonts w:ascii="Calibri" w:hAnsi="Calibri"/>
        </w:rPr>
        <w:tab/>
        <w:t xml:space="preserve">California Energy Comission, “Total System Power,” </w:t>
      </w:r>
      <w:r w:rsidRPr="000A7FED">
        <w:rPr>
          <w:rFonts w:ascii="Calibri" w:hAnsi="Calibri"/>
          <w:i/>
          <w:iCs/>
        </w:rPr>
        <w:t>Energy Almanac</w:t>
      </w:r>
      <w:r w:rsidRPr="000A7FED">
        <w:rPr>
          <w:rFonts w:ascii="Calibri" w:hAnsi="Calibri"/>
        </w:rPr>
        <w:t>, Seot-2015. [Online]. Available: http://energyalmanac.ca.gov/electricity/total_system_power.html. [Accessed: 21-Sep-2015].</w:t>
      </w:r>
    </w:p>
    <w:p w:rsidR="00704027" w:rsidRPr="000A7FED" w:rsidRDefault="00704027" w:rsidP="00704027">
      <w:pPr>
        <w:pStyle w:val="Bibliography"/>
        <w:rPr>
          <w:rFonts w:ascii="Calibri" w:hAnsi="Calibri"/>
        </w:rPr>
      </w:pPr>
      <w:r w:rsidRPr="000A7FED">
        <w:rPr>
          <w:rFonts w:ascii="Calibri" w:hAnsi="Calibri"/>
        </w:rPr>
        <w:t>[8]</w:t>
      </w:r>
      <w:r w:rsidRPr="000A7FED">
        <w:rPr>
          <w:rFonts w:ascii="Calibri" w:hAnsi="Calibri"/>
        </w:rPr>
        <w:tab/>
        <w:t>California Energy Comission, “2014 Integrated Energy Policy Report,” California Energy Commission, CEC-100-2014-001-CMF, 2014.</w:t>
      </w:r>
    </w:p>
    <w:p w:rsidR="00704027" w:rsidRPr="000A7FED" w:rsidRDefault="00704027" w:rsidP="00704027">
      <w:pPr>
        <w:pStyle w:val="Bibliography"/>
        <w:rPr>
          <w:rFonts w:ascii="Calibri" w:hAnsi="Calibri"/>
        </w:rPr>
      </w:pPr>
      <w:r w:rsidRPr="000A7FED">
        <w:rPr>
          <w:rFonts w:ascii="Calibri" w:hAnsi="Calibri"/>
        </w:rPr>
        <w:t>[9]</w:t>
      </w:r>
      <w:r w:rsidRPr="000A7FED">
        <w:rPr>
          <w:rFonts w:ascii="Calibri" w:hAnsi="Calibri"/>
        </w:rPr>
        <w:tab/>
        <w:t>California EPA, “California Greenhouse Gas Emission Inventory: 2000-2013,” California Environmental Protection Agency: Air Resources Board, 2015 Edition, Jun. 2015.</w:t>
      </w:r>
    </w:p>
    <w:p w:rsidR="00704027" w:rsidRPr="000A7FED" w:rsidRDefault="00704027" w:rsidP="00704027">
      <w:pPr>
        <w:pStyle w:val="Bibliography"/>
        <w:rPr>
          <w:rFonts w:ascii="Calibri" w:hAnsi="Calibri"/>
        </w:rPr>
      </w:pPr>
      <w:r w:rsidRPr="000A7FED">
        <w:rPr>
          <w:rFonts w:ascii="Calibri" w:hAnsi="Calibri"/>
        </w:rPr>
        <w:t>[10]</w:t>
      </w:r>
      <w:r w:rsidRPr="000A7FED">
        <w:rPr>
          <w:rFonts w:ascii="Calibri" w:hAnsi="Calibri"/>
        </w:rPr>
        <w:tab/>
        <w:t xml:space="preserve">NEB, “Electricity Generation,” </w:t>
      </w:r>
      <w:r w:rsidRPr="000A7FED">
        <w:rPr>
          <w:rFonts w:ascii="Calibri" w:hAnsi="Calibri"/>
          <w:i/>
          <w:iCs/>
        </w:rPr>
        <w:t>National Energy Board</w:t>
      </w:r>
      <w:r w:rsidRPr="000A7FED">
        <w:rPr>
          <w:rFonts w:ascii="Calibri" w:hAnsi="Calibri"/>
        </w:rPr>
        <w:t>, 16-Sep-2015. [Online]. Available: https://www.neb-one.gc.ca/nrg/ntgrtd/ftr/2013/ppndcs/pxlctrctgnrtn-eng.html. [Accessed: 21-Sep-2015].</w:t>
      </w:r>
    </w:p>
    <w:p w:rsidR="00704027" w:rsidRPr="000A7FED" w:rsidRDefault="00704027" w:rsidP="00704027">
      <w:pPr>
        <w:pStyle w:val="Bibliography"/>
        <w:rPr>
          <w:rFonts w:ascii="Calibri" w:hAnsi="Calibri"/>
        </w:rPr>
      </w:pPr>
      <w:r w:rsidRPr="000A7FED">
        <w:rPr>
          <w:rFonts w:ascii="Calibri" w:hAnsi="Calibri"/>
        </w:rPr>
        <w:t>[11]</w:t>
      </w:r>
      <w:r w:rsidRPr="000A7FED">
        <w:rPr>
          <w:rFonts w:ascii="Calibri" w:hAnsi="Calibri"/>
        </w:rPr>
        <w:tab/>
        <w:t xml:space="preserve">M. A. Delucchi and M. Z. Jacobson, “Providing all global energy with wind, water, and solar power, Part II: Reliability, system and transmission costs, and policies,” </w:t>
      </w:r>
      <w:r w:rsidRPr="000A7FED">
        <w:rPr>
          <w:rFonts w:ascii="Calibri" w:hAnsi="Calibri"/>
          <w:i/>
          <w:iCs/>
        </w:rPr>
        <w:t>Energy Policy</w:t>
      </w:r>
      <w:r w:rsidRPr="000A7FED">
        <w:rPr>
          <w:rFonts w:ascii="Calibri" w:hAnsi="Calibri"/>
        </w:rPr>
        <w:t>, vol. 39, no. 3, pp. 1170–1190, 2011.</w:t>
      </w:r>
    </w:p>
    <w:p w:rsidR="00704027" w:rsidRPr="000A7FED" w:rsidRDefault="00704027" w:rsidP="00704027">
      <w:pPr>
        <w:pStyle w:val="Bibliography"/>
        <w:rPr>
          <w:rFonts w:ascii="Calibri" w:hAnsi="Calibri"/>
        </w:rPr>
      </w:pPr>
      <w:r w:rsidRPr="000A7FED">
        <w:rPr>
          <w:rFonts w:ascii="Calibri" w:hAnsi="Calibri"/>
        </w:rPr>
        <w:t>[12]</w:t>
      </w:r>
      <w:r w:rsidRPr="000A7FED">
        <w:rPr>
          <w:rFonts w:ascii="Calibri" w:hAnsi="Calibri"/>
        </w:rPr>
        <w:tab/>
        <w:t>M. N. Schwartz and D. L. Elliott, “Wind shear characteristics at central plains tall towers,” presented at the American Wind Energy Association WindPower 2006 Conference, 2006.</w:t>
      </w:r>
    </w:p>
    <w:p w:rsidR="00704027" w:rsidRPr="000A7FED" w:rsidRDefault="00704027" w:rsidP="00704027">
      <w:pPr>
        <w:pStyle w:val="Bibliography"/>
        <w:rPr>
          <w:rFonts w:ascii="Calibri" w:hAnsi="Calibri"/>
        </w:rPr>
      </w:pPr>
      <w:r w:rsidRPr="000A7FED">
        <w:rPr>
          <w:rFonts w:ascii="Calibri" w:hAnsi="Calibri"/>
        </w:rPr>
        <w:t>[13]</w:t>
      </w:r>
      <w:r w:rsidRPr="000A7FED">
        <w:rPr>
          <w:rFonts w:ascii="Calibri" w:hAnsi="Calibri"/>
        </w:rPr>
        <w:tab/>
        <w:t>AESO, “2014 Annual Market Statistics,” Alberta Electric System Operator, Calgary, Feb. 2015.</w:t>
      </w:r>
    </w:p>
    <w:p w:rsidR="00704027" w:rsidRPr="000A7FED" w:rsidRDefault="00704027" w:rsidP="00704027">
      <w:pPr>
        <w:pStyle w:val="Bibliography"/>
        <w:rPr>
          <w:rFonts w:ascii="Calibri" w:hAnsi="Calibri"/>
        </w:rPr>
      </w:pPr>
      <w:r w:rsidRPr="000A7FED">
        <w:rPr>
          <w:rFonts w:ascii="Calibri" w:hAnsi="Calibri"/>
        </w:rPr>
        <w:t>[14]</w:t>
      </w:r>
      <w:r w:rsidRPr="000A7FED">
        <w:rPr>
          <w:rFonts w:ascii="Calibri" w:hAnsi="Calibri"/>
        </w:rPr>
        <w:tab/>
        <w:t xml:space="preserve">Clarke Energy, “Cogeneration &amp; CHP,” </w:t>
      </w:r>
      <w:r w:rsidRPr="000A7FED">
        <w:rPr>
          <w:rFonts w:ascii="Calibri" w:hAnsi="Calibri"/>
          <w:i/>
          <w:iCs/>
        </w:rPr>
        <w:t>Clarke Energy: Engineer - Install - Maintain</w:t>
      </w:r>
      <w:r w:rsidRPr="000A7FED">
        <w:rPr>
          <w:rFonts w:ascii="Calibri" w:hAnsi="Calibri"/>
        </w:rPr>
        <w:t>. [Online]. Available: https://www.clarke-energy.com/chp-cogeneration/. [Accessed: 11-Nov-2015].</w:t>
      </w:r>
    </w:p>
    <w:p w:rsidR="00704027" w:rsidRPr="000A7FED" w:rsidRDefault="00704027" w:rsidP="00704027">
      <w:pPr>
        <w:pStyle w:val="Bibliography"/>
        <w:rPr>
          <w:rFonts w:ascii="Calibri" w:hAnsi="Calibri"/>
        </w:rPr>
      </w:pPr>
      <w:r w:rsidRPr="000A7FED">
        <w:rPr>
          <w:rFonts w:ascii="Calibri" w:hAnsi="Calibri"/>
        </w:rPr>
        <w:t>[15]</w:t>
      </w:r>
      <w:r w:rsidRPr="000A7FED">
        <w:rPr>
          <w:rFonts w:ascii="Calibri" w:hAnsi="Calibri"/>
        </w:rPr>
        <w:tab/>
        <w:t xml:space="preserve">D. Weisser, “A guide to life-cycle greenhouse gas (GHG) emissions from electric supply technologies,” </w:t>
      </w:r>
      <w:r w:rsidRPr="000A7FED">
        <w:rPr>
          <w:rFonts w:ascii="Calibri" w:hAnsi="Calibri"/>
          <w:i/>
          <w:iCs/>
        </w:rPr>
        <w:t>Energy</w:t>
      </w:r>
      <w:r w:rsidRPr="000A7FED">
        <w:rPr>
          <w:rFonts w:ascii="Calibri" w:hAnsi="Calibri"/>
        </w:rPr>
        <w:t>, vol. 32, no. 9, pp. 1543–1559, Sep. 2007.</w:t>
      </w:r>
    </w:p>
    <w:p w:rsidR="00704027" w:rsidRPr="000A7FED" w:rsidRDefault="00704027" w:rsidP="00704027">
      <w:pPr>
        <w:pStyle w:val="Bibliography"/>
        <w:rPr>
          <w:rFonts w:ascii="Calibri" w:hAnsi="Calibri"/>
        </w:rPr>
      </w:pPr>
      <w:r w:rsidRPr="000A7FED">
        <w:rPr>
          <w:rFonts w:ascii="Calibri" w:hAnsi="Calibri"/>
        </w:rPr>
        <w:t>[16]</w:t>
      </w:r>
      <w:r w:rsidRPr="000A7FED">
        <w:rPr>
          <w:rFonts w:ascii="Calibri" w:hAnsi="Calibri"/>
        </w:rPr>
        <w:tab/>
        <w:t>AESO, “Future Demand Outlook,” Alberta Electric System Operator, 2008.</w:t>
      </w:r>
    </w:p>
    <w:p w:rsidR="00704027" w:rsidRDefault="00704027" w:rsidP="00704027">
      <w:pPr>
        <w:rPr>
          <w:rFonts w:ascii="Calibri" w:eastAsia="Times New Roman" w:hAnsi="Calibri" w:cs="Times New Roman"/>
          <w:color w:val="000000"/>
        </w:rPr>
      </w:pPr>
      <w:r>
        <w:rPr>
          <w:i/>
        </w:rPr>
        <w:fldChar w:fldCharType="end"/>
      </w:r>
    </w:p>
    <w:p w:rsidR="00704027" w:rsidRDefault="00704027">
      <w:pPr>
        <w:rPr>
          <w:rFonts w:ascii="Constantia" w:eastAsiaTheme="majorEastAsia" w:hAnsi="Constantia" w:cstheme="majorBidi"/>
          <w:sz w:val="32"/>
          <w:szCs w:val="32"/>
        </w:rPr>
      </w:pPr>
      <w:r>
        <w:br w:type="page"/>
      </w:r>
    </w:p>
    <w:p w:rsidR="00833847" w:rsidRDefault="00833847" w:rsidP="008707C0">
      <w:pPr>
        <w:pStyle w:val="Heading1"/>
      </w:pPr>
      <w:r>
        <w:lastRenderedPageBreak/>
        <w:t xml:space="preserve">Supplemental Information </w:t>
      </w:r>
    </w:p>
    <w:p w:rsidR="00833847" w:rsidRDefault="00833847" w:rsidP="008707C0">
      <w:pPr>
        <w:pStyle w:val="Heading2"/>
      </w:pPr>
      <w:r>
        <w:t>Methods</w:t>
      </w:r>
    </w:p>
    <w:p w:rsidR="003668B2" w:rsidRPr="00833847" w:rsidRDefault="003668B2" w:rsidP="008707C0">
      <w:pPr>
        <w:pStyle w:val="Heading3"/>
      </w:pPr>
      <w:r>
        <w:t>Modelling the GHG intensity of on-site cogeneration</w:t>
      </w:r>
    </w:p>
    <w:p w:rsidR="003668B2" w:rsidRDefault="003668B2" w:rsidP="002E76BB">
      <w:r>
        <w:t>A</w:t>
      </w:r>
      <w:r w:rsidRPr="003668B2">
        <w:t xml:space="preserve">s a first </w:t>
      </w:r>
      <w:r>
        <w:t xml:space="preserve">order </w:t>
      </w:r>
      <w:r w:rsidRPr="003668B2">
        <w:t>estimate,</w:t>
      </w:r>
      <w:r>
        <w:t xml:space="preserve"> the industrial-scale cogeneration of electricity and steam was taken to produce 40% electricity, 50%</w:t>
      </w:r>
      <w:r w:rsidRPr="003668B2">
        <w:t xml:space="preserve"> usable heat</w:t>
      </w:r>
      <w:r>
        <w:t xml:space="preserve"> and</w:t>
      </w:r>
      <w:r w:rsidRPr="003668B2">
        <w:t xml:space="preserve"> </w:t>
      </w:r>
      <w:r>
        <w:t>1</w:t>
      </w:r>
      <w:r w:rsidRPr="003668B2">
        <w:t>0% loss</w:t>
      </w:r>
      <w:r>
        <w:t xml:space="preserve">es </w:t>
      </w:r>
      <w:r>
        <w:fldChar w:fldCharType="begin"/>
      </w:r>
      <w:r w:rsidR="000A7FED">
        <w:instrText xml:space="preserve"> ADDIN ZOTERO_ITEM CSL_CITATION {"citationID":"27he2f6snj","properties":{"formattedCitation":"[14]","plainCitation":"[14]"},"citationItems":[{"id":2059,"uris":["http://zotero.org/users/1200139/items/JDNXZ9RJ"],"uri":["http://zotero.org/users/1200139/items/JDNXZ9RJ"],"itemData":{"id":2059,"type":"webpage","title":"Cogeneration &amp; CHP","container-title":"Clarke Energy: Engineer - Install - Maintain","abstract":"Cogeneration (cogen) through combined heat and power (CHP) is the simultaneous, highly efficient production of electricity with the recovery of useful heat","URL":"https://www.clarke-energy.com/chp-cogeneration/","author":[{"literal":"Clarke Energy"}],"accessed":{"date-parts":[["2015",11,11]]}}}],"schema":"https://github.com/citation-style-language/schema/raw/master/csl-citation.json"} </w:instrText>
      </w:r>
      <w:r>
        <w:fldChar w:fldCharType="separate"/>
      </w:r>
      <w:r w:rsidR="000A7FED" w:rsidRPr="000A7FED">
        <w:rPr>
          <w:rFonts w:ascii="Calibri" w:hAnsi="Calibri"/>
        </w:rPr>
        <w:t>[14]</w:t>
      </w:r>
      <w:r>
        <w:fldChar w:fldCharType="end"/>
      </w:r>
      <w:r w:rsidRPr="003668B2">
        <w:t xml:space="preserve">. </w:t>
      </w:r>
      <w:r>
        <w:t>We therefore modelled this process as 75% efficient</w:t>
      </w:r>
      <w:r w:rsidRPr="003668B2">
        <w:t xml:space="preserve"> electricity generation</w:t>
      </w:r>
      <w:r>
        <w:t xml:space="preserve"> from natural gas</w:t>
      </w:r>
      <w:r w:rsidRPr="003668B2">
        <w:t xml:space="preserve">. </w:t>
      </w:r>
      <w:r>
        <w:t xml:space="preserve">Natural gas generation was modelled as having an average efficiency of </w:t>
      </w:r>
      <w:r w:rsidRPr="003668B2">
        <w:t>45%</w:t>
      </w:r>
      <w:r>
        <w:t xml:space="preserve"> -- a balance of the 35-42% efficiency of </w:t>
      </w:r>
      <w:r w:rsidRPr="003668B2">
        <w:t xml:space="preserve">simple cycle and </w:t>
      </w:r>
      <w:r>
        <w:t xml:space="preserve">the efficiency of </w:t>
      </w:r>
      <w:r w:rsidRPr="003668B2">
        <w:t>52-60% for combined cycle</w:t>
      </w:r>
      <w:r>
        <w:t>. The emissions of cogeneration where therefore taken to be</w:t>
      </w:r>
      <w:r w:rsidR="00BF2CBE">
        <w:t xml:space="preserve"> 2891</w:t>
      </w:r>
      <w:r>
        <w:t xml:space="preserve"> MT CO2-eq/GW (60% of those for standard natural-gas-fired electricity generation</w:t>
      </w:r>
      <w:r w:rsidR="00BF2CBE">
        <w:t>,</w:t>
      </w:r>
      <w:r>
        <w:t xml:space="preserve"> </w:t>
      </w:r>
      <w:r w:rsidR="00BF2CBE">
        <w:t xml:space="preserve">4818 MT CO2-eq/GW </w:t>
      </w:r>
      <w:r w:rsidR="00BF2CBE">
        <w:fldChar w:fldCharType="begin"/>
      </w:r>
      <w:r w:rsidR="000A7FED">
        <w:instrText xml:space="preserve"> ADDIN ZOTERO_ITEM CSL_CITATION {"citationID":"1tc7h1qm16","properties":{"formattedCitation":"[15]","plainCitation":"[15]"},"citationItems":[{"id":1951,"uris":["http://zotero.org/users/1200139/items/S2TUNXWC"],"uri":["http://zotero.org/users/1200139/items/S2TUNXWC"],"itemData":{"id":1951,"type":"article-journal","title":"A guide to life-cycle greenhouse gas (GHG) emissions from electric supply technologies","container-title":"Energy","page":"1543-1559","volume":"32","issue":"9","source":"ScienceDirect","abstract":"This manuscript reviews and compares the results of recent greenhouse gas (GHG) emission life-cycle analyses. Specific attention is paid to fossil energy technologies, nuclear and renewable energy technologies (RETs), as well as carbon capture and storage (CCS) and energy storage systems. Analysing up- and downstream processes and their associated GHG emissions, which arise upstream and downstream of the power plant (i.e., electricity generation stage), is important; otherwise, the GHG emissions resulting from electricity generation of the various fuel options are underestimated. For fossil fuel technology options upstream GHG emission rates can be up to 25% of the direct emissions from the power plant, whereas for most RETs and nuclear power upstream and downstream GHG emissions can account for way over 90% of cumulative emissions. In economies where carbon is being priced or GHG emissions constrained, this may provide an advantage to technologies with trans-boundary upstream emissions over technologies without significant life-cycle emissions arising outside the legislative boundaries of GHG mitigation policies. It is therefore desirable for GHG emissions under national, regional and international mitigation policies to be accounted for over its entire life-cycle. The results presented here indicate that the most significant GHG avoidance (in absolute terms) can be made from technology substitution. The introduction of advanced fossil fuel technologies can also lead to improvements in life-cycle GHG emissions. Overall, hydro, nuclear and wind energy technologies can produce electricity with the least life-cycle global warming impact.","DOI":"10.1016/j.energy.2007.01.008","ISSN":"0360-5442","journalAbbreviation":"Energy","author":[{"family":"Weisser","given":"Daniel"}],"issued":{"date-parts":[["2007",9]]}}}],"schema":"https://github.com/citation-style-language/schema/raw/master/csl-citation.json"} </w:instrText>
      </w:r>
      <w:r w:rsidR="00BF2CBE">
        <w:fldChar w:fldCharType="separate"/>
      </w:r>
      <w:r w:rsidR="000A7FED" w:rsidRPr="000A7FED">
        <w:rPr>
          <w:rFonts w:ascii="Calibri" w:hAnsi="Calibri"/>
        </w:rPr>
        <w:t>[15]</w:t>
      </w:r>
      <w:r w:rsidR="00BF2CBE">
        <w:fldChar w:fldCharType="end"/>
      </w:r>
      <w:r>
        <w:t>).</w:t>
      </w:r>
    </w:p>
    <w:p w:rsidR="00A71706" w:rsidRPr="00833847" w:rsidRDefault="00A71706" w:rsidP="008707C0">
      <w:pPr>
        <w:pStyle w:val="Heading3"/>
      </w:pPr>
      <w:r>
        <w:t>Modelling the current capacity and wind usage of on-site electricity</w:t>
      </w:r>
    </w:p>
    <w:p w:rsidR="00A71706" w:rsidRPr="003668B2" w:rsidRDefault="00A71706" w:rsidP="00A71706">
      <w:r>
        <w:t>The annual average load for onsite electricity was taken to be 1.1 GW, based on 1.9 million bbl/day</w:t>
      </w:r>
      <w:r w:rsidR="00FA657D">
        <w:t xml:space="preserve"> </w:t>
      </w:r>
      <w:r w:rsidR="00FA657D">
        <w:fldChar w:fldCharType="begin"/>
      </w:r>
      <w:r w:rsidR="00FA657D">
        <w:instrText xml:space="preserve"> ADDIN ZOTERO_ITEM CSL_CITATION {"citationID":"2a7ag779bp","properties":{"formattedCitation":"[2]","plainCitation":"[2]"},"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FA657D">
        <w:fldChar w:fldCharType="separate"/>
      </w:r>
      <w:r w:rsidR="00FA657D" w:rsidRPr="00FA657D">
        <w:rPr>
          <w:rFonts w:ascii="Calibri" w:hAnsi="Calibri"/>
        </w:rPr>
        <w:t>[2]</w:t>
      </w:r>
      <w:r w:rsidR="00FA657D">
        <w:fldChar w:fldCharType="end"/>
      </w:r>
      <w:r>
        <w:t xml:space="preserve"> of oil </w:t>
      </w:r>
      <w:r w:rsidR="00FA657D">
        <w:t xml:space="preserve">production with an electricity intensity (using natural gas for steam extraction) of 14 kWh/bbl </w:t>
      </w:r>
      <w:r w:rsidR="00FA657D">
        <w:fldChar w:fldCharType="begin"/>
      </w:r>
      <w:r w:rsidR="000A7FED">
        <w:instrText xml:space="preserve"> ADDIN ZOTERO_ITEM CSL_CITATION {"citationID":"21vkvpdbjg","properties":{"formattedCitation":"[16]","plainCitation":"[16]"},"citationItems":[{"id":1889,"uris":["http://zotero.org/users/1200139/items/4W5SGCUS"],"uri":["http://zotero.org/users/1200139/items/4W5SGCUS"],"itemData":{"id":1889,"type":"report","title":"Future Demand Outlook","publisher":"Alberta Electric System Operator","author":[{"literal":"AESO"}],"issued":{"date-parts":[["2008"]]}}}],"schema":"https://github.com/citation-style-language/schema/raw/master/csl-citation.json"} </w:instrText>
      </w:r>
      <w:r w:rsidR="00FA657D">
        <w:fldChar w:fldCharType="separate"/>
      </w:r>
      <w:r w:rsidR="000A7FED" w:rsidRPr="000A7FED">
        <w:rPr>
          <w:rFonts w:ascii="Calibri" w:hAnsi="Calibri"/>
        </w:rPr>
        <w:t>[16]</w:t>
      </w:r>
      <w:r w:rsidR="00FA657D">
        <w:fldChar w:fldCharType="end"/>
      </w:r>
      <w:r w:rsidR="00FA657D">
        <w:t xml:space="preserve">. The Alberta Electricity System Operator reports that no significant wind generation is present in the northeast or northwest of Alberta </w:t>
      </w:r>
      <w:r w:rsidR="00FA657D">
        <w:fldChar w:fldCharType="begin"/>
      </w:r>
      <w:r w:rsidR="00BD005A">
        <w:instrText xml:space="preserve"> ADDIN ZOTERO_ITEM CSL_CITATION {"citationID":"17p9cn98dc","properties":{"formattedCitation":"[4]","plainCitation":"[4]"},"citationItems":[{"id":1927,"uris":["http://zotero.org/users/1200139/items/8H9QSSWI"],"uri":["http://zotero.org/users/1200139/items/8H9QSSWI"],"itemData":{"id":1927,"type":"report","title":"AESO 2014 Long-term Outlook","publisher":"Alberta Electric System Operator","author":[{"literal":"AESO"}],"issued":{"date-parts":[["2014"]]}}}],"schema":"https://github.com/citation-style-language/schema/raw/master/csl-citation.json"} </w:instrText>
      </w:r>
      <w:r w:rsidR="00FA657D">
        <w:fldChar w:fldCharType="separate"/>
      </w:r>
      <w:r w:rsidR="00BD005A" w:rsidRPr="00BD005A">
        <w:rPr>
          <w:rFonts w:ascii="Calibri" w:hAnsi="Calibri"/>
        </w:rPr>
        <w:t>[4]</w:t>
      </w:r>
      <w:r w:rsidR="00FA657D">
        <w:fldChar w:fldCharType="end"/>
      </w:r>
      <w:r w:rsidR="00FA657D">
        <w:t xml:space="preserve">, therefore it was assumed that no significant wind energy was present on-site. </w:t>
      </w:r>
    </w:p>
    <w:p w:rsidR="00AA7F1C" w:rsidRDefault="00AA7F1C" w:rsidP="008707C0">
      <w:pPr>
        <w:pStyle w:val="Heading2"/>
      </w:pPr>
      <w:r>
        <w:t>Additional Model Capacities</w:t>
      </w:r>
    </w:p>
    <w:p w:rsidR="00AA7F1C" w:rsidRPr="00AA7F1C" w:rsidRDefault="00AA7F1C" w:rsidP="008707C0">
      <w:pPr>
        <w:pStyle w:val="Heading3"/>
      </w:pPr>
      <w:r>
        <w:t>Modelling the shift to electrically-assisted extraction techniques</w:t>
      </w:r>
    </w:p>
    <w:p w:rsidR="00AA7F1C" w:rsidRDefault="00AA7F1C" w:rsidP="00AA7F1C">
      <w:r>
        <w:t>The model has the additional ability to model the shift from current extraction techniques to electrically powered techniques.</w:t>
      </w:r>
      <w:r w:rsidRPr="00AA7F1C">
        <w:t xml:space="preserve"> </w:t>
      </w:r>
      <w:r>
        <w:t>The Alberta Electric System Operator predicts that a shift to electrically-assisted extraction techniques could increase the electrical demand of the oil sands by 10</w:t>
      </w:r>
      <w:r w:rsidR="003B12EE">
        <w:t xml:space="preserve"> fold</w:t>
      </w:r>
      <w:r>
        <w:t xml:space="preserve"> </w:t>
      </w:r>
      <w:r>
        <w:fldChar w:fldCharType="begin"/>
      </w:r>
      <w:r>
        <w:instrText xml:space="preserve"> ADDIN ZOTERO_ITEM CSL_CITATION {"citationID":"2iuf8rajm9","properties":{"formattedCitation":"[4]","plainCitation":"[4]"},"citationItems":[{"id":1927,"uris":["http://zotero.org/users/1200139/items/8H9QSSWI"],"uri":["http://zotero.org/users/1200139/items/8H9QSSWI"],"itemData":{"id":1927,"type":"report","title":"AESO 2014 Long-term Outlook","publisher":"Alberta Electric System Operator","author":[{"literal":"AESO"}],"issued":{"date-parts":[["2014"]]}}}],"schema":"https://github.com/citation-style-language/schema/raw/master/csl-citation.json"} </w:instrText>
      </w:r>
      <w:r>
        <w:fldChar w:fldCharType="separate"/>
      </w:r>
      <w:r w:rsidRPr="00BD005A">
        <w:rPr>
          <w:rFonts w:ascii="Calibri" w:hAnsi="Calibri"/>
        </w:rPr>
        <w:t>[4]</w:t>
      </w:r>
      <w:r>
        <w:fldChar w:fldCharType="end"/>
      </w:r>
      <w:r w:rsidR="003B12EE">
        <w:t xml:space="preserve">. The additional nine times current demand </w:t>
      </w:r>
      <w:r>
        <w:t>would replace the current steam assisted gravity extraction, the majority of which is produced by natural gas.  The GHG emission values by fuel source are per unit of electrical energy produced, which would overestimate the GHG emissions of steam creation. Instead an efficiency of NG electricity generation was assumed to be 45% and scaled the NG GHG emissions down to 2168 MT CO</w:t>
      </w:r>
      <w:r w:rsidRPr="00833847">
        <w:rPr>
          <w:vertAlign w:val="subscript"/>
        </w:rPr>
        <w:t>2</w:t>
      </w:r>
      <w:r>
        <w:t>-eq/GW</w:t>
      </w:r>
      <w:r w:rsidRPr="00833847">
        <w:rPr>
          <w:vertAlign w:val="subscript"/>
        </w:rPr>
        <w:t>heat</w:t>
      </w:r>
      <w:r>
        <w:t>. Without steam generation, cogeneration will no longer be an onsite option and the remaining process electricity was assumed to have a GHG intensity of the Alberta</w:t>
      </w:r>
      <w:r w:rsidR="003B12EE">
        <w:t>n</w:t>
      </w:r>
      <w:r>
        <w:t xml:space="preserve"> grid. </w:t>
      </w:r>
    </w:p>
    <w:p w:rsidR="00AA7F1C" w:rsidRPr="00AA7F1C" w:rsidRDefault="00AA7F1C" w:rsidP="008707C0">
      <w:pPr>
        <w:pStyle w:val="Heading3"/>
      </w:pPr>
      <w:r>
        <w:t>Modelling new destinations for the electricity</w:t>
      </w:r>
    </w:p>
    <w:p w:rsidR="00AA7F1C" w:rsidRDefault="00AA7F1C" w:rsidP="00AA7F1C">
      <w:r>
        <w:t>To allow for the inclusion of locations wher</w:t>
      </w:r>
      <w:r w:rsidR="003B12EE">
        <w:t>e the supply mix is known but where</w:t>
      </w:r>
      <w:r>
        <w:t xml:space="preserve"> the GHG intensity</w:t>
      </w:r>
      <w:r w:rsidR="003B12EE">
        <w:t xml:space="preserve"> is unknown</w:t>
      </w:r>
      <w:r>
        <w:t xml:space="preserve">, an approximate GHG emission rate associated with different supply types </w:t>
      </w:r>
      <w:r>
        <w:fldChar w:fldCharType="begin"/>
      </w:r>
      <w:r w:rsidR="000A7FED">
        <w:instrText xml:space="preserve"> ADDIN ZOTERO_ITEM CSL_CITATION {"citationID":"1hhbgkre6t","properties":{"formattedCitation":"[15]","plainCitation":"[15]"},"citationItems":[{"id":1951,"uris":["http://zotero.org/users/1200139/items/S2TUNXWC"],"uri":["http://zotero.org/users/1200139/items/S2TUNXWC"],"itemData":{"id":1951,"type":"article-journal","title":"A guide to life-cycle greenhouse gas (GHG) emissions from electric supply technologies","container-title":"Energy","page":"1543-1559","volume":"32","issue":"9","source":"ScienceDirect","abstract":"This manuscript reviews and compares the results of recent greenhouse gas (GHG) emission life-cycle analyses. Specific attention is paid to fossil energy technologies, nuclear and renewable energy technologies (RETs), as well as carbon capture and storage (CCS) and energy storage systems. Analysing up- and downstream processes and their associated GHG emissions, which arise upstream and downstream of the power plant (i.e., electricity generation stage), is important; otherwise, the GHG emissions resulting from electricity generation of the various fuel options are underestimated. For fossil fuel technology options upstream GHG emission rates can be up to 25% of the direct emissions from the power plant, whereas for most RETs and nuclear power upstream and downstream GHG emissions can account for way over 90% of cumulative emissions. In economies where carbon is being priced or GHG emissions constrained, this may provide an advantage to technologies with trans-boundary upstream emissions over technologies without significant life-cycle emissions arising outside the legislative boundaries of GHG mitigation policies. It is therefore desirable for GHG emissions under national, regional and international mitigation policies to be accounted for over its entire life-cycle. The results presented here indicate that the most significant GHG avoidance (in absolute terms) can be made from technology substitution. The introduction of advanced fossil fuel technologies can also lead to improvements in life-cycle GHG emissions. Overall, hydro, nuclear and wind energy technologies can produce electricity with the least life-cycle global warming impact.","DOI":"10.1016/j.energy.2007.01.008","ISSN":"0360-5442","journalAbbreviation":"Energy","author":[{"family":"Weisser","given":"Daniel"}],"issued":{"date-parts":[["2007",9]]}}}],"schema":"https://github.com/citation-style-language/schema/raw/master/csl-citation.json"} </w:instrText>
      </w:r>
      <w:r>
        <w:fldChar w:fldCharType="separate"/>
      </w:r>
      <w:r w:rsidR="000A7FED" w:rsidRPr="000A7FED">
        <w:rPr>
          <w:rFonts w:ascii="Calibri" w:hAnsi="Calibri"/>
        </w:rPr>
        <w:t>[15]</w:t>
      </w:r>
      <w:r>
        <w:fldChar w:fldCharType="end"/>
      </w:r>
      <w:r>
        <w:t xml:space="preserve"> can be scaled by the official generation mix numbers. This additional capacity was not used in the model presented herein.</w:t>
      </w:r>
    </w:p>
    <w:p w:rsidR="00AA7F1C" w:rsidRPr="00AA7F1C" w:rsidRDefault="00AA7F1C" w:rsidP="002E76BB">
      <w:pPr>
        <w:rPr>
          <w:b/>
        </w:rPr>
      </w:pPr>
    </w:p>
    <w:p w:rsidR="003B12EE" w:rsidRDefault="003B12EE" w:rsidP="003B12EE">
      <w:pPr>
        <w:keepNext/>
      </w:pPr>
      <w:r>
        <w:rPr>
          <w:noProof/>
          <w:lang w:val="en-CA" w:eastAsia="en-CA"/>
        </w:rPr>
        <w:lastRenderedPageBreak/>
        <mc:AlternateContent>
          <mc:Choice Requires="wps">
            <w:drawing>
              <wp:anchor distT="0" distB="0" distL="114300" distR="114300" simplePos="0" relativeHeight="251659264" behindDoc="0" locked="0" layoutInCell="1" allowOverlap="1" wp14:anchorId="29333781" wp14:editId="2CE51386">
                <wp:simplePos x="0" y="0"/>
                <wp:positionH relativeFrom="column">
                  <wp:posOffset>-550973</wp:posOffset>
                </wp:positionH>
                <wp:positionV relativeFrom="paragraph">
                  <wp:posOffset>2239301</wp:posOffset>
                </wp:positionV>
                <wp:extent cx="7435626" cy="1684603"/>
                <wp:effectExtent l="2265998" t="0" r="2184082" b="0"/>
                <wp:wrapNone/>
                <wp:docPr id="3" name="Text Box 3"/>
                <wp:cNvGraphicFramePr/>
                <a:graphic xmlns:a="http://schemas.openxmlformats.org/drawingml/2006/main">
                  <a:graphicData uri="http://schemas.microsoft.com/office/word/2010/wordprocessingShape">
                    <wps:wsp>
                      <wps:cNvSpPr txBox="1"/>
                      <wps:spPr>
                        <a:xfrm rot="18832051">
                          <a:off x="0" y="0"/>
                          <a:ext cx="7435626" cy="1684603"/>
                        </a:xfrm>
                        <a:prstGeom prst="rect">
                          <a:avLst/>
                        </a:prstGeom>
                        <a:noFill/>
                        <a:ln>
                          <a:noFill/>
                        </a:ln>
                        <a:effectLst/>
                      </wps:spPr>
                      <wps:txbx>
                        <w:txbxContent>
                          <w:p w:rsidR="003B12EE" w:rsidRPr="003B12EE" w:rsidRDefault="003B12EE" w:rsidP="003B12EE">
                            <w:pPr>
                              <w:keepNext/>
                              <w:jc w:val="center"/>
                              <w:rPr>
                                <w:noProof/>
                                <w:color w:val="000000" w:themeColor="text1"/>
                                <w:sz w:val="1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2EE">
                              <w:rPr>
                                <w:noProof/>
                                <w:color w:val="000000" w:themeColor="text1"/>
                                <w:sz w:val="1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BE ADJUSTED</w:t>
                            </w:r>
                          </w:p>
                          <w:p w:rsidR="003B12EE" w:rsidRDefault="003B12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33781" id="_x0000_t202" coordsize="21600,21600" o:spt="202" path="m,l,21600r21600,l21600,xe">
                <v:stroke joinstyle="miter"/>
                <v:path gradientshapeok="t" o:connecttype="rect"/>
              </v:shapetype>
              <v:shape id="Text Box 3" o:spid="_x0000_s1026" type="#_x0000_t202" style="position:absolute;margin-left:-43.4pt;margin-top:176.3pt;width:585.5pt;height:132.65pt;rotation:-302333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" filled="f" stroked="f">
                <v:textbox>
                  <w:txbxContent>
                    <w:p w:rsidR="003B12EE" w:rsidRPr="003B12EE" w:rsidRDefault="003B12EE" w:rsidP="003B12EE">
                      <w:pPr>
                        <w:keepNext/>
                        <w:jc w:val="center"/>
                        <w:rPr>
                          <w:noProof/>
                          <w:color w:val="000000" w:themeColor="text1"/>
                          <w:sz w:val="1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2EE">
                        <w:rPr>
                          <w:noProof/>
                          <w:color w:val="000000" w:themeColor="text1"/>
                          <w:sz w:val="1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BE ADJUSTED</w:t>
                      </w:r>
                    </w:p>
                    <w:p w:rsidR="003B12EE" w:rsidRDefault="003B12EE"/>
                  </w:txbxContent>
                </v:textbox>
              </v:shape>
            </w:pict>
          </mc:Fallback>
        </mc:AlternateContent>
      </w:r>
      <w:r w:rsidR="00CF75C4">
        <w:rPr>
          <w:noProof/>
          <w:lang w:val="en-CA" w:eastAsia="en-CA"/>
        </w:rPr>
        <w:drawing>
          <wp:inline distT="0" distB="0" distL="0" distR="0" wp14:anchorId="6B2AD657" wp14:editId="656DBF9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43600"/>
                    </a:xfrm>
                    <a:prstGeom prst="rect">
                      <a:avLst/>
                    </a:prstGeom>
                  </pic:spPr>
                </pic:pic>
              </a:graphicData>
            </a:graphic>
          </wp:inline>
        </w:drawing>
      </w:r>
    </w:p>
    <w:p w:rsidR="00833847" w:rsidRPr="00833847" w:rsidRDefault="003B12EE" w:rsidP="003B12EE">
      <w:pPr>
        <w:pStyle w:val="Caption"/>
        <w:rPr>
          <w:b/>
        </w:rPr>
      </w:pPr>
      <w:bookmarkStart w:id="5" w:name="_Ref435432518"/>
      <w:r>
        <w:t xml:space="preserve">Figure </w:t>
      </w:r>
      <w:fldSimple w:instr=" SEQ Figure \* ARABIC ">
        <w:r w:rsidR="00157A96">
          <w:rPr>
            <w:noProof/>
          </w:rPr>
          <w:t>3</w:t>
        </w:r>
      </w:fldSimple>
      <w:bookmarkEnd w:id="5"/>
      <w:r>
        <w:t>: Model results with a capacity factor inflated to 30%</w:t>
      </w:r>
    </w:p>
    <w:p w:rsidR="00FC7C50" w:rsidRPr="00EA62A0" w:rsidRDefault="00FC7C50" w:rsidP="00EA62A0"/>
    <w:sectPr w:rsidR="00FC7C50" w:rsidRPr="00EA62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777" w:rsidRDefault="00B94777" w:rsidP="00BF0750">
      <w:pPr>
        <w:spacing w:after="0" w:line="240" w:lineRule="auto"/>
      </w:pPr>
      <w:r>
        <w:separator/>
      </w:r>
    </w:p>
  </w:endnote>
  <w:endnote w:type="continuationSeparator" w:id="0">
    <w:p w:rsidR="00B94777" w:rsidRDefault="00B94777" w:rsidP="00BF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777" w:rsidRDefault="00B94777" w:rsidP="00BF0750">
      <w:pPr>
        <w:spacing w:after="0" w:line="240" w:lineRule="auto"/>
      </w:pPr>
      <w:r>
        <w:separator/>
      </w:r>
    </w:p>
  </w:footnote>
  <w:footnote w:type="continuationSeparator" w:id="0">
    <w:p w:rsidR="00B94777" w:rsidRDefault="00B94777" w:rsidP="00BF0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E62D6"/>
    <w:multiLevelType w:val="hybridMultilevel"/>
    <w:tmpl w:val="E26CF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26223"/>
    <w:multiLevelType w:val="hybridMultilevel"/>
    <w:tmpl w:val="2C700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2461B"/>
    <w:multiLevelType w:val="hybridMultilevel"/>
    <w:tmpl w:val="8786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B5AE2"/>
    <w:multiLevelType w:val="hybridMultilevel"/>
    <w:tmpl w:val="B568F956"/>
    <w:lvl w:ilvl="0" w:tplc="CB60D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878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20"/>
    <w:rsid w:val="00012DB4"/>
    <w:rsid w:val="00027D14"/>
    <w:rsid w:val="000A7FED"/>
    <w:rsid w:val="000E2EE3"/>
    <w:rsid w:val="0010631D"/>
    <w:rsid w:val="00133E08"/>
    <w:rsid w:val="00143C76"/>
    <w:rsid w:val="0014792F"/>
    <w:rsid w:val="00157A96"/>
    <w:rsid w:val="00165741"/>
    <w:rsid w:val="001878C9"/>
    <w:rsid w:val="0019280D"/>
    <w:rsid w:val="001A1312"/>
    <w:rsid w:val="001C3F84"/>
    <w:rsid w:val="001D67F5"/>
    <w:rsid w:val="00236D53"/>
    <w:rsid w:val="0025081E"/>
    <w:rsid w:val="002B3DE1"/>
    <w:rsid w:val="002E4507"/>
    <w:rsid w:val="002E76BB"/>
    <w:rsid w:val="00307803"/>
    <w:rsid w:val="003668B2"/>
    <w:rsid w:val="003709F8"/>
    <w:rsid w:val="00382333"/>
    <w:rsid w:val="00395E26"/>
    <w:rsid w:val="003B12EE"/>
    <w:rsid w:val="003B60C5"/>
    <w:rsid w:val="003E1424"/>
    <w:rsid w:val="00411116"/>
    <w:rsid w:val="004130DD"/>
    <w:rsid w:val="00451990"/>
    <w:rsid w:val="004B2229"/>
    <w:rsid w:val="004C5E5D"/>
    <w:rsid w:val="004D7918"/>
    <w:rsid w:val="004F1E11"/>
    <w:rsid w:val="00500F72"/>
    <w:rsid w:val="00522ED0"/>
    <w:rsid w:val="00582CE4"/>
    <w:rsid w:val="005E772D"/>
    <w:rsid w:val="00610A0B"/>
    <w:rsid w:val="00613ADC"/>
    <w:rsid w:val="006850C1"/>
    <w:rsid w:val="00686655"/>
    <w:rsid w:val="006B749A"/>
    <w:rsid w:val="006C4312"/>
    <w:rsid w:val="006C62B1"/>
    <w:rsid w:val="006E20B2"/>
    <w:rsid w:val="006E353D"/>
    <w:rsid w:val="00704027"/>
    <w:rsid w:val="00736C8C"/>
    <w:rsid w:val="00744DC8"/>
    <w:rsid w:val="00775C66"/>
    <w:rsid w:val="00795D5C"/>
    <w:rsid w:val="007C7711"/>
    <w:rsid w:val="00833847"/>
    <w:rsid w:val="008366F5"/>
    <w:rsid w:val="00864F1A"/>
    <w:rsid w:val="008707C0"/>
    <w:rsid w:val="00895080"/>
    <w:rsid w:val="008A0588"/>
    <w:rsid w:val="008B1F5B"/>
    <w:rsid w:val="008C6E2F"/>
    <w:rsid w:val="008D2979"/>
    <w:rsid w:val="009C2810"/>
    <w:rsid w:val="009D72E8"/>
    <w:rsid w:val="009F4926"/>
    <w:rsid w:val="009F623D"/>
    <w:rsid w:val="009F64A7"/>
    <w:rsid w:val="00A046E5"/>
    <w:rsid w:val="00A3786B"/>
    <w:rsid w:val="00A44F16"/>
    <w:rsid w:val="00A455A2"/>
    <w:rsid w:val="00A50D8A"/>
    <w:rsid w:val="00A71706"/>
    <w:rsid w:val="00AA3FAC"/>
    <w:rsid w:val="00AA7F1C"/>
    <w:rsid w:val="00AE72A5"/>
    <w:rsid w:val="00AF2568"/>
    <w:rsid w:val="00AF52F6"/>
    <w:rsid w:val="00AF633C"/>
    <w:rsid w:val="00B378A6"/>
    <w:rsid w:val="00B53D68"/>
    <w:rsid w:val="00B94777"/>
    <w:rsid w:val="00BA5A1C"/>
    <w:rsid w:val="00BC13CD"/>
    <w:rsid w:val="00BD005A"/>
    <w:rsid w:val="00BD0937"/>
    <w:rsid w:val="00BE0BE8"/>
    <w:rsid w:val="00BF0750"/>
    <w:rsid w:val="00BF1AC7"/>
    <w:rsid w:val="00BF2CBE"/>
    <w:rsid w:val="00BF6B5C"/>
    <w:rsid w:val="00C07799"/>
    <w:rsid w:val="00CC660F"/>
    <w:rsid w:val="00CD7864"/>
    <w:rsid w:val="00CF75C4"/>
    <w:rsid w:val="00D13C40"/>
    <w:rsid w:val="00D35647"/>
    <w:rsid w:val="00D372E6"/>
    <w:rsid w:val="00D67588"/>
    <w:rsid w:val="00D9712E"/>
    <w:rsid w:val="00DB4819"/>
    <w:rsid w:val="00DC23B3"/>
    <w:rsid w:val="00DE6D75"/>
    <w:rsid w:val="00E03EEE"/>
    <w:rsid w:val="00E53795"/>
    <w:rsid w:val="00E848F3"/>
    <w:rsid w:val="00EA62A0"/>
    <w:rsid w:val="00EC2DAE"/>
    <w:rsid w:val="00EC39A7"/>
    <w:rsid w:val="00ED0AAA"/>
    <w:rsid w:val="00ED4CCE"/>
    <w:rsid w:val="00ED5CF5"/>
    <w:rsid w:val="00ED7DBE"/>
    <w:rsid w:val="00EE72AC"/>
    <w:rsid w:val="00F20818"/>
    <w:rsid w:val="00F275B6"/>
    <w:rsid w:val="00F57425"/>
    <w:rsid w:val="00F7149D"/>
    <w:rsid w:val="00F72C69"/>
    <w:rsid w:val="00F97B14"/>
    <w:rsid w:val="00FA657D"/>
    <w:rsid w:val="00FC7C50"/>
    <w:rsid w:val="00FD05D9"/>
    <w:rsid w:val="00FE0F20"/>
    <w:rsid w:val="00FF7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1D0D9-DD01-419D-A045-C830F8FF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07C0"/>
    <w:pPr>
      <w:keepNext/>
      <w:keepLines/>
      <w:numPr>
        <w:numId w:val="5"/>
      </w:numPr>
      <w:spacing w:before="240" w:after="0"/>
      <w:outlineLvl w:val="0"/>
    </w:pPr>
    <w:rPr>
      <w:rFonts w:ascii="Constantia" w:eastAsiaTheme="majorEastAsia" w:hAnsi="Constantia" w:cstheme="majorBidi"/>
      <w:sz w:val="32"/>
      <w:szCs w:val="32"/>
    </w:rPr>
  </w:style>
  <w:style w:type="paragraph" w:styleId="Heading2">
    <w:name w:val="heading 2"/>
    <w:basedOn w:val="Normal"/>
    <w:next w:val="Normal"/>
    <w:link w:val="Heading2Char"/>
    <w:uiPriority w:val="9"/>
    <w:unhideWhenUsed/>
    <w:qFormat/>
    <w:rsid w:val="008707C0"/>
    <w:pPr>
      <w:keepNext/>
      <w:keepLines/>
      <w:numPr>
        <w:ilvl w:val="1"/>
        <w:numId w:val="5"/>
      </w:numPr>
      <w:spacing w:before="40" w:after="0"/>
      <w:outlineLvl w:val="1"/>
    </w:pPr>
    <w:rPr>
      <w:rFonts w:ascii="Constantia" w:eastAsiaTheme="majorEastAsia" w:hAnsi="Constantia" w:cstheme="majorBidi"/>
      <w:sz w:val="26"/>
      <w:szCs w:val="26"/>
    </w:rPr>
  </w:style>
  <w:style w:type="paragraph" w:styleId="Heading3">
    <w:name w:val="heading 3"/>
    <w:basedOn w:val="Normal"/>
    <w:next w:val="Normal"/>
    <w:link w:val="Heading3Char"/>
    <w:uiPriority w:val="9"/>
    <w:unhideWhenUsed/>
    <w:qFormat/>
    <w:rsid w:val="008707C0"/>
    <w:pPr>
      <w:keepNext/>
      <w:keepLines/>
      <w:numPr>
        <w:ilvl w:val="2"/>
        <w:numId w:val="5"/>
      </w:numPr>
      <w:spacing w:before="40" w:after="0"/>
      <w:outlineLvl w:val="2"/>
    </w:pPr>
    <w:rPr>
      <w:rFonts w:ascii="Constantia" w:eastAsiaTheme="majorEastAsia" w:hAnsi="Constantia" w:cstheme="majorBidi"/>
      <w:sz w:val="24"/>
      <w:szCs w:val="24"/>
    </w:rPr>
  </w:style>
  <w:style w:type="paragraph" w:styleId="Heading4">
    <w:name w:val="heading 4"/>
    <w:basedOn w:val="Normal"/>
    <w:next w:val="Normal"/>
    <w:link w:val="Heading4Char"/>
    <w:uiPriority w:val="9"/>
    <w:semiHidden/>
    <w:unhideWhenUsed/>
    <w:qFormat/>
    <w:rsid w:val="008707C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707C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707C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707C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07C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07C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A5"/>
    <w:pPr>
      <w:ind w:left="720"/>
      <w:contextualSpacing/>
    </w:pPr>
  </w:style>
  <w:style w:type="table" w:styleId="TableGrid">
    <w:name w:val="Table Grid"/>
    <w:basedOn w:val="TableNormal"/>
    <w:uiPriority w:val="39"/>
    <w:rsid w:val="00382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07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750"/>
    <w:rPr>
      <w:sz w:val="20"/>
      <w:szCs w:val="20"/>
    </w:rPr>
  </w:style>
  <w:style w:type="character" w:styleId="FootnoteReference">
    <w:name w:val="footnote reference"/>
    <w:basedOn w:val="DefaultParagraphFont"/>
    <w:uiPriority w:val="99"/>
    <w:semiHidden/>
    <w:unhideWhenUsed/>
    <w:rsid w:val="00BF0750"/>
    <w:rPr>
      <w:vertAlign w:val="superscript"/>
    </w:rPr>
  </w:style>
  <w:style w:type="character" w:styleId="Hyperlink">
    <w:name w:val="Hyperlink"/>
    <w:basedOn w:val="DefaultParagraphFont"/>
    <w:uiPriority w:val="99"/>
    <w:unhideWhenUsed/>
    <w:rsid w:val="00BE0BE8"/>
    <w:rPr>
      <w:color w:val="0563C1" w:themeColor="hyperlink"/>
      <w:u w:val="single"/>
    </w:rPr>
  </w:style>
  <w:style w:type="paragraph" w:styleId="Bibliography">
    <w:name w:val="Bibliography"/>
    <w:basedOn w:val="Normal"/>
    <w:next w:val="Normal"/>
    <w:uiPriority w:val="37"/>
    <w:unhideWhenUsed/>
    <w:rsid w:val="00EC39A7"/>
    <w:pPr>
      <w:tabs>
        <w:tab w:val="left" w:pos="384"/>
      </w:tabs>
      <w:spacing w:after="0" w:line="240" w:lineRule="auto"/>
      <w:ind w:left="384" w:hanging="384"/>
    </w:pPr>
  </w:style>
  <w:style w:type="paragraph" w:styleId="Caption">
    <w:name w:val="caption"/>
    <w:basedOn w:val="Normal"/>
    <w:next w:val="Normal"/>
    <w:uiPriority w:val="35"/>
    <w:unhideWhenUsed/>
    <w:qFormat/>
    <w:rsid w:val="008707C0"/>
    <w:pPr>
      <w:spacing w:after="200" w:line="240" w:lineRule="auto"/>
    </w:pPr>
    <w:rPr>
      <w:i/>
      <w:iCs/>
      <w:szCs w:val="18"/>
    </w:rPr>
  </w:style>
  <w:style w:type="table" w:styleId="GridTable1Light">
    <w:name w:val="Grid Table 1 Light"/>
    <w:basedOn w:val="TableNormal"/>
    <w:uiPriority w:val="46"/>
    <w:rsid w:val="00370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36D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D37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2E6"/>
    <w:rPr>
      <w:rFonts w:ascii="Segoe UI" w:hAnsi="Segoe UI" w:cs="Segoe UI"/>
      <w:sz w:val="18"/>
      <w:szCs w:val="18"/>
    </w:rPr>
  </w:style>
  <w:style w:type="character" w:customStyle="1" w:styleId="Heading1Char">
    <w:name w:val="Heading 1 Char"/>
    <w:basedOn w:val="DefaultParagraphFont"/>
    <w:link w:val="Heading1"/>
    <w:uiPriority w:val="9"/>
    <w:rsid w:val="008707C0"/>
    <w:rPr>
      <w:rFonts w:ascii="Constantia" w:eastAsiaTheme="majorEastAsia" w:hAnsi="Constantia" w:cstheme="majorBidi"/>
      <w:sz w:val="32"/>
      <w:szCs w:val="32"/>
    </w:rPr>
  </w:style>
  <w:style w:type="character" w:customStyle="1" w:styleId="Heading2Char">
    <w:name w:val="Heading 2 Char"/>
    <w:basedOn w:val="DefaultParagraphFont"/>
    <w:link w:val="Heading2"/>
    <w:uiPriority w:val="9"/>
    <w:rsid w:val="008707C0"/>
    <w:rPr>
      <w:rFonts w:ascii="Constantia" w:eastAsiaTheme="majorEastAsia" w:hAnsi="Constantia" w:cstheme="majorBidi"/>
      <w:sz w:val="26"/>
      <w:szCs w:val="26"/>
    </w:rPr>
  </w:style>
  <w:style w:type="character" w:customStyle="1" w:styleId="Heading3Char">
    <w:name w:val="Heading 3 Char"/>
    <w:basedOn w:val="DefaultParagraphFont"/>
    <w:link w:val="Heading3"/>
    <w:uiPriority w:val="9"/>
    <w:rsid w:val="008707C0"/>
    <w:rPr>
      <w:rFonts w:ascii="Constantia" w:eastAsiaTheme="majorEastAsia" w:hAnsi="Constantia" w:cstheme="majorBidi"/>
      <w:sz w:val="24"/>
      <w:szCs w:val="24"/>
    </w:rPr>
  </w:style>
  <w:style w:type="character" w:customStyle="1" w:styleId="Heading4Char">
    <w:name w:val="Heading 4 Char"/>
    <w:basedOn w:val="DefaultParagraphFont"/>
    <w:link w:val="Heading4"/>
    <w:uiPriority w:val="9"/>
    <w:semiHidden/>
    <w:rsid w:val="008707C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707C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707C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707C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707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07C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70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7C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971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46199">
      <w:bodyDiv w:val="1"/>
      <w:marLeft w:val="0"/>
      <w:marRight w:val="0"/>
      <w:marTop w:val="0"/>
      <w:marBottom w:val="0"/>
      <w:divBdr>
        <w:top w:val="none" w:sz="0" w:space="0" w:color="auto"/>
        <w:left w:val="none" w:sz="0" w:space="0" w:color="auto"/>
        <w:bottom w:val="none" w:sz="0" w:space="0" w:color="auto"/>
        <w:right w:val="none" w:sz="0" w:space="0" w:color="auto"/>
      </w:divBdr>
    </w:div>
    <w:div w:id="187067651">
      <w:bodyDiv w:val="1"/>
      <w:marLeft w:val="0"/>
      <w:marRight w:val="0"/>
      <w:marTop w:val="0"/>
      <w:marBottom w:val="0"/>
      <w:divBdr>
        <w:top w:val="none" w:sz="0" w:space="0" w:color="auto"/>
        <w:left w:val="none" w:sz="0" w:space="0" w:color="auto"/>
        <w:bottom w:val="none" w:sz="0" w:space="0" w:color="auto"/>
        <w:right w:val="none" w:sz="0" w:space="0" w:color="auto"/>
      </w:divBdr>
    </w:div>
    <w:div w:id="46944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Dropbox2\Dropbox%20(MIT)\Tar%20Sands%20Stuff\Dashboardv1.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66110718654697"/>
          <c:y val="4.3955608402695204E-2"/>
          <c:w val="0.74588294078119866"/>
          <c:h val="0.69397573816947078"/>
        </c:manualLayout>
      </c:layout>
      <c:lineChart>
        <c:grouping val="standard"/>
        <c:varyColors val="0"/>
        <c:ser>
          <c:idx val="0"/>
          <c:order val="0"/>
          <c:tx>
            <c:strRef>
              <c:f>'Cumulative 40yr Model'!$B$8</c:f>
              <c:strCache>
                <c:ptCount val="1"/>
                <c:pt idx="0">
                  <c:v>Active Turbines</c:v>
                </c:pt>
              </c:strCache>
            </c:strRef>
          </c:tx>
          <c:spPr>
            <a:ln w="28575" cap="rnd">
              <a:solidFill>
                <a:schemeClr val="accent1"/>
              </a:solidFill>
              <a:round/>
            </a:ln>
            <a:effectLst/>
          </c:spPr>
          <c:marker>
            <c:symbol val="none"/>
          </c:marker>
          <c:cat>
            <c:numRef>
              <c:f>'Cumulative 40yr Model'!$C$2:$AQ$2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'Cumulative 40yr Model'!$C$8:$AQ$8</c:f>
              <c:numCache>
                <c:formatCode>General</c:formatCode>
                <c:ptCount val="41"/>
                <c:pt idx="0">
                  <c:v>0</c:v>
                </c:pt>
                <c:pt idx="1">
                  <c:v>1149.8800000000001</c:v>
                </c:pt>
                <c:pt idx="2">
                  <c:v>2323.7365981040002</c:v>
                </c:pt>
                <c:pt idx="3">
                  <c:v>3523.1305482385042</c:v>
                </c:pt>
                <c:pt idx="4">
                  <c:v>4752.6849918784019</c:v>
                </c:pt>
                <c:pt idx="5">
                  <c:v>5967.7218031989632</c:v>
                </c:pt>
                <c:pt idx="6">
                  <c:v>7204.6484440519898</c:v>
                </c:pt>
                <c:pt idx="7">
                  <c:v>8471.7261771006997</c:v>
                </c:pt>
                <c:pt idx="8">
                  <c:v>9769.1068660697056</c:v>
                </c:pt>
                <c:pt idx="9">
                  <c:v>11097.375521174654</c:v>
                </c:pt>
                <c:pt idx="10">
                  <c:v>12457.104520966317</c:v>
                </c:pt>
                <c:pt idx="11">
                  <c:v>13848.877042322465</c:v>
                </c:pt>
                <c:pt idx="12">
                  <c:v>15273.285999460093</c:v>
                </c:pt>
                <c:pt idx="13">
                  <c:v>16730.934263935989</c:v>
                </c:pt>
                <c:pt idx="14">
                  <c:v>18222.434820333696</c:v>
                </c:pt>
                <c:pt idx="15">
                  <c:v>19748.410927902911</c:v>
                </c:pt>
                <c:pt idx="16">
                  <c:v>21309.496284522931</c:v>
                </c:pt>
                <c:pt idx="17">
                  <c:v>22906.335193219715</c:v>
                </c:pt>
                <c:pt idx="18">
                  <c:v>24539.582731265389</c:v>
                </c:pt>
                <c:pt idx="19">
                  <c:v>26209.904921900099</c:v>
                </c:pt>
                <c:pt idx="20">
                  <c:v>27917.978908716163</c:v>
                </c:pt>
                <c:pt idx="21">
                  <c:v>28514.613132745115</c:v>
                </c:pt>
                <c:pt idx="22">
                  <c:v>29169.450922584827</c:v>
                </c:pt>
                <c:pt idx="23">
                  <c:v>29820.017195786641</c:v>
                </c:pt>
                <c:pt idx="24">
                  <c:v>30465.07360987884</c:v>
                </c:pt>
                <c:pt idx="25">
                  <c:v>31149.421377903356</c:v>
                </c:pt>
                <c:pt idx="26">
                  <c:v>31835.035048627211</c:v>
                </c:pt>
                <c:pt idx="27">
                  <c:v>32515.833353930502</c:v>
                </c:pt>
                <c:pt idx="28">
                  <c:v>33192.059191917062</c:v>
                </c:pt>
                <c:pt idx="29">
                  <c:v>33863.19255536671</c:v>
                </c:pt>
                <c:pt idx="30">
                  <c:v>34528.75988897639</c:v>
                </c:pt>
                <c:pt idx="31">
                  <c:v>35050</c:v>
                </c:pt>
                <c:pt idx="32">
                  <c:v>35050</c:v>
                </c:pt>
                <c:pt idx="33">
                  <c:v>35050</c:v>
                </c:pt>
                <c:pt idx="34">
                  <c:v>35050</c:v>
                </c:pt>
                <c:pt idx="35">
                  <c:v>35050</c:v>
                </c:pt>
                <c:pt idx="36">
                  <c:v>35050</c:v>
                </c:pt>
                <c:pt idx="37">
                  <c:v>35050</c:v>
                </c:pt>
                <c:pt idx="38">
                  <c:v>35050</c:v>
                </c:pt>
                <c:pt idx="39">
                  <c:v>35050</c:v>
                </c:pt>
                <c:pt idx="40">
                  <c:v>35050</c:v>
                </c:pt>
              </c:numCache>
            </c:numRef>
          </c:val>
          <c:smooth val="0"/>
        </c:ser>
        <c:dLbls>
          <c:showLegendKey val="0"/>
          <c:showVal val="0"/>
          <c:showCatName val="0"/>
          <c:showSerName val="0"/>
          <c:showPercent val="0"/>
          <c:showBubbleSize val="0"/>
        </c:dLbls>
        <c:marker val="1"/>
        <c:smooth val="0"/>
        <c:axId val="-1035535664"/>
        <c:axId val="-1035531856"/>
      </c:lineChart>
      <c:lineChart>
        <c:grouping val="standard"/>
        <c:varyColors val="0"/>
        <c:ser>
          <c:idx val="1"/>
          <c:order val="1"/>
          <c:tx>
            <c:strRef>
              <c:f>'Cumulative 40yr Model'!$B$23</c:f>
              <c:strCache>
                <c:ptCount val="1"/>
                <c:pt idx="0">
                  <c:v>Cumulative Incremental Carbon Offset</c:v>
                </c:pt>
              </c:strCache>
            </c:strRef>
          </c:tx>
          <c:spPr>
            <a:ln w="28575" cap="rnd">
              <a:solidFill>
                <a:schemeClr val="accent2"/>
              </a:solidFill>
              <a:round/>
            </a:ln>
            <a:effectLst/>
          </c:spPr>
          <c:marker>
            <c:symbol val="none"/>
          </c:marker>
          <c:val>
            <c:numRef>
              <c:f>'Cumulative 40yr Model'!$C$23:$AQ$23</c:f>
              <c:numCache>
                <c:formatCode>0.0%</c:formatCode>
                <c:ptCount val="41"/>
                <c:pt idx="1">
                  <c:v>2.8897413786144497E-2</c:v>
                </c:pt>
                <c:pt idx="2">
                  <c:v>6.5159790173973484E-2</c:v>
                </c:pt>
                <c:pt idx="3">
                  <c:v>0.10339834373931917</c:v>
                </c:pt>
                <c:pt idx="4">
                  <c:v>0.13737258510129785</c:v>
                </c:pt>
                <c:pt idx="5">
                  <c:v>0.16804044143284655</c:v>
                </c:pt>
                <c:pt idx="6">
                  <c:v>0.19684183365411884</c:v>
                </c:pt>
                <c:pt idx="7">
                  <c:v>0.22453787358073868</c:v>
                </c:pt>
                <c:pt idx="8">
                  <c:v>0.25154988833260777</c:v>
                </c:pt>
                <c:pt idx="9">
                  <c:v>0.27813109508053796</c:v>
                </c:pt>
                <c:pt idx="10">
                  <c:v>0.30444293208680867</c:v>
                </c:pt>
                <c:pt idx="11">
                  <c:v>0.33059330531120562</c:v>
                </c:pt>
                <c:pt idx="12">
                  <c:v>0.35665717885529308</c:v>
                </c:pt>
                <c:pt idx="13">
                  <c:v>0.38268834112299727</c:v>
                </c:pt>
                <c:pt idx="14">
                  <c:v>0.4087264645125247</c:v>
                </c:pt>
                <c:pt idx="15">
                  <c:v>0.43480151772865916</c:v>
                </c:pt>
                <c:pt idx="16">
                  <c:v>0.46093662081252873</c:v>
                </c:pt>
                <c:pt idx="17">
                  <c:v>0.4871499484987728</c:v>
                </c:pt>
                <c:pt idx="18">
                  <c:v>0.51345603251636462</c:v>
                </c:pt>
                <c:pt idx="19">
                  <c:v>0.53986667320284276</c:v>
                </c:pt>
                <c:pt idx="20">
                  <c:v>0.56639159066084721</c:v>
                </c:pt>
                <c:pt idx="21">
                  <c:v>0.59102214983277934</c:v>
                </c:pt>
                <c:pt idx="22">
                  <c:v>0.61408986700837498</c:v>
                </c:pt>
                <c:pt idx="23">
                  <c:v>0.63576977955333591</c:v>
                </c:pt>
                <c:pt idx="24">
                  <c:v>0.65620728122674765</c:v>
                </c:pt>
                <c:pt idx="25">
                  <c:v>0.67559079409122369</c:v>
                </c:pt>
                <c:pt idx="26">
                  <c:v>0.69402683268573928</c:v>
                </c:pt>
                <c:pt idx="27">
                  <c:v>0.71159863787695843</c:v>
                </c:pt>
                <c:pt idx="28">
                  <c:v>0.7283785080297116</c:v>
                </c:pt>
                <c:pt idx="29">
                  <c:v>0.74442867228963261</c:v>
                </c:pt>
                <c:pt idx="30">
                  <c:v>0.75980298480760033</c:v>
                </c:pt>
                <c:pt idx="31">
                  <c:v>0.7743899458290302</c:v>
                </c:pt>
                <c:pt idx="32">
                  <c:v>0.78767880791952793</c:v>
                </c:pt>
                <c:pt idx="33">
                  <c:v>0.79978638975631422</c:v>
                </c:pt>
                <c:pt idx="34">
                  <c:v>0.8108161571008885</c:v>
                </c:pt>
                <c:pt idx="35">
                  <c:v>0.82086007730202337</c:v>
                </c:pt>
                <c:pt idx="36">
                  <c:v>0.83000017306876051</c:v>
                </c:pt>
                <c:pt idx="37">
                  <c:v>0.8383098309110425</c:v>
                </c:pt>
                <c:pt idx="38">
                  <c:v>0.84585490828200449</c:v>
                </c:pt>
                <c:pt idx="39">
                  <c:v>0.8526946746491374</c:v>
                </c:pt>
                <c:pt idx="40">
                  <c:v>0.85888261484793871</c:v>
                </c:pt>
              </c:numCache>
            </c:numRef>
          </c:val>
          <c:smooth val="0"/>
        </c:ser>
        <c:ser>
          <c:idx val="2"/>
          <c:order val="2"/>
          <c:tx>
            <c:strRef>
              <c:f>'Cumulative 40yr Model'!$B$24</c:f>
              <c:strCache>
                <c:ptCount val="1"/>
                <c:pt idx="0">
                  <c:v>Cumulative Production Carbon Offset</c:v>
                </c:pt>
              </c:strCache>
            </c:strRef>
          </c:tx>
          <c:spPr>
            <a:ln w="28575" cap="rnd">
              <a:solidFill>
                <a:schemeClr val="accent3"/>
              </a:solidFill>
              <a:round/>
            </a:ln>
            <a:effectLst/>
          </c:spPr>
          <c:marker>
            <c:symbol val="none"/>
          </c:marker>
          <c:val>
            <c:numRef>
              <c:f>'Cumulative 40yr Model'!$C$24:$AQ$24</c:f>
              <c:numCache>
                <c:formatCode>0.0%</c:formatCode>
                <c:ptCount val="41"/>
                <c:pt idx="1">
                  <c:v>1.1874271016012945E-2</c:v>
                </c:pt>
                <c:pt idx="2">
                  <c:v>2.6774887662897987E-2</c:v>
                </c:pt>
                <c:pt idx="3">
                  <c:v>4.2487537647961683E-2</c:v>
                </c:pt>
                <c:pt idx="4">
                  <c:v>5.6447933982425362E-2</c:v>
                </c:pt>
                <c:pt idx="5">
                  <c:v>6.9049699671767481E-2</c:v>
                </c:pt>
                <c:pt idx="6">
                  <c:v>8.0884514351199158E-2</c:v>
                </c:pt>
                <c:pt idx="7">
                  <c:v>9.226512739127278E-2</c:v>
                </c:pt>
                <c:pt idx="8">
                  <c:v>0.10336466682500657</c:v>
                </c:pt>
                <c:pt idx="9">
                  <c:v>0.11428718242427215</c:v>
                </c:pt>
                <c:pt idx="10">
                  <c:v>0.12509901097937354</c:v>
                </c:pt>
                <c:pt idx="11">
                  <c:v>0.1358444922578837</c:v>
                </c:pt>
                <c:pt idx="12">
                  <c:v>0.14655442984883782</c:v>
                </c:pt>
                <c:pt idx="13">
                  <c:v>0.15725092600991417</c:v>
                </c:pt>
                <c:pt idx="14">
                  <c:v>0.16795028257392197</c:v>
                </c:pt>
                <c:pt idx="15">
                  <c:v>0.17866481401734807</c:v>
                </c:pt>
                <c:pt idx="16">
                  <c:v>0.18940402062406872</c:v>
                </c:pt>
                <c:pt idx="17">
                  <c:v>0.20017537059612955</c:v>
                </c:pt>
                <c:pt idx="18">
                  <c:v>0.21098483518374128</c:v>
                </c:pt>
                <c:pt idx="19">
                  <c:v>0.22183726327777872</c:v>
                </c:pt>
                <c:pt idx="20">
                  <c:v>0.23273664897729529</c:v>
                </c:pt>
                <c:pt idx="21">
                  <c:v>0.24285762163761335</c:v>
                </c:pt>
                <c:pt idx="22">
                  <c:v>0.25233640501562943</c:v>
                </c:pt>
                <c:pt idx="23">
                  <c:v>0.26124492392557275</c:v>
                </c:pt>
                <c:pt idx="24">
                  <c:v>0.2696429222916642</c:v>
                </c:pt>
                <c:pt idx="25">
                  <c:v>0.27760782485002117</c:v>
                </c:pt>
                <c:pt idx="26">
                  <c:v>0.2851833996178198</c:v>
                </c:pt>
                <c:pt idx="27">
                  <c:v>0.29240385119958595</c:v>
                </c:pt>
                <c:pt idx="28">
                  <c:v>0.29929888780327096</c:v>
                </c:pt>
                <c:pt idx="29">
                  <c:v>0.30589408008186886</c:v>
                </c:pt>
                <c:pt idx="30">
                  <c:v>0.31221155730921712</c:v>
                </c:pt>
                <c:pt idx="31">
                  <c:v>0.31820550298720462</c:v>
                </c:pt>
                <c:pt idx="32">
                  <c:v>0.32366604527395587</c:v>
                </c:pt>
                <c:pt idx="33">
                  <c:v>0.32864118627247285</c:v>
                </c:pt>
                <c:pt idx="34">
                  <c:v>0.33317344122311621</c:v>
                </c:pt>
                <c:pt idx="35">
                  <c:v>0.33730060053965921</c:v>
                </c:pt>
                <c:pt idx="36">
                  <c:v>0.34105636827201552</c:v>
                </c:pt>
                <c:pt idx="37">
                  <c:v>0.34447089975915174</c:v>
                </c:pt>
                <c:pt idx="38">
                  <c:v>0.3475712565662562</c:v>
                </c:pt>
                <c:pt idx="39">
                  <c:v>0.35038179318142171</c:v>
                </c:pt>
                <c:pt idx="40">
                  <c:v>0.35292448712265867</c:v>
                </c:pt>
              </c:numCache>
            </c:numRef>
          </c:val>
          <c:smooth val="0"/>
        </c:ser>
        <c:ser>
          <c:idx val="3"/>
          <c:order val="3"/>
          <c:tx>
            <c:strRef>
              <c:f>'Cumulative 40yr Model'!$B$25</c:f>
              <c:strCache>
                <c:ptCount val="1"/>
                <c:pt idx="0">
                  <c:v>Cumulative Total Carbon Offset</c:v>
                </c:pt>
              </c:strCache>
            </c:strRef>
          </c:tx>
          <c:spPr>
            <a:ln w="28575" cap="rnd">
              <a:solidFill>
                <a:schemeClr val="accent4"/>
              </a:solidFill>
              <a:round/>
            </a:ln>
            <a:effectLst/>
          </c:spPr>
          <c:marker>
            <c:symbol val="none"/>
          </c:marker>
          <c:val>
            <c:numRef>
              <c:f>'Cumulative 40yr Model'!$C$25:$AQ$25</c:f>
              <c:numCache>
                <c:formatCode>0.0%</c:formatCode>
                <c:ptCount val="41"/>
                <c:pt idx="1">
                  <c:v>3.6797426188112064E-3</c:v>
                </c:pt>
                <c:pt idx="2">
                  <c:v>8.2973257991318765E-3</c:v>
                </c:pt>
                <c:pt idx="3">
                  <c:v>1.3166551684791004E-2</c:v>
                </c:pt>
                <c:pt idx="4">
                  <c:v>1.7492768030884693E-2</c:v>
                </c:pt>
                <c:pt idx="5">
                  <c:v>2.1397955491808521E-2</c:v>
                </c:pt>
                <c:pt idx="6">
                  <c:v>2.5065470904157582E-2</c:v>
                </c:pt>
                <c:pt idx="7">
                  <c:v>2.8592232822871044E-2</c:v>
                </c:pt>
                <c:pt idx="8">
                  <c:v>3.2031892255303299E-2</c:v>
                </c:pt>
                <c:pt idx="9">
                  <c:v>3.5416693402341888E-2</c:v>
                </c:pt>
                <c:pt idx="10">
                  <c:v>3.8767193510334634E-2</c:v>
                </c:pt>
                <c:pt idx="11">
                  <c:v>4.2097133122362164E-2</c:v>
                </c:pt>
                <c:pt idx="12">
                  <c:v>4.5416058026897042E-2</c:v>
                </c:pt>
                <c:pt idx="13">
                  <c:v>4.8730817538683836E-2</c:v>
                </c:pt>
                <c:pt idx="14">
                  <c:v>5.2046463466702796E-2</c:v>
                </c:pt>
                <c:pt idx="15">
                  <c:v>5.5366811969764528E-2</c:v>
                </c:pt>
                <c:pt idx="16">
                  <c:v>5.8694807110660142E-2</c:v>
                </c:pt>
                <c:pt idx="17">
                  <c:v>6.2032763226102731E-2</c:v>
                </c:pt>
                <c:pt idx="18">
                  <c:v>6.5382530759278107E-2</c:v>
                </c:pt>
                <c:pt idx="19">
                  <c:v>6.8745612343095813E-2</c:v>
                </c:pt>
                <c:pt idx="20">
                  <c:v>7.2123245717244572E-2</c:v>
                </c:pt>
                <c:pt idx="21">
                  <c:v>7.5259655050648896E-2</c:v>
                </c:pt>
                <c:pt idx="22">
                  <c:v>7.8197055007541288E-2</c:v>
                </c:pt>
                <c:pt idx="23">
                  <c:v>8.0957734518662214E-2</c:v>
                </c:pt>
                <c:pt idx="24">
                  <c:v>8.3560207753334059E-2</c:v>
                </c:pt>
                <c:pt idx="25">
                  <c:v>8.6028468024565902E-2</c:v>
                </c:pt>
                <c:pt idx="26">
                  <c:v>8.8376078694515012E-2</c:v>
                </c:pt>
                <c:pt idx="27">
                  <c:v>9.0613639499440041E-2</c:v>
                </c:pt>
                <c:pt idx="28">
                  <c:v>9.2750356777884152E-2</c:v>
                </c:pt>
                <c:pt idx="29">
                  <c:v>9.4794154672852529E-2</c:v>
                </c:pt>
                <c:pt idx="30">
                  <c:v>9.6751890871183674E-2</c:v>
                </c:pt>
                <c:pt idx="31">
                  <c:v>9.8609367202689494E-2</c:v>
                </c:pt>
                <c:pt idx="32">
                  <c:v>0.10030154604442913</c:v>
                </c:pt>
                <c:pt idx="33">
                  <c:v>0.10184330286825012</c:v>
                </c:pt>
                <c:pt idx="34">
                  <c:v>0.10324781281068872</c:v>
                </c:pt>
                <c:pt idx="35">
                  <c:v>0.10452678682191238</c:v>
                </c:pt>
                <c:pt idx="36">
                  <c:v>0.10569066952026668</c:v>
                </c:pt>
                <c:pt idx="37">
                  <c:v>0.10674880580665798</c:v>
                </c:pt>
                <c:pt idx="38">
                  <c:v>0.10770958184598191</c:v>
                </c:pt>
                <c:pt idx="39">
                  <c:v>0.10858054490136504</c:v>
                </c:pt>
                <c:pt idx="40">
                  <c:v>0.109368505631716</c:v>
                </c:pt>
              </c:numCache>
            </c:numRef>
          </c:val>
          <c:smooth val="0"/>
        </c:ser>
        <c:dLbls>
          <c:showLegendKey val="0"/>
          <c:showVal val="0"/>
          <c:showCatName val="0"/>
          <c:showSerName val="0"/>
          <c:showPercent val="0"/>
          <c:showBubbleSize val="0"/>
        </c:dLbls>
        <c:marker val="1"/>
        <c:smooth val="0"/>
        <c:axId val="-1035530224"/>
        <c:axId val="-1035534576"/>
      </c:lineChart>
      <c:catAx>
        <c:axId val="-103553566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n-US"/>
                  <a:t>Year</a:t>
                </a:r>
              </a:p>
            </c:rich>
          </c:tx>
          <c:layout>
            <c:manualLayout>
              <c:xMode val="edge"/>
              <c:yMode val="edge"/>
              <c:x val="0.4905882251589449"/>
              <c:y val="0.8004235053258057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035531856"/>
        <c:crosses val="autoZero"/>
        <c:auto val="1"/>
        <c:lblAlgn val="ctr"/>
        <c:lblOffset val="100"/>
        <c:noMultiLvlLbl val="0"/>
      </c:catAx>
      <c:valAx>
        <c:axId val="-103553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n-US"/>
                  <a:t>Active Turbines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035535664"/>
        <c:crosses val="autoZero"/>
        <c:crossBetween val="between"/>
      </c:valAx>
      <c:valAx>
        <c:axId val="-1035534576"/>
        <c:scaling>
          <c:orientation val="minMax"/>
        </c:scaling>
        <c:delete val="0"/>
        <c:axPos val="r"/>
        <c:title>
          <c:tx>
            <c:rich>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n-US"/>
                  <a:t> Cumulative Carbon Ratios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title>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035530224"/>
        <c:crosses val="max"/>
        <c:crossBetween val="between"/>
      </c:valAx>
      <c:catAx>
        <c:axId val="-1035530224"/>
        <c:scaling>
          <c:orientation val="minMax"/>
        </c:scaling>
        <c:delete val="1"/>
        <c:axPos val="b"/>
        <c:majorTickMark val="out"/>
        <c:minorTickMark val="none"/>
        <c:tickLblPos val="nextTo"/>
        <c:crossAx val="-1035534576"/>
        <c:crosses val="autoZero"/>
        <c:auto val="1"/>
        <c:lblAlgn val="ctr"/>
        <c:lblOffset val="100"/>
        <c:noMultiLvlLbl val="0"/>
      </c:catAx>
      <c:spPr>
        <a:noFill/>
        <a:ln>
          <a:noFill/>
        </a:ln>
        <a:effectLst/>
      </c:spPr>
    </c:plotArea>
    <c:legend>
      <c:legendPos val="b"/>
      <c:layout>
        <c:manualLayout>
          <c:xMode val="edge"/>
          <c:yMode val="edge"/>
          <c:x val="1.9249814779717087E-2"/>
          <c:y val="0.87795338008432655"/>
          <c:w val="0.96708385740622682"/>
          <c:h val="0.11028896358228706"/>
        </c:manualLayout>
      </c:layout>
      <c:overlay val="0"/>
      <c:spPr>
        <a:solidFill>
          <a:schemeClr val="bg1"/>
        </a:solidFill>
        <a:ln>
          <a:noFill/>
        </a:ln>
        <a:effectLst/>
      </c:spPr>
      <c:txPr>
        <a:bodyPr rot="0" spcFirstLastPara="1" vertOverflow="ellipsis" vert="horz" wrap="square" anchor="ctr" anchorCtr="1"/>
        <a:lstStyle/>
        <a:p>
          <a:pPr>
            <a:defRPr sz="1200" b="0" i="0" u="none" strike="noStrike" kern="1200" baseline="0">
              <a:ln>
                <a:noFill/>
              </a:ln>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6B1DE-D295-47E5-BCC4-8B6D4611F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7658</Words>
  <Characters>43657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51213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Taylor</dc:creator>
  <cp:keywords/>
  <dc:description/>
  <cp:lastModifiedBy>s Paiva</cp:lastModifiedBy>
  <cp:revision>2</cp:revision>
  <cp:lastPrinted>2015-11-12T19:06:00Z</cp:lastPrinted>
  <dcterms:created xsi:type="dcterms:W3CDTF">2015-12-06T00:24:00Z</dcterms:created>
  <dcterms:modified xsi:type="dcterms:W3CDTF">2015-12-06T00:24:00Z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id="9eypqQLp"/&gt;&lt;style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