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xx1"/>
        <w:rPr/>
      </w:pPr>
      <w:r>
        <w:rPr/>
        <w:t xml:space="preserve">Ir_super_voxel </w:t>
      </w:r>
      <w:r>
        <w:rPr/>
        <w:t>实验记录：</w:t>
      </w:r>
    </w:p>
    <w:p>
      <w:pPr>
        <w:pStyle w:val="Mxx1"/>
        <w:keepNext/>
        <w:keepLines/>
        <w:widowControl w:val="false"/>
        <w:bidi w:val="0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051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eastAsia="DengXian Light" w:cs="Arial"/>
          <w:b/>
          <w:bCs/>
          <w:color w:val="333333"/>
          <w:sz w:val="28"/>
          <w:szCs w:val="21"/>
        </w:rPr>
        <w:t>Fig.1</w:t>
      </w:r>
      <w:r>
        <w:rPr>
          <w:rFonts w:ascii="Arial" w:hAnsi="Arial" w:cs="Arial"/>
          <w:b/>
          <w:bCs/>
          <w:color w:val="333333"/>
          <w:sz w:val="21"/>
          <w:szCs w:val="21"/>
        </w:rPr>
        <w:t>（</w:t>
      </w:r>
      <w:r>
        <w:rPr>
          <w:rFonts w:eastAsia="DengXian Light" w:cs="Arial"/>
          <w:b/>
          <w:bCs/>
          <w:color w:val="333333"/>
          <w:sz w:val="28"/>
          <w:szCs w:val="21"/>
        </w:rPr>
        <w:t>std_dev_thre = 0.05</w:t>
      </w:r>
      <w:r>
        <w:rPr>
          <w:rFonts w:ascii="Arial" w:hAnsi="Arial" w:cs="Arial"/>
          <w:b/>
          <w:bCs/>
          <w:color w:val="333333"/>
          <w:sz w:val="21"/>
          <w:szCs w:val="21"/>
        </w:rPr>
        <w:t>）全局预览</w:t>
      </w:r>
    </w:p>
    <w:p>
      <w:pPr>
        <w:pStyle w:val="Mxx1"/>
        <w:rPr>
          <w:sz w:val="24"/>
          <w:szCs w:val="24"/>
        </w:rPr>
      </w:pPr>
      <w:r>
        <w:rPr>
          <w:sz w:val="21"/>
          <w:szCs w:val="24"/>
        </w:rPr>
        <w:t>参数：</w:t>
      </w:r>
      <w:r>
        <w:rPr>
          <w:sz w:val="24"/>
          <w:szCs w:val="24"/>
        </w:rPr>
        <w:t>std_dev_threshold = 0.05m, voxel_size = 0.2m*0.2m</w:t>
      </w:r>
    </w:p>
    <w:p>
      <w:pPr>
        <w:pStyle w:val="Mxx1"/>
        <w:rPr>
          <w:sz w:val="24"/>
          <w:szCs w:val="24"/>
        </w:rPr>
      </w:pPr>
      <w:r>
        <w:rPr>
          <w:sz w:val="21"/>
          <w:szCs w:val="24"/>
        </w:rPr>
        <w:t>结果分析：</w:t>
      </w:r>
    </w:p>
    <w:p>
      <w:pPr>
        <w:pStyle w:val="Mxx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AR PL UKai TW MBE" w:hAnsi="AR PL UKai TW MBE" w:cs="黑体" w:eastAsia="宋体"/>
          <w:sz w:val="21"/>
          <w:szCs w:val="21"/>
        </w:rPr>
        <w:t>当前策略对于提取路坎有效，可以提取出大部分路坎，但是由于路坎与周围路面高差约为</w:t>
      </w:r>
      <w:r>
        <w:rPr>
          <w:rFonts w:eastAsia="宋体" w:cs="黑体" w:ascii="AR PL UKai TW MBE" w:hAnsi="AR PL UKai TW MBE"/>
          <w:sz w:val="21"/>
          <w:szCs w:val="21"/>
        </w:rPr>
        <w:t>0.1-0.15m</w:t>
      </w:r>
      <w:r>
        <w:rPr>
          <w:rFonts w:ascii="AR PL UKai TW MBE" w:hAnsi="AR PL UKai TW MBE" w:cs="黑体" w:eastAsia="宋体"/>
          <w:sz w:val="21"/>
          <w:szCs w:val="21"/>
        </w:rPr>
        <w:t>，当前提取路坎不连续，后续需要继续调整参数；高差较大的建筑物立面与地面交叉处高差约为</w:t>
      </w:r>
      <w:r>
        <w:rPr>
          <w:rFonts w:eastAsia="宋体" w:cs="黑体" w:ascii="AR PL UKai TW MBE" w:hAnsi="AR PL UKai TW MBE"/>
          <w:sz w:val="21"/>
          <w:szCs w:val="21"/>
        </w:rPr>
        <w:t>0.2m</w:t>
      </w:r>
      <w:r>
        <w:rPr>
          <w:rFonts w:ascii="AR PL UKai TW MBE" w:hAnsi="AR PL UKai TW MBE" w:cs="黑体" w:eastAsia="宋体"/>
          <w:sz w:val="21"/>
          <w:szCs w:val="21"/>
        </w:rPr>
        <w:t>左右，提取结果较为完整，分析减小方差阈值后有效提高提取率。</w:t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0"/>
        <w:gridCol w:w="5385"/>
      </w:tblGrid>
      <w:tr>
        <w:trPr/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 xml:space="preserve">      </w:t>
            </w:r>
            <w:r>
              <w:rPr/>
              <w:t>Fig.2</w:t>
            </w:r>
            <w:r>
              <w:rPr/>
              <w:t>（</w:t>
            </w:r>
            <w:r>
              <w:rPr/>
              <w:t>std_dev_thre = 0.0</w:t>
            </w:r>
            <w:r>
              <w:rPr/>
              <w:t>5</w:t>
            </w:r>
            <w:r>
              <w:rPr/>
              <w:t>）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Fig.</w:t>
            </w:r>
            <w:r>
              <w:rPr/>
              <w:t>3</w:t>
            </w:r>
            <w:r>
              <w:rPr/>
              <w:t xml:space="preserve"> </w:t>
            </w:r>
            <w:r>
              <w:rPr/>
              <w:t>（</w:t>
            </w:r>
            <w:bookmarkStart w:id="0" w:name="__DdeLink__14_652916393"/>
            <w:r>
              <w:rPr/>
              <w:t>std_dev_thre = 0.02</w:t>
            </w:r>
            <w:bookmarkEnd w:id="0"/>
            <w:r>
              <w:rPr/>
              <w:t>）</w:t>
            </w:r>
          </w:p>
        </w:tc>
      </w:tr>
      <w:tr>
        <w:trPr>
          <w:trHeight w:val="2410" w:hRule="atLeast"/>
        </w:trPr>
        <w:tc>
          <w:tcPr>
            <w:tcW w:w="4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153670</wp:posOffset>
                  </wp:positionV>
                  <wp:extent cx="1365250" cy="1207770"/>
                  <wp:effectExtent l="0" t="0" r="0" b="0"/>
                  <wp:wrapSquare wrapText="largest"/>
                  <wp:docPr id="2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91440</wp:posOffset>
                  </wp:positionV>
                  <wp:extent cx="2279015" cy="1357630"/>
                  <wp:effectExtent l="0" t="0" r="0" b="0"/>
                  <wp:wrapSquare wrapText="largest"/>
                  <wp:docPr id="3" name="图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Mxx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AR PL UKai TW MBE" w:hAnsi="AR PL UKai TW MBE" w:cs="黑体" w:eastAsia="宋体"/>
          <w:sz w:val="21"/>
          <w:szCs w:val="21"/>
        </w:rPr>
        <w:t xml:space="preserve">当 </w:t>
      </w:r>
      <w:r>
        <w:rPr>
          <w:rFonts w:eastAsia="宋体" w:cs="黑体" w:ascii="AR PL UKai TW MBE" w:hAnsi="AR PL UKai TW MBE"/>
          <w:sz w:val="21"/>
          <w:szCs w:val="21"/>
        </w:rPr>
        <w:t>std_dev_threshold = 0.0</w:t>
      </w:r>
      <w:r>
        <w:rPr>
          <w:rFonts w:eastAsia="宋体" w:cs="黑体" w:ascii="AR PL UKai TW MBE" w:hAnsi="AR PL UKai TW MBE"/>
          <w:sz w:val="21"/>
          <w:szCs w:val="21"/>
        </w:rPr>
        <w:t>2</w:t>
      </w:r>
      <w:r>
        <w:rPr>
          <w:rFonts w:eastAsia="宋体" w:cs="黑体" w:ascii="AR PL UKai TW MBE" w:hAnsi="AR PL UKai TW MBE"/>
          <w:sz w:val="21"/>
          <w:szCs w:val="21"/>
        </w:rPr>
        <w:t>m</w:t>
      </w:r>
      <w:r>
        <w:rPr>
          <w:rFonts w:ascii="AR PL UKai TW MBE" w:hAnsi="AR PL UKai TW MBE" w:cs="黑体" w:eastAsia="宋体"/>
          <w:sz w:val="21"/>
          <w:szCs w:val="21"/>
        </w:rPr>
        <w:t>时</w:t>
      </w:r>
      <w:r>
        <w:rPr>
          <w:rFonts w:ascii="AR PL UKai TW MBE" w:hAnsi="AR PL UKai TW MBE" w:cs="黑体" w:eastAsia="宋体"/>
          <w:sz w:val="21"/>
          <w:szCs w:val="21"/>
        </w:rPr>
        <w:t>，路坎提取率明显提高，更加连续，但是周围的噪声也有所增加</w:t>
      </w:r>
      <w:r>
        <w:rPr>
          <w:rFonts w:eastAsia="宋体" w:cs="黑体" w:ascii="AR PL UKai TW MBE" w:hAnsi="AR PL UKai TW MBE"/>
          <w:sz w:val="21"/>
          <w:szCs w:val="21"/>
        </w:rPr>
        <w:t>,</w:t>
      </w:r>
      <w:r>
        <w:rPr>
          <w:rFonts w:ascii="AR PL UKai TW MBE" w:hAnsi="AR PL UKai TW MBE" w:cs="黑体" w:eastAsia="宋体"/>
          <w:sz w:val="21"/>
          <w:szCs w:val="21"/>
        </w:rPr>
        <w:t>调整参数后</w:t>
      </w:r>
      <w:r>
        <w:rPr>
          <w:rFonts w:ascii="AR PL UKai TW MBE" w:hAnsi="AR PL UKai TW MBE" w:cs="黑体" w:eastAsia="宋体"/>
          <w:sz w:val="21"/>
          <w:szCs w:val="21"/>
        </w:rPr>
        <w:t>，</w:t>
      </w:r>
      <w:r>
        <w:rPr>
          <w:rFonts w:eastAsia="宋体" w:cs="黑体" w:ascii="AR PL UKai TW MBE" w:hAnsi="AR PL UKai TW MBE"/>
          <w:color w:val="800000"/>
          <w:sz w:val="21"/>
          <w:szCs w:val="21"/>
        </w:rPr>
        <w:t>std_dev_threshold = 0.03m</w:t>
      </w:r>
      <w:r>
        <w:rPr>
          <w:rFonts w:ascii="AR PL UKai TW MBE" w:hAnsi="AR PL UKai TW MBE" w:cs="黑体" w:eastAsia="宋体"/>
          <w:sz w:val="21"/>
          <w:szCs w:val="21"/>
        </w:rPr>
        <w:t>时，既保证了路坎提取的完整度，同时误提取的噪声相对较低。</w:t>
      </w:r>
    </w:p>
    <w:p>
      <w:pPr>
        <w:pStyle w:val="Mxx1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-64770</wp:posOffset>
            </wp:positionH>
            <wp:positionV relativeFrom="paragraph">
              <wp:posOffset>99060</wp:posOffset>
            </wp:positionV>
            <wp:extent cx="5033645" cy="1273175"/>
            <wp:effectExtent l="0" t="0" r="0" b="0"/>
            <wp:wrapSquare wrapText="largest"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xx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56" w:after="0"/>
        <w:rPr/>
      </w:pPr>
      <w:r>
        <w:rPr/>
      </w:r>
    </w:p>
    <w:p>
      <w:pPr>
        <w:pStyle w:val="Normal"/>
        <w:spacing w:before="156" w:after="0"/>
        <w:rPr/>
      </w:pPr>
      <w:r>
        <w:rPr/>
      </w:r>
    </w:p>
    <w:p>
      <w:pPr>
        <w:pStyle w:val="Normal"/>
        <w:spacing w:before="156" w:after="0"/>
        <w:rPr/>
      </w:pPr>
      <w:r>
        <w:rPr/>
      </w:r>
    </w:p>
    <w:p>
      <w:pPr>
        <w:pStyle w:val="Normal"/>
        <w:spacing w:before="156" w:after="0"/>
        <w:rPr>
          <w:rFonts w:ascii="AR PL UKai TW MBE" w:hAnsi="AR PL UKai TW MBE"/>
          <w:sz w:val="21"/>
          <w:szCs w:val="21"/>
        </w:rPr>
      </w:pPr>
      <w:r>
        <w:rPr>
          <w:rFonts w:ascii="AR PL UKai TW MBE" w:hAnsi="AR PL UKai TW MBE"/>
          <w:sz w:val="21"/>
          <w:szCs w:val="21"/>
        </w:rPr>
        <w:t>Fig.</w:t>
      </w:r>
      <w:r>
        <w:rPr>
          <w:rFonts w:ascii="AR PL UKai TW MBE" w:hAnsi="AR PL UKai TW MBE"/>
          <w:sz w:val="21"/>
          <w:szCs w:val="21"/>
        </w:rPr>
        <w:t>4 std_dev_threshold = 0.03m</w:t>
      </w:r>
    </w:p>
    <w:p>
      <w:pPr>
        <w:pStyle w:val="Normal"/>
        <w:spacing w:before="156" w:after="0"/>
        <w:rPr>
          <w:rFonts w:ascii="AR PL UKai TW MBE" w:hAnsi="AR PL UKai TW MBE" w:eastAsia="宋体" w:cs="黑体"/>
          <w:sz w:val="21"/>
          <w:szCs w:val="2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4462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黑体" w:ascii="AR PL UKai TW MBE" w:hAnsi="AR PL UKai TW MBE"/>
          <w:sz w:val="21"/>
          <w:szCs w:val="21"/>
        </w:rPr>
        <w:t>Fig.</w:t>
      </w:r>
      <w:r>
        <w:rPr>
          <w:rFonts w:eastAsia="宋体" w:cs="黑体" w:ascii="AR PL UKai TW MBE" w:hAnsi="AR PL UKai TW MBE"/>
          <w:sz w:val="21"/>
          <w:szCs w:val="21"/>
        </w:rPr>
        <w:t>5 std_dev_threshold = 0.04m</w:t>
      </w:r>
      <w:r>
        <w:rPr>
          <w:rFonts w:ascii="AR PL UKai TW MBE" w:hAnsi="AR PL UKai TW MBE" w:cs="黑体"/>
          <w:sz w:val="21"/>
          <w:szCs w:val="21"/>
        </w:rPr>
        <w:t>（此时部分路坎未提取完整）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Calibri">
    <w:charset w:val="01"/>
    <w:family w:val="roman"/>
    <w:pitch w:val="variable"/>
  </w:font>
  <w:font w:name="DengXian Light"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 PL UKai TW MB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4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3ffc"/>
    <w:pPr>
      <w:widowControl w:val="false"/>
      <w:bidi w:val="0"/>
      <w:jc w:val="both"/>
    </w:pPr>
    <w:rPr>
      <w:rFonts w:ascii="Calibri" w:hAnsi="Calibri" w:eastAsia="宋体" w:cs="黑体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="DengXian Light" w:eastAsiaTheme="majorEastAsia"/>
      <w:b/>
      <w:bCs/>
      <w:sz w:val="30"/>
      <w:szCs w:val="44"/>
    </w:rPr>
  </w:style>
  <w:style w:type="paragraph" w:styleId="2">
    <w:name w:val="Heading 2"/>
    <w:basedOn w:val="Normal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="DengXian Light" w:hAnsi="DengXian Light" w:eastAsia="DengXian Light" w:cs="" w:asciiTheme="majorHAnsi" w:cstheme="majorBidi" w:eastAsiaTheme="majorEastAsia" w:hAnsiTheme="majorHAnsi"/>
      <w:b/>
      <w:bCs/>
      <w:sz w:val="28"/>
      <w:szCs w:val="32"/>
    </w:rPr>
  </w:style>
  <w:style w:type="paragraph" w:styleId="3">
    <w:name w:val="Heading 3"/>
    <w:basedOn w:val="Normal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0"/>
    <w:uiPriority w:val="9"/>
    <w:qFormat/>
    <w:rsid w:val="00bf14f8"/>
    <w:rPr>
      <w:rFonts w:ascii="Arial Unicode MS" w:hAnsi="Arial Unicode MS" w:eastAsia="DengXian Light" w:cs="Arial Unicode MS" w:eastAsiaTheme="majorEastAsia"/>
      <w:b/>
      <w:bCs/>
      <w:color w:val="000000"/>
      <w:sz w:val="30"/>
      <w:szCs w:val="44"/>
      <w:lang w:val="zh-CN"/>
    </w:rPr>
  </w:style>
  <w:style w:type="character" w:styleId="21" w:customStyle="1">
    <w:name w:val="标题 2字符"/>
    <w:basedOn w:val="DefaultParagraphFont"/>
    <w:link w:val="2"/>
    <w:uiPriority w:val="9"/>
    <w:qFormat/>
    <w:rsid w:val="00e83556"/>
    <w:rPr>
      <w:rFonts w:ascii="DengXian Light" w:hAnsi="DengXian Light" w:eastAsia="DengXian Light" w:cs="" w:asciiTheme="majorHAnsi" w:cstheme="majorBidi" w:eastAsiaTheme="majorEastAsia" w:hAnsiTheme="majorHAnsi"/>
      <w:b/>
      <w:bCs/>
      <w:color w:val="000000"/>
      <w:sz w:val="28"/>
      <w:szCs w:val="32"/>
      <w:lang w:val="zh-CN"/>
    </w:rPr>
  </w:style>
  <w:style w:type="character" w:styleId="31" w:customStyle="1">
    <w:name w:val="标题 3字符"/>
    <w:basedOn w:val="DefaultParagraphFont"/>
    <w:link w:val="3"/>
    <w:uiPriority w:val="9"/>
    <w:qFormat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character" w:styleId="Style11" w:customStyle="1">
    <w:name w:val="标题字符"/>
    <w:basedOn w:val="DefaultParagraphFont"/>
    <w:link w:val="a3"/>
    <w:uiPriority w:val="10"/>
    <w:qFormat/>
    <w:rsid w:val="00341318"/>
    <w:rPr>
      <w:rFonts w:ascii="DengXian Light" w:hAnsi="DengXian Light" w:eastAsia="宋体" w:cs="" w:asciiTheme="majorHAnsi" w:cstheme="majorBidi" w:hAnsiTheme="majorHAnsi"/>
      <w:b/>
      <w:bCs/>
      <w:sz w:val="32"/>
      <w:szCs w:val="32"/>
    </w:rPr>
  </w:style>
  <w:style w:type="character" w:styleId="Style12" w:customStyle="1">
    <w:name w:val="文档结构图字符"/>
    <w:basedOn w:val="DefaultParagraphFont"/>
    <w:link w:val="a7"/>
    <w:uiPriority w:val="99"/>
    <w:semiHidden/>
    <w:qFormat/>
    <w:rsid w:val="002c4ad4"/>
    <w:rPr>
      <w:rFonts w:ascii="宋体" w:hAnsi="宋体" w:eastAsia="宋体" w:cs="黑体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Mxx" w:customStyle="1">
    <w:name w:val="mxx的正文"/>
    <w:basedOn w:val="Normal"/>
    <w:autoRedefine/>
    <w:qFormat/>
    <w:rsid w:val="000d186e"/>
    <w:pPr>
      <w:spacing w:before="0" w:after="0"/>
      <w:contextualSpacing/>
    </w:pPr>
    <w:rPr>
      <w:rFonts w:ascii="Helvetica Neue" w:hAnsi="Helvetica Neue"/>
      <w:color w:val="333333"/>
      <w:szCs w:val="26"/>
    </w:rPr>
  </w:style>
  <w:style w:type="paragraph" w:styleId="Style19">
    <w:name w:val="Title"/>
    <w:basedOn w:val="Normal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="DengXian Light" w:hAnsi="DengXian Light" w:cs="" w:asciiTheme="majorHAnsi" w:cstheme="majorBidi" w:hAnsiTheme="majorHAnsi"/>
      <w:b/>
      <w:bCs/>
      <w:sz w:val="32"/>
      <w:szCs w:val="32"/>
    </w:rPr>
  </w:style>
  <w:style w:type="paragraph" w:styleId="Mxx1" w:customStyle="1">
    <w:name w:val="mxx的一级标题"/>
    <w:basedOn w:val="2"/>
    <w:autoRedefine/>
    <w:qFormat/>
    <w:rsid w:val="007e151e"/>
    <w:pPr>
      <w:spacing w:before="0" w:after="0"/>
      <w:contextualSpacing/>
      <w:jc w:val="left"/>
    </w:pPr>
    <w:rPr>
      <w:rFonts w:ascii="Arial" w:hAnsi="Arial" w:cs="Arial"/>
      <w:color w:val="333333"/>
      <w:szCs w:val="21"/>
    </w:rPr>
  </w:style>
  <w:style w:type="paragraph" w:styleId="Mxx2" w:customStyle="1">
    <w:name w:val="mxx的二级标题"/>
    <w:basedOn w:val="2"/>
    <w:autoRedefine/>
    <w:qFormat/>
    <w:rsid w:val="009636ed"/>
    <w:pPr/>
    <w:rPr>
      <w:rFonts w:ascii="Times" w:hAnsi="Times" w:cs="Times"/>
      <w:sz w:val="24"/>
      <w:szCs w:val="29"/>
    </w:rPr>
  </w:style>
  <w:style w:type="paragraph" w:styleId="Mxx3" w:customStyle="1">
    <w:name w:val="mxx的三级标题"/>
    <w:basedOn w:val="3"/>
    <w:autoRedefine/>
    <w:qFormat/>
    <w:rsid w:val="00341318"/>
    <w:pPr/>
    <w:rPr>
      <w:rFonts w:ascii="Times New Roman" w:hAnsi="Times New Roman"/>
    </w:rPr>
  </w:style>
  <w:style w:type="paragraph" w:styleId="12" w:customStyle="1">
    <w:name w:val="列出段落1"/>
    <w:basedOn w:val="Normal"/>
    <w:autoRedefine/>
    <w:uiPriority w:val="34"/>
    <w:qFormat/>
    <w:rsid w:val="00a22cf6"/>
    <w:pPr/>
    <w:rPr>
      <w:rFonts w:ascii="Arial" w:hAnsi="Arial" w:eastAsia="Times New Roman" w:cs="Arial"/>
      <w:color w:val="222222"/>
      <w:sz w:val="18"/>
      <w:szCs w:val="21"/>
      <w:shd w:fill="FFFFFF" w:val="clear"/>
    </w:rPr>
  </w:style>
  <w:style w:type="paragraph" w:styleId="Style20" w:customStyle="1">
    <w:name w:val="参考文献"/>
    <w:basedOn w:val="Mxx"/>
    <w:autoRedefine/>
    <w:qFormat/>
    <w:rsid w:val="007e151e"/>
    <w:pPr/>
    <w:rPr>
      <w:rFonts w:eastAsia="Times New Roman" w:cs="Arial"/>
      <w:sz w:val="18"/>
      <w:szCs w:val="20"/>
      <w:shd w:fill="FFFFFF" w:val="clear"/>
    </w:rPr>
  </w:style>
  <w:style w:type="paragraph" w:styleId="NoSpacing">
    <w:name w:val="No Spacing"/>
    <w:autoRedefine/>
    <w:uiPriority w:val="1"/>
    <w:qFormat/>
    <w:rsid w:val="00e83556"/>
    <w:pPr>
      <w:widowControl/>
      <w:pBdr/>
      <w:bidi w:val="0"/>
      <w:jc w:val="left"/>
    </w:pPr>
    <w:rPr>
      <w:rFonts w:ascii="Arial Unicode MS" w:hAnsi="Arial Unicode MS" w:eastAsia="Helvetica Neue" w:cs="Arial Unicode MS"/>
      <w:color w:val="000000"/>
      <w:sz w:val="21"/>
      <w:szCs w:val="24"/>
      <w:lang w:val="zh-CN" w:eastAsia="zh-CN" w:bidi="ar-SA"/>
    </w:rPr>
  </w:style>
  <w:style w:type="paragraph" w:styleId="DocumentMap">
    <w:name w:val="Document Map"/>
    <w:basedOn w:val="Normal"/>
    <w:link w:val="a8"/>
    <w:uiPriority w:val="99"/>
    <w:semiHidden/>
    <w:unhideWhenUsed/>
    <w:qFormat/>
    <w:rsid w:val="002c4ad4"/>
    <w:pPr/>
    <w:rPr>
      <w:rFonts w:ascii="宋体" w:hAnsi="宋体"/>
      <w:sz w:val="24"/>
      <w:szCs w:val="24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2</Pages>
  <Words>248</Words>
  <Characters>454</Characters>
  <CharactersWithSpaces>493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2018-08-22T02:54:00Z</dcterms:created>
  <dc:creator>mi xiaoxin</dc:creator>
  <dc:description/>
  <dc:language>zh-CN</dc:language>
  <cp:lastModifiedBy/>
  <dcterms:modified xsi:type="dcterms:W3CDTF">2018-08-22T13:27:05Z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