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both"/>
        <w:rPr>
          <w:rFonts w:ascii="Times New Roman" w:cs="Times New Roman" w:eastAsia="Times New Roman" w:hAnsi="Times New Roman"/>
        </w:rPr>
      </w:pPr>
      <w:bookmarkStart w:colFirst="0" w:colLast="0" w:name="_9c5av3674dui" w:id="0"/>
      <w:bookmarkEnd w:id="0"/>
      <w:r w:rsidDel="00000000" w:rsidR="00000000" w:rsidRPr="00000000">
        <w:rPr>
          <w:rFonts w:ascii="Times New Roman" w:cs="Times New Roman" w:eastAsia="Times New Roman" w:hAnsi="Times New Roman"/>
          <w:rtl w:val="0"/>
        </w:rPr>
        <w:t xml:space="preserve">История болезни</w:t>
      </w:r>
    </w:p>
    <w:p w:rsidR="00000000" w:rsidDel="00000000" w:rsidP="00000000" w:rsidRDefault="00000000" w:rsidRPr="00000000">
      <w:pPr>
        <w:pStyle w:val="Heading1"/>
        <w:contextualSpacing w:val="0"/>
        <w:rPr/>
      </w:pPr>
      <w:bookmarkStart w:colFirst="0" w:colLast="0" w:name="_qs0nq74u4inw" w:id="1"/>
      <w:bookmarkEnd w:id="1"/>
      <w:r w:rsidDel="00000000" w:rsidR="00000000" w:rsidRPr="00000000">
        <w:rPr>
          <w:rtl w:val="0"/>
        </w:rPr>
        <w:t xml:space="preserve">Главное окно</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Перечень историй болезней пациентов запускается из главного окна формы менеджера. Во время работы используется три вкладки формы:</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История болезни - работа с медицинской картой пациента;</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Процедуры - просмотр перечня процедур врача и закрытие смены;</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Процедуры без времени - просмотр перечня процедур без фиксированной привязки к времени прохождения и закрытие смены.</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13100"/>
            <wp:effectExtent b="0" l="0" r="0" t="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каждого врача доступны истории болезни только тех пациентов, лечение которых он проводит.</w:t>
      </w:r>
    </w:p>
    <w:p w:rsidR="00000000" w:rsidDel="00000000" w:rsidP="00000000" w:rsidRDefault="00000000" w:rsidRPr="00000000">
      <w:pPr>
        <w:pStyle w:val="Heading1"/>
        <w:contextualSpacing w:val="0"/>
        <w:jc w:val="both"/>
        <w:rPr/>
      </w:pPr>
      <w:bookmarkStart w:colFirst="0" w:colLast="0" w:name="_lexyecupiana" w:id="2"/>
      <w:bookmarkEnd w:id="2"/>
      <w:r w:rsidDel="00000000" w:rsidR="00000000" w:rsidRPr="00000000">
        <w:rPr>
          <w:rtl w:val="0"/>
        </w:rPr>
        <w:t xml:space="preserve">Оформление нового приема</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оформления истории болезни нового пациента необходимо нажать кнопку поиска, в открывшемся окне ввести данные пациента, выбрать нужного пациента из списка и указать причину доступа к истории болезни.</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05438" cy="3006016"/>
            <wp:effectExtent b="0" l="0" r="0" t="0"/>
            <wp:docPr id="19"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5405438" cy="30060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выбора нужного пациента данные о нем появятся в главном окне истории болезни и станут доступны для редактирования.</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7863" cy="14097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57863" cy="140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оформления нового приема необходимо нажать соответствующую кнопку панели в нижней части окна.</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2850" cy="3162300"/>
            <wp:effectExtent b="0" l="0" r="0" t="0"/>
            <wp:docPr id="10"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752850" cy="316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Новый прием можно оформить и из формы истории болезни.</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72125" cy="6076950"/>
            <wp:effectExtent b="0" l="0" r="0" t="0"/>
            <wp:docPr id="27" name="image57.png"/>
            <a:graphic>
              <a:graphicData uri="http://schemas.openxmlformats.org/drawingml/2006/picture">
                <pic:pic>
                  <pic:nvPicPr>
                    <pic:cNvPr id="0" name="image57.png"/>
                    <pic:cNvPicPr preferRelativeResize="0"/>
                  </pic:nvPicPr>
                  <pic:blipFill>
                    <a:blip r:embed="rId10"/>
                    <a:srcRect b="0" l="0" r="0" t="0"/>
                    <a:stretch>
                      <a:fillRect/>
                    </a:stretch>
                  </pic:blipFill>
                  <pic:spPr>
                    <a:xfrm>
                      <a:off x="0" y="0"/>
                      <a:ext cx="5572125" cy="607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Откроется окно оформления нового приема. Во вкладке общие врачом заполняются первичные данные и вид приема: первичный, повторный, заключительный, внеочередный, консультация, экстренный.</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4013200"/>
            <wp:effectExtent b="0" l="0" r="0" t="0"/>
            <wp:docPr id="1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Вкладки в окне сгруппированы по группам органов. Внутри вкладок поля для заполнения разделены постранично и сгруппированы по органам или вводимым данным.</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Гинекология:</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Анамнез;</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 per speculum;</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 per vaginum;</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Повторная консультация гинеколога (без осмотра).</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Эхокардиография:</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Аорта;</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Левое предсердие;</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Межжелудочковая перегородка;</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Задняя стенка сердца;</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Левый желудочек;</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Миокард;</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Правое предсердие;</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Правый желудочек;</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Межпредсердная перегородка;</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Митральный клапан (протез);</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Трикуспидальный клапан;</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Аортальный клапан (протез);</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Легочная артерия;</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Перикард.</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Молочные железы:</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Структура молочных желез;</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Разрастание ткани;</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Очаговые образования справа/слева;</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Лимфоузлы.</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Щитовидная железа:</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Размеры;</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Образования;</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Лимфоузлы.</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Предстательная железа:</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Предстательная железа;</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Локальная патология;</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Семенные пузырьки;</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Мочевой пузырь.</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Малый таз:</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Менструация;</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Матка;</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Яичники;</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Вены, позадиматочное пространство.</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Брюшная полость:</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Печень;</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Сосуды печени;</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Желчные протоки;</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Поджелудочная железа;</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Селезенка;</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Желудок, тонкая, ободочная, прямая кишка;</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Почки.</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Вены ног:</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Большая подкожная вена;</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Малая подкожная вена;</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Перфорантные вены;</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Подвздошные, бедренные, подколенные, берцовые вены;</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Суральные вены.</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Брахиоцефальные артерии:</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Общие сведения и показатели;</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Вертебро-базилярный бассейн;</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Особенности хода артерий.</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Артерии ног:</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Общие сведения о сосудах;</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Внутрипросветные образования;</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Кровоток;</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Артериальное кровенаполнение.</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Слюнные железы:</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Показатели;</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Лимфоузлы.</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Произвольное УЗИ.</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данные о приемах, анамнезе, результаты обследований, план лечения и назначенные процедуры записываются в историю болезни.</w:t>
      </w:r>
    </w:p>
    <w:p w:rsidR="00000000" w:rsidDel="00000000" w:rsidP="00000000" w:rsidRDefault="00000000" w:rsidRPr="00000000">
      <w:pPr>
        <w:pStyle w:val="Heading1"/>
        <w:contextualSpacing w:val="0"/>
        <w:jc w:val="both"/>
        <w:rPr/>
      </w:pPr>
      <w:bookmarkStart w:colFirst="0" w:colLast="0" w:name="_a9y8ul8x9vnw" w:id="3"/>
      <w:bookmarkEnd w:id="3"/>
      <w:r w:rsidDel="00000000" w:rsidR="00000000" w:rsidRPr="00000000">
        <w:rPr>
          <w:rtl w:val="0"/>
        </w:rPr>
        <w:t xml:space="preserve">Назначение лечебных процедур</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Все операции с лечебными процедурами врачом осуществляются ТОЛЬКО из истории болезни! Это необходимо для корректного отображения процедур, входящих в стоимость путевки.</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назначения процедур необходимо открыть вкладку “Истории болезни” и найти нужную карту истории или выбрать историю болезни из списка в окне.</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13100"/>
            <wp:effectExtent b="0" l="0" r="0" t="0"/>
            <wp:docPr id="30" name="image60.png"/>
            <a:graphic>
              <a:graphicData uri="http://schemas.openxmlformats.org/drawingml/2006/picture">
                <pic:pic>
                  <pic:nvPicPr>
                    <pic:cNvPr id="0" name="image60.png"/>
                    <pic:cNvPicPr preferRelativeResize="0"/>
                  </pic:nvPicPr>
                  <pic:blipFill>
                    <a:blip r:embed="rId12"/>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Назначение новых лечебных процедур осуществляется из истории болезни во вкладке “План лечения”. После нажатия пиктограммы новой процедуры откроется окно, в котором необходимо ввести данные о новой процедуре.</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назначения новой процедуры без времени необходимо нажать пиктограмму, показанную на рисунке, и внести данные о новой процедуре.</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895600"/>
            <wp:effectExtent b="0" l="0" r="0" t="0"/>
            <wp:docPr id="28" name="image58.png"/>
            <a:graphic>
              <a:graphicData uri="http://schemas.openxmlformats.org/drawingml/2006/picture">
                <pic:pic>
                  <pic:nvPicPr>
                    <pic:cNvPr id="0" name="image58.png"/>
                    <pic:cNvPicPr preferRelativeResize="0"/>
                  </pic:nvPicPr>
                  <pic:blipFill>
                    <a:blip r:embed="rId13"/>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создания процедуры данные о ней будут отображены в главном окне процедур.</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571500"/>
            <wp:effectExtent b="0" l="0" r="0" t="0"/>
            <wp:docPr id="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73405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Процедуры </w:t>
      </w:r>
      <w:r w:rsidDel="00000000" w:rsidR="00000000" w:rsidRPr="00000000">
        <w:rPr>
          <w:rFonts w:ascii="Times New Roman" w:cs="Times New Roman" w:eastAsia="Times New Roman" w:hAnsi="Times New Roman"/>
          <w:b w:val="1"/>
          <w:rtl w:val="0"/>
        </w:rPr>
        <w:t xml:space="preserve">по времени</w:t>
      </w:r>
      <w:r w:rsidDel="00000000" w:rsidR="00000000" w:rsidRPr="00000000">
        <w:rPr>
          <w:rFonts w:ascii="Times New Roman" w:cs="Times New Roman" w:eastAsia="Times New Roman" w:hAnsi="Times New Roman"/>
          <w:rtl w:val="0"/>
        </w:rPr>
        <w:t xml:space="preserve"> имеют привязку к конкретному времени прохождения процедуры.</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Процедуры </w:t>
      </w:r>
      <w:r w:rsidDel="00000000" w:rsidR="00000000" w:rsidRPr="00000000">
        <w:rPr>
          <w:rFonts w:ascii="Times New Roman" w:cs="Times New Roman" w:eastAsia="Times New Roman" w:hAnsi="Times New Roman"/>
          <w:b w:val="1"/>
          <w:rtl w:val="0"/>
        </w:rPr>
        <w:t xml:space="preserve">без времени</w:t>
      </w:r>
      <w:r w:rsidDel="00000000" w:rsidR="00000000" w:rsidRPr="00000000">
        <w:rPr>
          <w:rFonts w:ascii="Times New Roman" w:cs="Times New Roman" w:eastAsia="Times New Roman" w:hAnsi="Times New Roman"/>
          <w:rtl w:val="0"/>
        </w:rPr>
        <w:t xml:space="preserve"> не привязаны к графику работы  и могут быть пройдены в любое удобное время.</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Процедуры по времени назначаются из “шахматки” графика процедур.</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просмотра графика процедур нажмите на пиктограмму “шахматки” во вкладке “По времени”.</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33950" cy="3143250"/>
            <wp:effectExtent b="0" l="0" r="0" t="0"/>
            <wp:docPr id="22"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4933950" cy="3143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новом окне будет показан весь доступный список процедур для гостя санатория, а также количество оставшихся процедур согласно путевке или назначению врача.</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612900"/>
            <wp:effectExtent b="0" l="0" r="0" t="0"/>
            <wp:docPr id="14"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5734050" cy="161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Кнопка “Построить” выведет на экран график процедур повременно для выбранной процедуры и врача. При  наведении курсора на занятую ячейку всплывающая подсказка отобразит информацию о том, кто из пациентов записан на это время приема.</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Поле “Гость” в процедурной “шахматке” заполняется автоматически и недоступно для редактирования.</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098800"/>
            <wp:effectExtent b="0" l="0" r="0" t="0"/>
            <wp:docPr id="24"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назначения новой процедуры необходимо выбрать тип процедуры, наименование, лечащего врача/графика. Далее нажать “Построить” для просмотра графика времени выбранного врача.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пациенту уже назначены процедуры на выбранный период, поля шахматки, соответствующие текущему пациенту будут окрашены в фиолетовый цвет.</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098800"/>
            <wp:effectExtent b="0" l="0" r="0" t="0"/>
            <wp:docPr id="11"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построения “шахматки” курсором необходимо выбрать удобное время прохождения процедуры. При  необходимости можно выделить несколько свободных ячеек кликом по ним. Для снятия выделения кликните по ячейке ещё раз. Далее нажмите кнопку “Назначить”.</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019300"/>
            <wp:effectExtent b="0" l="0" r="0" t="0"/>
            <wp:docPr id="15" name="image45.png"/>
            <a:graphic>
              <a:graphicData uri="http://schemas.openxmlformats.org/drawingml/2006/picture">
                <pic:pic>
                  <pic:nvPicPr>
                    <pic:cNvPr id="0" name="image45.png"/>
                    <pic:cNvPicPr preferRelativeResize="0"/>
                  </pic:nvPicPr>
                  <pic:blipFill>
                    <a:blip r:embed="rId19"/>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назначенные пациенту процедуры можно посмотреть, нажав кнопку “Назначенные процедуры”. Кнопка “Редактировать” позволяет внести изменения в уже назначенную процедуру.</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Перед прохождением процедуры, у пациента может запрашиваться подтверждение явки. Если с клиентом согласованы время и дата приема, в форме назначения процедур устанавливается флаг “Подтвержден”, а шрифт в ячейке сменит цвет с красного на черный.</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4064000"/>
            <wp:effectExtent b="0" l="0" r="0" t="0"/>
            <wp:docPr id="25" name="image55.png"/>
            <a:graphic>
              <a:graphicData uri="http://schemas.openxmlformats.org/drawingml/2006/picture">
                <pic:pic>
                  <pic:nvPicPr>
                    <pic:cNvPr id="0" name="image55.png"/>
                    <pic:cNvPicPr preferRelativeResize="0"/>
                  </pic:nvPicPr>
                  <pic:blipFill>
                    <a:blip r:embed="rId20"/>
                    <a:srcRect b="0" l="0" r="0" t="0"/>
                    <a:stretch>
                      <a:fillRect/>
                    </a:stretch>
                  </pic:blipFill>
                  <pic:spPr>
                    <a:xfrm>
                      <a:off x="0" y="0"/>
                      <a:ext cx="5734050" cy="406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крайнем столбце таблицы процедур указаны наименования и количество процедур, включенных в путевку гостя (если гость отдыхает по оздоровительной путевке).</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24300" cy="1514475"/>
            <wp:effectExtent b="0" l="0" r="0" t="0"/>
            <wp:docPr id="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924300" cy="1514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pw9773oomu8o" w:id="4"/>
      <w:bookmarkEnd w:id="4"/>
      <w:r w:rsidDel="00000000" w:rsidR="00000000" w:rsidRPr="00000000">
        <w:rPr>
          <w:rtl w:val="0"/>
        </w:rPr>
        <w:t xml:space="preserve">Закрытие процедуры</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Закрытие процедур с привязкой по времени осуществляется из окна “Процедуры”. Для удобства пользователя все процедуры можно отфильтровать по заданным критериям. Для этого необходимо нажать на пиктограмму фильтра и выбрать нужный способ фильтрации.</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8525" cy="3219450"/>
            <wp:effectExtent b="0" l="0" r="0" t="0"/>
            <wp:docPr id="17" name="image47.jpg"/>
            <a:graphic>
              <a:graphicData uri="http://schemas.openxmlformats.org/drawingml/2006/picture">
                <pic:pic>
                  <pic:nvPicPr>
                    <pic:cNvPr id="0" name="image47.jpg"/>
                    <pic:cNvPicPr preferRelativeResize="0"/>
                  </pic:nvPicPr>
                  <pic:blipFill>
                    <a:blip r:embed="rId22"/>
                    <a:srcRect b="0" l="0" r="0" t="0"/>
                    <a:stretch>
                      <a:fillRect/>
                    </a:stretch>
                  </pic:blipFill>
                  <pic:spPr>
                    <a:xfrm>
                      <a:off x="0" y="0"/>
                      <a:ext cx="3438525" cy="3219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Отметка о прохождении процедуры пациентом заполняется медицинской сестрой. За пройденные процедуры выставляется соответствующее количество условных единиц.</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48200" cy="4267200"/>
            <wp:effectExtent b="0" l="0" r="0" t="0"/>
            <wp:docPr id="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648200" cy="426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закрытия процедуры ячейки в панели сменят цвет.</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927100"/>
            <wp:effectExtent b="0" l="0" r="0" t="0"/>
            <wp:docPr id="8"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закрытия смены необходимо, чтобы была закрыта минимум одна процедура и по ней должны быть выставлено количество условных единиц. Если процедура закрыта, но условные единицы по ней не выставлены, флаг закрытия обнуляется. Для активации кнопки закрытия процедуры необходимо обновить форму, нажав F5.</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492500"/>
            <wp:effectExtent b="0" l="0" r="0" t="0"/>
            <wp:docPr id="26" name="image56.png"/>
            <a:graphic>
              <a:graphicData uri="http://schemas.openxmlformats.org/drawingml/2006/picture">
                <pic:pic>
                  <pic:nvPicPr>
                    <pic:cNvPr id="0" name="image56.png"/>
                    <pic:cNvPicPr preferRelativeResize="0"/>
                  </pic:nvPicPr>
                  <pic:blipFill>
                    <a:blip r:embed="rId25"/>
                    <a:srcRect b="0" l="0" r="0" t="0"/>
                    <a:stretch>
                      <a:fillRect/>
                    </a:stretch>
                  </pic:blipFill>
                  <pic:spPr>
                    <a:xfrm>
                      <a:off x="0" y="0"/>
                      <a:ext cx="5734050" cy="349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нажатия кнопки “Закрыть смену” программа предложит выбрать имена медсестер для закрытия и начисления условных единиц.</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187700"/>
            <wp:effectExtent b="0" l="0" r="0" t="0"/>
            <wp:docPr id="20" name="image50.png"/>
            <a:graphic>
              <a:graphicData uri="http://schemas.openxmlformats.org/drawingml/2006/picture">
                <pic:pic>
                  <pic:nvPicPr>
                    <pic:cNvPr id="0" name="image50.png"/>
                    <pic:cNvPicPr preferRelativeResize="0"/>
                  </pic:nvPicPr>
                  <pic:blipFill>
                    <a:blip r:embed="rId26"/>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выбраны несколько сотрудников, все условные единицы будут поровну разделены между ними.</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492500"/>
            <wp:effectExtent b="0" l="0" r="0" t="0"/>
            <wp:docPr id="1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5734050" cy="349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xkj7k4xrfoss" w:id="5"/>
      <w:bookmarkEnd w:id="5"/>
      <w:r w:rsidDel="00000000" w:rsidR="00000000" w:rsidRPr="00000000">
        <w:rPr>
          <w:rtl w:val="0"/>
        </w:rPr>
        <w:t xml:space="preserve">Закрытие процедур без времени</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Список процедур без фиксированной привязки ко времени можно просмотреть во вкладке “Процедуры без времени”.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13100"/>
            <wp:effectExtent b="0" l="0" r="0" t="0"/>
            <wp:docPr id="29" name="image59.png"/>
            <a:graphic>
              <a:graphicData uri="http://schemas.openxmlformats.org/drawingml/2006/picture">
                <pic:pic>
                  <pic:nvPicPr>
                    <pic:cNvPr id="0" name="image59.png"/>
                    <pic:cNvPicPr preferRelativeResize="0"/>
                  </pic:nvPicPr>
                  <pic:blipFill>
                    <a:blip r:embed="rId28"/>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помощью фильтрации можно выбрать необходимые процедуры.</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можно выполнить поиск нужной процедуры путем нажатия на треугольник у заголовка колонки и выбора пункта “Содержит” или поиска названия в списке.</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0025" cy="2571750"/>
            <wp:effectExtent b="0" l="0" r="0" t="0"/>
            <wp:docPr id="16" name="image46.jpg"/>
            <a:graphic>
              <a:graphicData uri="http://schemas.openxmlformats.org/drawingml/2006/picture">
                <pic:pic>
                  <pic:nvPicPr>
                    <pic:cNvPr id="0" name="image46.jpg"/>
                    <pic:cNvPicPr preferRelativeResize="0"/>
                  </pic:nvPicPr>
                  <pic:blipFill>
                    <a:blip r:embed="rId29"/>
                    <a:srcRect b="0" l="0" r="0" t="0"/>
                    <a:stretch>
                      <a:fillRect/>
                    </a:stretch>
                  </pic:blipFill>
                  <pic:spPr>
                    <a:xfrm>
                      <a:off x="0" y="0"/>
                      <a:ext cx="4010025" cy="2571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14700" cy="1162050"/>
            <wp:effectExtent b="0" l="0" r="0" t="0"/>
            <wp:docPr id="18" name="image48.png"/>
            <a:graphic>
              <a:graphicData uri="http://schemas.openxmlformats.org/drawingml/2006/picture">
                <pic:pic>
                  <pic:nvPicPr>
                    <pic:cNvPr id="0" name="image48.png"/>
                    <pic:cNvPicPr preferRelativeResize="0"/>
                  </pic:nvPicPr>
                  <pic:blipFill>
                    <a:blip r:embed="rId30"/>
                    <a:srcRect b="0" l="0" r="0" t="0"/>
                    <a:stretch>
                      <a:fillRect/>
                    </a:stretch>
                  </pic:blipFill>
                  <pic:spPr>
                    <a:xfrm>
                      <a:off x="0" y="0"/>
                      <a:ext cx="3314700" cy="1162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отмены фильтрации необходимо снова открыть выпадающее меню и выбрать пункт “Все”.</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закрытия процедур без времени необходимо дважды кликнуть на нужную процедуру в окне “Процедуры без времени”, отметить флаг “Процедура пройдена” и указать количество условных единиц. Затем нажать кнопку “Закрыть смену”, указать дату закрытия и процедуру.</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0000" cy="1095375"/>
            <wp:effectExtent b="0" l="0" r="0" t="0"/>
            <wp:docPr id="21"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3810000" cy="1095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Выберите ответственных за проведение процедуры специалистов.</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187700"/>
            <wp:effectExtent b="0" l="0" r="0" t="0"/>
            <wp:docPr id="3"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нажатия кнопки “ОК” программа пересчитает все начисленные условные единицы по указанной процедуре за дату закрытия и выдаст сообщение об успешном завершении.</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8525" cy="1400175"/>
            <wp:effectExtent b="0" l="0" r="0" t="0"/>
            <wp:docPr id="2"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3438525" cy="1400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Кнопка “Учет условных единиц” откроет форму с суммарным количеством начисленных работнику единиц.</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425700"/>
            <wp:effectExtent b="0" l="0" r="0" t="0"/>
            <wp:docPr id="23" name="image53.png"/>
            <a:graphic>
              <a:graphicData uri="http://schemas.openxmlformats.org/drawingml/2006/picture">
                <pic:pic>
                  <pic:nvPicPr>
                    <pic:cNvPr id="0" name="image53.png"/>
                    <pic:cNvPicPr preferRelativeResize="0"/>
                  </pic:nvPicPr>
                  <pic:blipFill>
                    <a:blip r:embed="rId34"/>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435100"/>
            <wp:effectExtent b="0" l="0" r="0" t="0"/>
            <wp:docPr id="7"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5.png"/><Relationship Id="rId22" Type="http://schemas.openxmlformats.org/officeDocument/2006/relationships/image" Target="media/image47.jpg"/><Relationship Id="rId21" Type="http://schemas.openxmlformats.org/officeDocument/2006/relationships/image" Target="media/image16.png"/><Relationship Id="rId24" Type="http://schemas.openxmlformats.org/officeDocument/2006/relationships/image" Target="media/image19.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50.png"/><Relationship Id="rId25" Type="http://schemas.openxmlformats.org/officeDocument/2006/relationships/image" Target="media/image56.png"/><Relationship Id="rId28" Type="http://schemas.openxmlformats.org/officeDocument/2006/relationships/image" Target="media/image59.png"/><Relationship Id="rId27" Type="http://schemas.openxmlformats.org/officeDocument/2006/relationships/image" Target="media/image42.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46.jpg"/><Relationship Id="rId7" Type="http://schemas.openxmlformats.org/officeDocument/2006/relationships/image" Target="media/image49.png"/><Relationship Id="rId8" Type="http://schemas.openxmlformats.org/officeDocument/2006/relationships/image" Target="media/image5.png"/><Relationship Id="rId31" Type="http://schemas.openxmlformats.org/officeDocument/2006/relationships/image" Target="media/image51.png"/><Relationship Id="rId30" Type="http://schemas.openxmlformats.org/officeDocument/2006/relationships/image" Target="media/image48.png"/><Relationship Id="rId11" Type="http://schemas.openxmlformats.org/officeDocument/2006/relationships/image" Target="media/image43.png"/><Relationship Id="rId33" Type="http://schemas.openxmlformats.org/officeDocument/2006/relationships/image" Target="media/image6.png"/><Relationship Id="rId10" Type="http://schemas.openxmlformats.org/officeDocument/2006/relationships/image" Target="media/image57.png"/><Relationship Id="rId32" Type="http://schemas.openxmlformats.org/officeDocument/2006/relationships/image" Target="media/image7.png"/><Relationship Id="rId13" Type="http://schemas.openxmlformats.org/officeDocument/2006/relationships/image" Target="media/image58.png"/><Relationship Id="rId35" Type="http://schemas.openxmlformats.org/officeDocument/2006/relationships/image" Target="media/image17.png"/><Relationship Id="rId12" Type="http://schemas.openxmlformats.org/officeDocument/2006/relationships/image" Target="media/image60.png"/><Relationship Id="rId34" Type="http://schemas.openxmlformats.org/officeDocument/2006/relationships/image" Target="media/image53.png"/><Relationship Id="rId15" Type="http://schemas.openxmlformats.org/officeDocument/2006/relationships/image" Target="media/image52.png"/><Relationship Id="rId14" Type="http://schemas.openxmlformats.org/officeDocument/2006/relationships/image" Target="media/image20.png"/><Relationship Id="rId17" Type="http://schemas.openxmlformats.org/officeDocument/2006/relationships/image" Target="media/image54.png"/><Relationship Id="rId16" Type="http://schemas.openxmlformats.org/officeDocument/2006/relationships/image" Target="media/image44.png"/><Relationship Id="rId19" Type="http://schemas.openxmlformats.org/officeDocument/2006/relationships/image" Target="media/image45.png"/><Relationship Id="rId18"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