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B3828" w:rsidRDefault="000B63F1">
      <w:pPr>
        <w:jc w:val="center"/>
        <w:rPr>
          <w:b/>
        </w:rPr>
      </w:pPr>
      <w:r>
        <w:rPr>
          <w:b/>
        </w:rPr>
        <w:t>Организация связи оплаты с назначенными процедурами</w:t>
      </w:r>
    </w:p>
    <w:p w:rsidR="009B3828" w:rsidRDefault="000B63F1">
      <w:r>
        <w:t>Для связи талонов с оплатой были сделаны следующие доработки:</w:t>
      </w:r>
    </w:p>
    <w:p w:rsidR="009B3828" w:rsidRDefault="000B63F1">
      <w:r>
        <w:t>Добавлен справочник Типы реализации (Путевка, Страховка, Платно, Сертификат, Курсовка).</w:t>
      </w:r>
    </w:p>
    <w:p w:rsidR="009B3828" w:rsidRDefault="000B63F1">
      <w:r>
        <w:t>В документ Назначение и прохождение процедур (далее Талон) и Процедуры без времени добавлены поля - Документ реализации и Тип реализации. Документ реализации - это поле-ссылка на документ оплаты (может быть документ Заказ или Акт оказанных услуг).</w:t>
      </w:r>
    </w:p>
    <w:p w:rsidR="009B3828" w:rsidRDefault="000B63F1">
      <w:pPr>
        <w:numPr>
          <w:ilvl w:val="0"/>
          <w:numId w:val="1"/>
        </w:numPr>
        <w:contextualSpacing/>
      </w:pPr>
      <w:r>
        <w:t>Если тал</w:t>
      </w:r>
      <w:r>
        <w:t xml:space="preserve">он назначен по путевке, то тип реализации - Путевка. Поле Документ реализации в талоне должен будет заполнен ссылкой на позицию документа Заказ по услуге Путевка, оплаченной по необходимому клиенту. </w:t>
      </w:r>
    </w:p>
    <w:p w:rsidR="009B3828" w:rsidRDefault="000B63F1">
      <w:pPr>
        <w:numPr>
          <w:ilvl w:val="0"/>
          <w:numId w:val="1"/>
        </w:numPr>
        <w:contextualSpacing/>
      </w:pPr>
      <w:r>
        <w:t xml:space="preserve">Если талон назначен платно, то тип реализации - Платно. </w:t>
      </w:r>
      <w:r>
        <w:t xml:space="preserve">Поле Документ реализации в талоне должен будет заполнен ссылкой на позицию документа Заказ по процедуре, оплаченной по необходимому клиенту. </w:t>
      </w:r>
    </w:p>
    <w:p w:rsidR="009B3828" w:rsidRDefault="000B63F1">
      <w:pPr>
        <w:numPr>
          <w:ilvl w:val="0"/>
          <w:numId w:val="1"/>
        </w:numPr>
        <w:contextualSpacing/>
      </w:pPr>
      <w:r>
        <w:t>Если талон назначен по страховке, то тип реализации - Страховка. Поле Документ реализации в талоне должен будет за</w:t>
      </w:r>
      <w:r>
        <w:t>полнен ссылкой на документ Акт оказанных услуг.</w:t>
      </w:r>
    </w:p>
    <w:p w:rsidR="009B3828" w:rsidRDefault="000B63F1">
      <w:pPr>
        <w:numPr>
          <w:ilvl w:val="0"/>
          <w:numId w:val="1"/>
        </w:numPr>
        <w:contextualSpacing/>
      </w:pPr>
      <w:r>
        <w:t xml:space="preserve">Если талон назначен по сертификату/курсовке, то тип реализации - Сертификат/Курсовка. Поле Документ реализации в талоне должен будет заполнен ссылкой на позицию документа Заказ по услуге, входящей в группу </w:t>
      </w:r>
      <w:proofErr w:type="spellStart"/>
      <w:r>
        <w:t>тм</w:t>
      </w:r>
      <w:r>
        <w:t>ц</w:t>
      </w:r>
      <w:proofErr w:type="spellEnd"/>
      <w:r>
        <w:t xml:space="preserve"> Сертификат/Курсовка, оплаченной по необходимому клиенту (пока сделано по клиенту, планируется сделать по номеру оплаты). Чтобы определить Сертификат это или Курсовка необходимо правильно заполнить группу </w:t>
      </w:r>
      <w:proofErr w:type="spellStart"/>
      <w:r>
        <w:t>тмц</w:t>
      </w:r>
      <w:proofErr w:type="spellEnd"/>
      <w:r>
        <w:t xml:space="preserve"> по данным услугам. </w:t>
      </w:r>
    </w:p>
    <w:p w:rsidR="009B3828" w:rsidRDefault="000B63F1">
      <w:pPr>
        <w:jc w:val="center"/>
      </w:pPr>
      <w:r>
        <w:rPr>
          <w:noProof/>
          <w:lang w:val="ru-RU"/>
        </w:rPr>
        <w:drawing>
          <wp:inline distT="114300" distB="114300" distL="114300" distR="114300">
            <wp:extent cx="6772275" cy="5248275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524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3828" w:rsidRDefault="000B63F1">
      <w:r>
        <w:t xml:space="preserve">ИД групп </w:t>
      </w:r>
      <w:proofErr w:type="gramStart"/>
      <w:r>
        <w:t>заданы</w:t>
      </w:r>
      <w:proofErr w:type="gramEnd"/>
      <w:r>
        <w:t xml:space="preserve"> в Конста</w:t>
      </w:r>
      <w:r>
        <w:t>нтах (инфа для разработчика):</w:t>
      </w:r>
    </w:p>
    <w:p w:rsidR="009B3828" w:rsidRDefault="000B63F1">
      <w:pPr>
        <w:jc w:val="center"/>
      </w:pPr>
      <w:r>
        <w:rPr>
          <w:noProof/>
          <w:lang w:val="ru-RU"/>
        </w:rPr>
        <w:lastRenderedPageBreak/>
        <w:drawing>
          <wp:inline distT="114300" distB="114300" distL="114300" distR="114300">
            <wp:extent cx="5524500" cy="2619375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619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3828" w:rsidRDefault="009B3828"/>
    <w:p w:rsidR="009B3828" w:rsidRDefault="000B63F1">
      <w:r>
        <w:t>Существует 2 варианта оплаты за услуги:</w:t>
      </w:r>
    </w:p>
    <w:p w:rsidR="009B3828" w:rsidRDefault="000B63F1">
      <w:r>
        <w:t>Вариант 1: есть талон, нет оплаты.</w:t>
      </w:r>
    </w:p>
    <w:p w:rsidR="009B3828" w:rsidRDefault="000B63F1">
      <w:pPr>
        <w:ind w:firstLine="720"/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3325495</wp:posOffset>
                </wp:positionH>
                <wp:positionV relativeFrom="paragraph">
                  <wp:posOffset>4890135</wp:posOffset>
                </wp:positionV>
                <wp:extent cx="542925" cy="409575"/>
                <wp:effectExtent l="57150" t="38100" r="85725" b="12382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0957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26" style="position:absolute;margin-left:261.85pt;margin-top:385.05pt;width:42.75pt;height:32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" filled="f" strokecolor="#c0504d [3205]" strokeweight="4.5pt">
                <v:shadow on="t" color="black" opacity="22937f" origin=",.5" offset="0,.63889mm"/>
              </v:rect>
            </w:pict>
          </mc:Fallback>
        </mc:AlternateContent>
      </w:r>
      <w:r>
        <w:t xml:space="preserve">Клиент приходит оплатить процедуру. Кассир выбирает талоны по процедурам, которые надо оплатить, через форму выбора назначенных процедур: </w:t>
      </w:r>
      <w:bookmarkStart w:id="0" w:name="_GoBack"/>
      <w:r>
        <w:rPr>
          <w:noProof/>
          <w:lang w:val="ru-RU"/>
        </w:rPr>
        <w:drawing>
          <wp:inline distT="114300" distB="114300" distL="114300" distR="114300">
            <wp:extent cx="7202850" cy="5397500"/>
            <wp:effectExtent l="0" t="0" r="0" b="0"/>
            <wp:docPr id="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2850" cy="539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p w:rsidR="009B3828" w:rsidRDefault="009B3828"/>
    <w:p w:rsidR="009B3828" w:rsidRDefault="000B63F1">
      <w:r>
        <w:t xml:space="preserve">Данный </w:t>
      </w:r>
      <w:r>
        <w:t xml:space="preserve">вариант подходит для оплаты Процедур без времени. Если врач </w:t>
      </w:r>
      <w:proofErr w:type="spellStart"/>
      <w:r>
        <w:t>узист</w:t>
      </w:r>
      <w:proofErr w:type="spellEnd"/>
      <w:r>
        <w:t>, к примеру, выполнил дополнительные процедуры, то он должен занести их в Процедуры без времени. Кассир через форму назначенных процедур по данным процедурам сможет пробить чек аналогично как</w:t>
      </w:r>
      <w:r>
        <w:t xml:space="preserve"> с </w:t>
      </w:r>
      <w:proofErr w:type="gramStart"/>
      <w:r>
        <w:t>обычными</w:t>
      </w:r>
      <w:proofErr w:type="gramEnd"/>
      <w:r>
        <w:t xml:space="preserve"> талонам. </w:t>
      </w:r>
    </w:p>
    <w:p w:rsidR="009B3828" w:rsidRDefault="000B63F1">
      <w:r>
        <w:t xml:space="preserve"> </w:t>
      </w:r>
    </w:p>
    <w:p w:rsidR="009B3828" w:rsidRDefault="000B63F1">
      <w:r>
        <w:t>Для выбора талонов по конкретному клиенту необходимо ввести ФИО в поле Фильтр. Если Время будет не заполнено, то это Процедура без времени.</w:t>
      </w:r>
    </w:p>
    <w:p w:rsidR="009B3828" w:rsidRDefault="000B63F1">
      <w:r>
        <w:lastRenderedPageBreak/>
        <w:t xml:space="preserve">После выбора </w:t>
      </w:r>
      <w:proofErr w:type="gramStart"/>
      <w:r>
        <w:t>процедур</w:t>
      </w:r>
      <w:proofErr w:type="gramEnd"/>
      <w:r>
        <w:t xml:space="preserve"> таким образом поля Документ реализации и Тип реализации будет заполнен</w:t>
      </w:r>
      <w:r>
        <w:t>ы автоматически в талонах.</w:t>
      </w:r>
    </w:p>
    <w:p w:rsidR="009B3828" w:rsidRDefault="000B63F1">
      <w:r>
        <w:rPr>
          <w:noProof/>
          <w:lang w:val="ru-RU"/>
        </w:rPr>
        <w:drawing>
          <wp:inline distT="114300" distB="114300" distL="114300" distR="114300">
            <wp:extent cx="7202850" cy="588010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2850" cy="588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3828" w:rsidRDefault="009B3828"/>
    <w:p w:rsidR="009B3828" w:rsidRDefault="000B63F1">
      <w:r>
        <w:br w:type="page"/>
      </w:r>
    </w:p>
    <w:p w:rsidR="009B3828" w:rsidRDefault="000B63F1">
      <w:r>
        <w:lastRenderedPageBreak/>
        <w:t>Вариант 2: есть оплата (оплата по сертификату, курсовке, страховке), нет талона.</w:t>
      </w:r>
    </w:p>
    <w:p w:rsidR="009B3828" w:rsidRDefault="000B63F1">
      <w:r>
        <w:tab/>
        <w:t>Клиент приходит записаться, медрегистратор создает талон и указывает документ оплаты/страховки/сертификата/курсовки в диалоговой форме талона.</w:t>
      </w:r>
      <w:r>
        <w:t xml:space="preserve"> </w:t>
      </w:r>
    </w:p>
    <w:p w:rsidR="009B3828" w:rsidRDefault="000B63F1">
      <w:pPr>
        <w:jc w:val="center"/>
      </w:pPr>
      <w:r>
        <w:rPr>
          <w:noProof/>
          <w:lang w:val="ru-RU"/>
        </w:rPr>
        <w:drawing>
          <wp:inline distT="114300" distB="114300" distL="114300" distR="114300">
            <wp:extent cx="4686300" cy="4248150"/>
            <wp:effectExtent l="0" t="0" r="0" b="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24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3828" w:rsidRDefault="009B3828"/>
    <w:p w:rsidR="009B3828" w:rsidRDefault="009B3828"/>
    <w:p w:rsidR="009B3828" w:rsidRDefault="000B63F1">
      <w:proofErr w:type="gramStart"/>
      <w:r>
        <w:t>Чтобы определить талоны с незаполненным полем Документ реализации разработан отчет Талоны без оплаты (... » 2.</w:t>
      </w:r>
      <w:proofErr w:type="gramEnd"/>
      <w:r>
        <w:t xml:space="preserve"> Экономист » 00. </w:t>
      </w:r>
      <w:proofErr w:type="gramStart"/>
      <w:r>
        <w:t>Отчеты).</w:t>
      </w:r>
      <w:proofErr w:type="gramEnd"/>
    </w:p>
    <w:p w:rsidR="009B3828" w:rsidRDefault="000B63F1">
      <w:r>
        <w:t>Параметры отчета:</w:t>
      </w:r>
    </w:p>
    <w:p w:rsidR="009B3828" w:rsidRDefault="000B63F1">
      <w:pPr>
        <w:jc w:val="center"/>
      </w:pPr>
      <w:r>
        <w:rPr>
          <w:noProof/>
          <w:lang w:val="ru-RU"/>
        </w:rPr>
        <w:drawing>
          <wp:inline distT="114300" distB="114300" distL="114300" distR="114300">
            <wp:extent cx="3848100" cy="2305050"/>
            <wp:effectExtent l="0" t="0" r="0" b="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305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3828" w:rsidRDefault="009B3828">
      <w:pPr>
        <w:jc w:val="center"/>
      </w:pPr>
    </w:p>
    <w:p w:rsidR="009B3828" w:rsidRDefault="000B63F1">
      <w:r>
        <w:t>Если надо увидеть процедуры по конкретному врачу, то выбираем необходимые параметры</w:t>
      </w:r>
      <w:proofErr w:type="gramStart"/>
      <w:r>
        <w:t xml:space="preserve"> К</w:t>
      </w:r>
      <w:proofErr w:type="gramEnd"/>
      <w:r>
        <w:t xml:space="preserve"> врачу/От врача.</w:t>
      </w:r>
    </w:p>
    <w:p w:rsidR="009B3828" w:rsidRDefault="000B63F1">
      <w:r>
        <w:t>Процедуры можно выбрать пройденные/</w:t>
      </w:r>
      <w:proofErr w:type="spellStart"/>
      <w:r>
        <w:t>непройденные</w:t>
      </w:r>
      <w:proofErr w:type="spellEnd"/>
      <w:r>
        <w:t>, если параметр не заполнен, то отчет будет построен по всем.</w:t>
      </w:r>
    </w:p>
    <w:p w:rsidR="009B3828" w:rsidRDefault="009B3828">
      <w:pPr>
        <w:jc w:val="center"/>
      </w:pPr>
    </w:p>
    <w:p w:rsidR="009B3828" w:rsidRDefault="009B3828"/>
    <w:p w:rsidR="009B3828" w:rsidRDefault="000B63F1">
      <w:r>
        <w:br w:type="page"/>
      </w:r>
    </w:p>
    <w:p w:rsidR="009B3828" w:rsidRDefault="000B63F1">
      <w:r>
        <w:rPr>
          <w:noProof/>
          <w:lang w:val="ru-RU"/>
        </w:rPr>
        <w:lastRenderedPageBreak/>
        <w:drawing>
          <wp:inline distT="114300" distB="114300" distL="114300" distR="114300">
            <wp:extent cx="7202850" cy="643890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2850" cy="643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3828" w:rsidRDefault="000B63F1">
      <w:r>
        <w:t xml:space="preserve">При однократном нажатии на необходимую </w:t>
      </w:r>
      <w:r>
        <w:t>позицию будет открыт диалог на редактирование талона, где можно будет указать документ реализации.</w:t>
      </w:r>
    </w:p>
    <w:p w:rsidR="009B3828" w:rsidRDefault="000B63F1">
      <w:pPr>
        <w:jc w:val="center"/>
      </w:pPr>
      <w:r>
        <w:rPr>
          <w:noProof/>
          <w:lang w:val="ru-RU"/>
        </w:rPr>
        <w:lastRenderedPageBreak/>
        <w:drawing>
          <wp:inline distT="114300" distB="114300" distL="114300" distR="114300">
            <wp:extent cx="4686300" cy="424815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24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B3828">
      <w:pgSz w:w="11906" w:h="16838"/>
      <w:pgMar w:top="283" w:right="283" w:bottom="283" w:left="28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F3573"/>
    <w:multiLevelType w:val="multilevel"/>
    <w:tmpl w:val="9A30C7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B3828"/>
    <w:rsid w:val="000B63F1"/>
    <w:rsid w:val="009B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0B63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B63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0B63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B63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451</Words>
  <Characters>2576</Characters>
  <Application>Microsoft Office Word</Application>
  <DocSecurity>0</DocSecurity>
  <Lines>21</Lines>
  <Paragraphs>6</Paragraphs>
  <ScaleCrop>false</ScaleCrop>
  <Company>SPecialiST RePack</Company>
  <LinksUpToDate>false</LinksUpToDate>
  <CharactersWithSpaces>3021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Ольга Хозянин</cp:lastModifiedBy>
  <cp:revision>3</cp:revision>
  <dcterms:created xsi:type="dcterms:W3CDTF">2017-12-27T13:33:00Z</dcterms:created>
  <dcterms:modified xsi:type="dcterms:W3CDTF">2017-12-27T13:35:00Z</dcterms:modified>
</cp:coreProperties>
</file>