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Microsoft YaHei"/>
          <w:b/>
          <w:color w:val="0F6B78"/>
          <w:sz w:val="22"/>
        </w:rPr>
        <w:t>产品研究报告</w:t>
      </w:r>
    </w:p>
    <w:p>
      <w:pPr>
        <w:spacing w:after="160"/>
      </w:pPr>
      <w:r>
        <w:rPr>
          <w:rFonts w:ascii="Calibri" w:hAnsi="Calibri" w:eastAsia="Microsoft YaHei"/>
          <w:b/>
          <w:color w:val="17365D"/>
          <w:sz w:val="50"/>
        </w:rPr>
        <w:t>IBM Consulting Advantage</w:t>
        <w:br/>
        <w:t>与 McKinsey Wave</w:t>
      </w:r>
    </w:p>
    <w:p>
      <w:pPr>
        <w:spacing w:after="480"/>
      </w:pPr>
      <w:r>
        <w:rPr>
          <w:rFonts w:ascii="Calibri" w:hAnsi="Calibri" w:eastAsia="Microsoft YaHei"/>
          <w:color w:val="1F4D78"/>
          <w:sz w:val="28"/>
        </w:rPr>
        <w:t>产品能力拆解、差异比较与项目运营系统升级建议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研究对象：</w:t>
      </w:r>
      <w:r>
        <w:rPr>
          <w:rFonts w:ascii="Calibri" w:hAnsi="Calibri" w:eastAsia="Microsoft YaHei"/>
          <w:color w:val="222222"/>
          <w:sz w:val="21"/>
        </w:rPr>
        <w:t>IBM Consulting Advantage / McKinsey Wave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适用场景：</w:t>
      </w:r>
      <w:r>
        <w:rPr>
          <w:rFonts w:ascii="Calibri" w:hAnsi="Calibri" w:eastAsia="Microsoft YaHei"/>
          <w:color w:val="222222"/>
          <w:sz w:val="21"/>
        </w:rPr>
        <w:t>项目运营、项目群治理、AI Agent、组织知识复用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面向产品：</w:t>
      </w:r>
      <w:r>
        <w:rPr>
          <w:rFonts w:ascii="Calibri" w:hAnsi="Calibri" w:eastAsia="Microsoft YaHei"/>
          <w:color w:val="222222"/>
          <w:sz w:val="21"/>
        </w:rPr>
        <w:t>现有项目管理系统向AI驱动项目运营系统升级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资料日期：</w:t>
      </w:r>
      <w:r>
        <w:rPr>
          <w:rFonts w:ascii="Calibri" w:hAnsi="Calibri" w:eastAsia="Microsoft YaHei"/>
          <w:color w:val="222222"/>
          <w:sz w:val="21"/>
        </w:rPr>
        <w:t>2026年8月（基于公开官方资料）</w:t>
      </w: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核心判断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你的系统不应复制某一款产品。更合理的方向是：以Wave式的目标、行动、运营节奏和价值兑现为业务内核，以IBM式的角色助手、Agent工具调用和AI治理为智能交付层。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rFonts w:ascii="Calibri" w:hAnsi="Calibri" w:eastAsia="Microsoft YaHei"/>
          <w:b/>
          <w:color w:val="0F6B78"/>
          <w:sz w:val="26"/>
        </w:rPr>
        <w:t>建议定位：AI驱动的项目运营与组织执行系统</w:t>
      </w:r>
    </w:p>
    <w:p>
      <w:r>
        <w:br w:type="page"/>
      </w:r>
    </w:p>
    <w:p>
      <w:pPr>
        <w:pStyle w:val="Heading1"/>
        <w:keepNext/>
      </w:pPr>
      <w:r>
        <w:t>一、执行摘要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IBM Consulting Advantage和McKinsey Wave代表了两种不同但互补的产品路线。前者提升项目人员的专业交付效率，后者提升组织推动项目产生经营结果的能力。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IBM Consulting Advantage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McKinsey Wave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一句话定位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AI增强的咨询与项目交付平台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转型项目与价值兑现运营平台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对你的启示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让每个岗位拥有可执行的AI同事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让每个项目围绕目标、行动和结果持续运营</w:t>
            </w:r>
          </w:p>
        </w:tc>
      </w:tr>
    </w:tbl>
    <w:p>
      <w:pPr>
        <w:pStyle w:val="Heading2"/>
        <w:keepNext/>
      </w:pPr>
      <w:r>
        <w:t>建议结论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业务底座优先学习Wave：补齐目标/KPI、项目组合、阶段门、运营节奏和价值兑现。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AI能力优先学习IBM：建设角色型助手、项目专属AI空间、Agent工具链、人工审批和执行审计。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知识库不再作为独立入口，而应成为Agent理解项目、判断偏差和生成行动的上下文。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驾驶舱风险预警继续保留，但升级为“识别—解释—建议—审批—执行—验证”的闭环。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3F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0F6B78"/>
                <w:sz w:val="21"/>
              </w:rPr>
              <w:t xml:space="preserve">产品分界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Wave回答“项目是否正在产生可验证的价值”；IBM Consulting Advantage回答“项目团队能否借助AI更快、更一致地完成专业工作”。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二、IBM Consulting Advantage详解</w:t>
      </w:r>
    </w:p>
    <w:p>
      <w:pPr>
        <w:pStyle w:val="Heading2"/>
        <w:keepNext/>
      </w:pPr>
      <w:r>
        <w:t>2.1 产品定位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IBM Consulting Advantage是IBM面向咨询与项目交付团队建设的AI交付平台。IBM公开页面称，该平台为近15万名咨询顾问提供面向行业、角色和业务领域的AI助手、Agent及应用，并覆盖咨询、构建、集成和运营等交付阶段。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它不是一个单一聊天窗口，也不是传统项目管理软件，而是把方法论、知识资产、项目资料、模型和业务工具组织为统一的AI工作环境。</w:t>
      </w:r>
    </w:p>
    <w:p>
      <w:pPr>
        <w:pStyle w:val="Heading2"/>
        <w:keepNext/>
      </w:pPr>
      <w:r>
        <w:t>2.2 核心能力结构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角色型AI助手：针对战略顾问、业务分析师、项目经理、开发人员等岗位配置不同知识、提示词、模型和输出格式。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专业AI应用：围绕价值树、业务案例、用户画像、旅程设计、代码与测试等明确任务提供可复用应用。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可执行Agent：获取项目数据、调用知识和工具、生成结构化结果，在必要时请求人工审批，并记录执行结果。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多模型与生态接入：允许根据任务选择不同模型，同时连接企业工具和合作伙伴能力。</w:t>
      </w:r>
    </w:p>
    <w:p>
      <w:pPr>
        <w:pStyle w:val="Heading2"/>
        <w:keepNext/>
      </w:pPr>
      <w:r>
        <w:t>2.3 典型工作方式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以“项目周报Agent”为例，它可以自动汇总任务、会议、问题和进度，对比上周承诺，解释延期原因，提出责任人及行动建议；经项目经理确认后创建行动项，并把结果写入周报和驾驶舱。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关键区别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普通AI止步于生成答案；Agent需要理解目标、操作系统对象、等待授权、执行动作并留下可审计的回执。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知识与治理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其知识上下文可包括IBM咨询方法论、行业资产、岗位知识、历史交付经验、当前项目文档和客户企业知识。公开资料还强调项目私有空间、多模型选择、敏感信息提示、偏差检查和可审计使用。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IBM在2024年发布资料中披露，早期试点在应用设计、开发和测试环节取得了“最高50%生产力提升”。该数据应理解为IBM特定试点结果，而不是所有项目的通用承诺。</w:t>
      </w:r>
    </w:p>
    <w:p>
      <w:pPr>
        <w:pStyle w:val="Heading2"/>
        <w:keepNext/>
      </w:pPr>
      <w:r>
        <w:t>2.5 优势与边界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方面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主要优势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岗位适配、知识复用、交付标准化、项目隔离、多模型和AI治理。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最适合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咨询、分析、方案、开发、测试及复杂项目交付团队。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主要边界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若不连接目标、任务、审批和价值状态，容易退化为AI内容工具箱。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实施前提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高质量方法论、模板、项目数据、权限模型和持续评估机制。</w:t>
            </w:r>
          </w:p>
        </w:tc>
      </w:tr>
    </w:tbl>
    <w:p>
      <w:pPr>
        <w:pStyle w:val="Heading1"/>
        <w:keepNext/>
      </w:pPr>
      <w:r>
        <w:t>三、McKinsey Wave详解</w:t>
      </w:r>
    </w:p>
    <w:p>
      <w:pPr>
        <w:pStyle w:val="Heading2"/>
        <w:keepNext/>
      </w:pPr>
      <w:r>
        <w:t>3.1 产品定位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McKinsey Wave是面向大型转型、经营改善和项目群的AI驱动项目管理平台。它围绕一个核心问题设计：组织提出的目标，是否通过一组行动计划转化成了可验证的经营结果。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Wave的核心对象不是普通Task，而是Initiative，即具备目标、责任人、基线、价值、里程碑、审批阶段、风险和实际结果的改善行动。</w:t>
      </w:r>
    </w:p>
    <w:p>
      <w:pPr>
        <w:pStyle w:val="Heading2"/>
        <w:keepNext/>
      </w:pPr>
      <w:r>
        <w:t>3.2 Initiative运营模型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1 机会识别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业务案例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3 审批立项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4 执行里程碑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5 价值验证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6 成果固化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识别增长、降本或改善机会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定义目标、基线、收益和负责人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按阶段门审核投入和可行性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跟踪行动、依赖、风险和实际进展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由业务或财务确认实际价值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形成标准、机制和组织知识</w:t>
            </w:r>
          </w:p>
        </w:tc>
      </w:tr>
    </w:tbl>
    <w:p>
      <w:pPr>
        <w:pStyle w:val="Heading2"/>
        <w:keepNext/>
      </w:pPr>
      <w:r>
        <w:t>3.3 转型办公室与运营节奏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Wave背后的管理机制是Transformation Office（转型办公室）。它统一目标和指标口径、审核Initiative、组织每周行动会议、处理跨部门障碍，并向管理层提供单一事实来源。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典型周运营会议围绕四个问题展开：上周承诺是否完成、哪些行动偏离目标、偏离原因是什么、谁在什么时间采取什么行动。软件负责提供事实和透明度，运营机制负责推动组织行动。</w:t>
      </w:r>
    </w:p>
    <w:p>
      <w:pPr>
        <w:pStyle w:val="Heading2"/>
        <w:keepNext/>
      </w:pPr>
      <w:r>
        <w:t>3.4 AI能力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基于历史Initiative和转型知识识别改善机会。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检查业务案例、里程碑和行动计划的完整性与质量。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预测延期、依赖、资源冲突和价值无法兑现的风险。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为负责人提供行动建议和在工作流中的实时辅导。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帮助管理层识别需要升级处理、暂停或重新配置资源的行动。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麦肯锡公开页面称，其知识基础覆盖50万多个Initiative，并结合定制AI Agent支持机会识别、规划、风险预测和决策。</w:t>
      </w:r>
    </w:p>
    <w:p>
      <w:pPr>
        <w:pStyle w:val="Heading2"/>
        <w:keepNext/>
      </w:pPr>
      <w:r>
        <w:t>3.5 规模化价值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Wave的公开案例包括管理1,300多个降本行动的矿业转型、覆盖6,000家机构和88个区域的保险销售改善，以及从约700个扩展到1,200多个行动的采购转型。这说明其优势在于跨组织、跨部门、跨项目的行动组合运营。</w:t>
      </w:r>
    </w:p>
    <w:p>
      <w:pPr>
        <w:pStyle w:val="Heading2"/>
        <w:keepNext/>
      </w:pPr>
      <w:r>
        <w:t>3.6 优势与边界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方面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主要优势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目标与价值连接、项目组合透明、阶段门、责任机制、周运营和管理干预。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最适合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大型转型、降本增效、增长计划、运营改善和跨部门项目群。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主要边界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偏重组织执行与价值兑现，不以知识生产和专业岗位效率为第一重点。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9"/>
              </w:rPr>
              <w:t>实施前提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明确责任人、统一指标规则、稳定运营节奏，以及业务/财务共同确认价值。</w:t>
            </w:r>
          </w:p>
        </w:tc>
      </w:tr>
    </w:tbl>
    <w:p>
      <w:pPr>
        <w:pStyle w:val="Heading1"/>
        <w:keepNext/>
      </w:pPr>
      <w:r>
        <w:t>四、两款产品的系统性比较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IBM Consulting Advantage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McKinsey Wave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核心定位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AI咨询与项目交付平台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转型项目与价值运营平台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主要用户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顾问、项目经理、分析师、开发人员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管理层、转型办公室、项目负责人、财务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核心对象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角色、知识、助手、Agent、交付资产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项目群、Initiative、里程碑、价值、风险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AI作用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知识调用、分析、生成、专业任务执行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机会识别、计划质量、风险预测、经营决策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知识体系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方法论、行业知识、项目资料、专业资产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历史行动、转型基准、价值改善案例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流程重点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AI嵌入咨询与交付工作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阶段门、审批、周运营、价值验证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治理重点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模型、数据、项目隔离、Agent审计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指标口径、责任、价值审核和运营纪律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最终结果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更快、更一致的专业交付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可验证的经营改善结果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对你的用途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建设AI Agent工作平台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建设项目运营业务内核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7F3F4"/>
          <w:left w:val="single" w:sz="0" w:space="0" w:color="E7F3F4"/>
          <w:bottom w:val="single" w:sz="0" w:space="0" w:color="E7F3F4"/>
          <w:right w:val="single" w:sz="0" w:space="0" w:color="E7F3F4"/>
          <w:insideH w:val="single" w:sz="0" w:space="0" w:color="E7F3F4"/>
          <w:insideV w:val="single" w:sz="0" w:space="0" w:color="E7F3F4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7F3F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0F6B78"/>
                <w:sz w:val="21"/>
              </w:rPr>
              <w:t xml:space="preserve">组合判断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两者不是直接替代关系。Wave更像“组织执行操作系统”，IBM Consulting Advantage更像“AI专业工作操作系统”。你的产品需要把两条路线叠加。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五、对现有项目的能力差距判断</w:t>
      </w:r>
    </w:p>
    <w:p>
      <w:pPr>
        <w:pStyle w:val="Heading2"/>
        <w:keepNext/>
      </w:pPr>
      <w:r>
        <w:t>5.1 已有基础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根据当前产品能力，你的系统已经具备项目生命周期、项目—重点工作—关键任务三级结构、角色与责任、工作汇报、会议记录与AI分析、问题、决策、成果、驾驶舱和风险预警，同时已经建设知识库。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因此，系统并不是缺少一个新的业务流程，而是缺少从“记录和预警”迈向“持续运营和自主推动”的机制。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1500"/>
        <w:gridCol w:w="2500"/>
        <w:gridCol w:w="2680"/>
        <w:gridCol w:w="268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当前基础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主要缺口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升级结果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目标经营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项目目标和进度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基线—目标—当前值—价值—数据来源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从进度管理到目标经营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组合治理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以单项目为主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优先级、依赖、资源冲突、暂停/退出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从项目台账到项目组合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阶段门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生命周期和审批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准入条件、证据、退出条件、价值审核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从流程节点到治理关口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运营节奏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周报、会议、预警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承诺检查、升级干预、行动闭环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从信息展示到持续运营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价值兑现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成果和验收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预期收益、实际收益、财务/业务验证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从交付完成到价值实现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AI角色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提取、总结、分析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角色Agent、工具调用、审批和回执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从AI功能到AI同事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AI治理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局部AI确认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Agent权限、运行记录、评估、版本和责任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从模型调用到可信运行</w:t>
            </w:r>
          </w:p>
        </w:tc>
      </w:tr>
    </w:tbl>
    <w:p>
      <w:pPr>
        <w:pStyle w:val="Heading2"/>
        <w:keepNext/>
      </w:pPr>
      <w:r>
        <w:t>5.2 为什么驾驶舱预警还不够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现有驾驶舱解决的是“看见风险”，而AI运营系统还要解决“解释风险、提出动作、获得授权、执行动作、验证效果”。因此风险预警不需要重复建设，而应升级为闭环入口。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4E5"/>
          <w:left w:val="single" w:sz="0" w:space="0" w:color="FFF4E5"/>
          <w:bottom w:val="single" w:sz="0" w:space="0" w:color="FFF4E5"/>
          <w:right w:val="single" w:sz="0" w:space="0" w:color="FFF4E5"/>
          <w:insideH w:val="single" w:sz="0" w:space="0" w:color="FFF4E5"/>
          <w:insideV w:val="single" w:sz="0" w:space="0" w:color="FFF4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FF4E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A66A00"/>
                <w:sz w:val="21"/>
              </w:rPr>
              <w:t xml:space="preserve">闭环示例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发现里程碑连续延期 → 读取会议承诺与资源负荷 → 判断根因 → 推荐拆分任务或升级协调 → 项目经理审批 → 自动创建行动项 → 下个周期验证是否恢复。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六、建议的目标产品架构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建议将产品定义为“AI驱动的项目运营与组织执行系统”，由三层能力共同组成。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8D8"/>
          <w:left w:val="single" w:sz="6" w:space="0" w:color="B7C8D8"/>
          <w:bottom w:val="single" w:sz="6" w:space="0" w:color="B7C8D8"/>
          <w:right w:val="single" w:sz="6" w:space="0" w:color="B7C8D8"/>
          <w:insideH w:val="single" w:sz="6" w:space="0" w:color="B7C8D8"/>
          <w:insideV w:val="single" w:sz="6" w:space="0" w:color="B7C8D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AI Agent层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项目经理Agent、项目运营Agent、会议Agent、风险Agent、知识Agent、管理层经营分析Agent、验收Agent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项目运营内核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4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目标/KPI、项目组合、Initiative/重点工作、里程碑、阶段门、风险、运营节奏、价值兑现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知识与事实层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22222"/>
                <w:sz w:val="19"/>
              </w:rPr>
              <w:t>项目事实、会议、汇报、文档、知识库、指标口径、历史案例、权限和证据链</w:t>
            </w:r>
          </w:p>
        </w:tc>
      </w:tr>
    </w:tbl>
    <w:p>
      <w:pPr>
        <w:pStyle w:val="Heading2"/>
        <w:keepNext/>
      </w:pPr>
      <w:r>
        <w:t>6.1 Agent的产品标准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8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目标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该Agent持续对什么业务结果负责？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上下文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可以读取哪些项目数据、知识、指标和历史证据？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判断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使用哪些规则、模型和方法论形成结论？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工具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可以创建、修改、提醒、升级或调用哪些系统对象？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哪些动作自动执行，哪些必须由谁审批？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审计与评估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如何记录输入、判断、动作、回执，并评估建议是否有效？</w:t>
            </w:r>
          </w:p>
        </w:tc>
      </w:tr>
    </w:tbl>
    <w:p>
      <w:pPr>
        <w:pStyle w:val="Heading1"/>
        <w:keepNext/>
      </w:pPr>
      <w:r>
        <w:t>七、优先建设路线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6DE"/>
          <w:left w:val="single" w:sz="6" w:space="0" w:color="D0D6DE"/>
          <w:bottom w:val="single" w:sz="6" w:space="0" w:color="D0D6DE"/>
          <w:right w:val="single" w:sz="6" w:space="0" w:color="D0D6DE"/>
          <w:insideH w:val="single" w:sz="6" w:space="0" w:color="D0D6DE"/>
          <w:insideV w:val="single" w:sz="6" w:space="0" w:color="D0D6DE"/>
        </w:tblBorders>
      </w:tblPr>
      <w:tblGrid>
        <w:gridCol w:w="1450"/>
        <w:gridCol w:w="2200"/>
        <w:gridCol w:w="3100"/>
        <w:gridCol w:w="26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建设重点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关键功能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判断标准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0—3个月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运营闭环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目标/KPI模型、承诺检查、风险解释、行动创建、周运营工作台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系统能推动一次完整的周运营闭环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3—6个月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Agent工作平台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项目运营Agent、会议Agent、知识检索、工具授权、人工审批、运行回执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AI可在授权后操作项目对象并留痕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22222"/>
                <w:sz w:val="17"/>
              </w:rPr>
              <w:t>6—12个月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组合与价值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项目组合、资源冲突、跨项目依赖、价值验证、预测模型、Agent评估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管理层可按价值和风险动态配置资源</w:t>
            </w:r>
          </w:p>
        </w:tc>
      </w:tr>
    </w:tbl>
    <w:p>
      <w:pPr>
        <w:pStyle w:val="Heading2"/>
        <w:keepNext/>
      </w:pPr>
      <w:r>
        <w:t>优先级建议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先做“项目价值模型”，把目标、指标、基线、目标值、当前值和证据来源连到项目与重点工作。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再做“项目运营Agent”，把现有风险预警升级为可解释、可审批、可执行、可验证的行动闭环。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随后建设角色Agent目录和项目专属AI空间，让知识库进入不同岗位的实际工作流程。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最后扩展项目组合、预测和价值验证，形成管理层资源配置与经营决策能力。</w:t>
      </w:r>
    </w:p>
    <w:p>
      <w:pPr>
        <w:pStyle w:val="Heading1"/>
        <w:keepNext/>
      </w:pPr>
      <w:r>
        <w:t>八、产品决策建议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22222"/>
          <w:sz w:val="21"/>
        </w:rPr>
        <w:t>下一阶段产品设计需要坚持三个边界：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不把AI等同于聊天入口。所有核心Agent必须能读取结构化项目事实，并在授权后操作业务对象。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不重复建设风险展示。驾驶舱继续负责态势感知，Agent负责根因分析、行动推动和结果验证。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不照搬LTC或大型咨询公司的完整流程。只吸收其目标经营、责任机制、知识复用和Agent治理能力，保持项目运营定位。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最终产品表达  </w:t>
            </w:r>
            <w:r>
              <w:rPr>
                <w:rFonts w:ascii="Calibri" w:hAnsi="Calibri" w:eastAsia="Microsoft YaHei"/>
                <w:color w:val="222222"/>
                <w:sz w:val="21"/>
              </w:rPr>
              <w:t>底层运行像Wave：围绕目标、责任、行动和结果持续运营；用户体验像IBM Consulting Advantage：不同岗位都有能理解项目、调用知识并执行工作的AI同事。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九、官方资料来源</w:t>
      </w:r>
    </w:p>
    <w:p>
      <w:pPr>
        <w:pStyle w:val="ListBullet"/>
        <w:spacing w:after="100"/>
        <w:ind w:left="720" w:hanging="360"/>
      </w:pPr>
      <w:hyperlink r:id="rId11">
        <w:r>
          <w:rPr>
            <w:color w:val="2E74B5"/>
            <w:u w:val="single"/>
            <w:rFonts w:ascii="Calibri" w:hAnsi="Calibri" w:eastAsia="Microsoft YaHei"/>
            <w:sz w:val="20"/>
          </w:rPr>
          <w:t>IBM Consulting Advantage产品页</w:t>
        </w:r>
      </w:hyperlink>
    </w:p>
    <w:p>
      <w:pPr>
        <w:pStyle w:val="ListBullet"/>
        <w:spacing w:after="100"/>
        <w:ind w:left="720" w:hanging="360"/>
      </w:pPr>
      <w:hyperlink r:id="rId12">
        <w:r>
          <w:rPr>
            <w:color w:val="2E74B5"/>
            <w:u w:val="single"/>
            <w:rFonts w:ascii="Calibri" w:hAnsi="Calibri" w:eastAsia="Microsoft YaHei"/>
            <w:sz w:val="20"/>
          </w:rPr>
          <w:t>IBM Consulting Advantage发布说明（2024-01-17）</w:t>
        </w:r>
      </w:hyperlink>
    </w:p>
    <w:p>
      <w:pPr>
        <w:pStyle w:val="ListBullet"/>
        <w:spacing w:after="100"/>
        <w:ind w:left="720" w:hanging="360"/>
      </w:pPr>
      <w:hyperlink r:id="rId13">
        <w:r>
          <w:rPr>
            <w:color w:val="2E74B5"/>
            <w:u w:val="single"/>
            <w:rFonts w:ascii="Calibri" w:hAnsi="Calibri" w:eastAsia="Microsoft YaHei"/>
            <w:sz w:val="20"/>
          </w:rPr>
          <w:t>IBM Enterprise Advantage产品页</w:t>
        </w:r>
      </w:hyperlink>
    </w:p>
    <w:p>
      <w:pPr>
        <w:pStyle w:val="ListBullet"/>
        <w:spacing w:after="100"/>
        <w:ind w:left="720" w:hanging="360"/>
      </w:pPr>
      <w:hyperlink r:id="rId14">
        <w:r>
          <w:rPr>
            <w:color w:val="2E74B5"/>
            <w:u w:val="single"/>
            <w:rFonts w:ascii="Calibri" w:hAnsi="Calibri" w:eastAsia="Microsoft YaHei"/>
            <w:sz w:val="20"/>
          </w:rPr>
          <w:t>McKinsey Wave产品概览</w:t>
        </w:r>
      </w:hyperlink>
    </w:p>
    <w:p>
      <w:pPr>
        <w:pStyle w:val="ListBullet"/>
        <w:spacing w:after="100"/>
        <w:ind w:left="720" w:hanging="360"/>
      </w:pPr>
      <w:hyperlink r:id="rId15">
        <w:r>
          <w:rPr>
            <w:color w:val="2E74B5"/>
            <w:u w:val="single"/>
            <w:rFonts w:ascii="Calibri" w:hAnsi="Calibri" w:eastAsia="Microsoft YaHei"/>
            <w:sz w:val="20"/>
          </w:rPr>
          <w:t>McKinsey：Transformation Office的作用</w:t>
        </w:r>
      </w:hyperlink>
    </w:p>
    <w:p>
      <w:pPr>
        <w:pStyle w:val="ListBullet"/>
        <w:spacing w:after="100"/>
        <w:ind w:left="720" w:hanging="360"/>
      </w:pPr>
      <w:hyperlink r:id="rId16">
        <w:r>
          <w:rPr>
            <w:color w:val="2E74B5"/>
            <w:u w:val="single"/>
            <w:rFonts w:ascii="Calibri" w:hAnsi="Calibri" w:eastAsia="Microsoft YaHei"/>
            <w:sz w:val="20"/>
          </w:rPr>
          <w:t>McKinsey Wave矿业转型案例</w:t>
        </w:r>
      </w:hyperlink>
    </w:p>
    <w:p>
      <w:pPr>
        <w:pStyle w:val="ListBullet"/>
        <w:spacing w:after="100"/>
        <w:ind w:left="720" w:hanging="360"/>
      </w:pPr>
      <w:hyperlink r:id="rId17">
        <w:r>
          <w:rPr>
            <w:color w:val="2E74B5"/>
            <w:u w:val="single"/>
            <w:rFonts w:ascii="Calibri" w:hAnsi="Calibri" w:eastAsia="Microsoft YaHei"/>
            <w:sz w:val="20"/>
          </w:rPr>
          <w:t>McKinsey Wave保险销售改善案例</w:t>
        </w:r>
      </w:hyperlink>
    </w:p>
    <w:p>
      <w:pPr>
        <w:pStyle w:val="ListBullet"/>
        <w:spacing w:after="100"/>
        <w:ind w:left="720" w:hanging="360"/>
      </w:pPr>
      <w:hyperlink r:id="rId18">
        <w:r>
          <w:rPr>
            <w:color w:val="2E74B5"/>
            <w:u w:val="single"/>
            <w:rFonts w:ascii="Calibri" w:hAnsi="Calibri" w:eastAsia="Microsoft YaHei"/>
            <w:sz w:val="20"/>
          </w:rPr>
          <w:t>McKinsey Wave采购转型案例</w:t>
        </w:r>
      </w:hyperlink>
    </w:p>
    <w:p>
      <w:pPr>
        <w:spacing w:before="0" w:after="0" w:line="264" w:lineRule="auto"/>
      </w:pPr>
      <w:r>
        <w:rPr>
          <w:rFonts w:ascii="Calibri" w:hAnsi="Calibri" w:eastAsia="Microsoft YaHei"/>
          <w:color w:val="222222"/>
          <w:sz w:val="21"/>
        </w:rPr>
        <w:t>说明：本文基于公开官方资料和当前产品能力理解形成，用于产品方向讨论。公开案例中的规模与效果数据均归属于原发布方，不构成对本项目效果的承诺。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 xml:space="preserve">内部讨论稿  | 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产品研究与项目运营系统升级建议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8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bm.com/consulting/advantage" TargetMode="External"/><Relationship Id="rId12" Type="http://schemas.openxmlformats.org/officeDocument/2006/relationships/hyperlink" Target="https://newsroom.ibm.com/2024-01-17-IBM-Introduces-IBM-Consulting-Advantage%2C-an-AI-Services-Platform-and-Library-of-Assistants-to-Empower-Consultants" TargetMode="External"/><Relationship Id="rId13" Type="http://schemas.openxmlformats.org/officeDocument/2006/relationships/hyperlink" Target="https://www.ibm.com/consulting/enterprise-advantage" TargetMode="External"/><Relationship Id="rId14" Type="http://schemas.openxmlformats.org/officeDocument/2006/relationships/hyperlink" Target="https://www.mckinsey.com/capabilities/transformation/how-we-help-clients/wave/overview/" TargetMode="External"/><Relationship Id="rId15" Type="http://schemas.openxmlformats.org/officeDocument/2006/relationships/hyperlink" Target="https://www.mckinsey.com/capabilities/transformation/our-insights/the-role-of-the-transformation-office" TargetMode="External"/><Relationship Id="rId16" Type="http://schemas.openxmlformats.org/officeDocument/2006/relationships/hyperlink" Target="https://www.mckinsey.com/capabilities/transformation/how-we-help-clients/wave/our-impact/transformation-program-at-a-leading-mining-company" TargetMode="External"/><Relationship Id="rId17" Type="http://schemas.openxmlformats.org/officeDocument/2006/relationships/hyperlink" Target="https://www.mckinsey.com/capabilities/transformation/how-we-help-clients/wave/our-impact/sales-force-effectiveness-program-at-a-leading-european-insurer" TargetMode="External"/><Relationship Id="rId18" Type="http://schemas.openxmlformats.org/officeDocument/2006/relationships/hyperlink" Target="https://www.mckinsey.com/capabilities/transformation/how-we-help-clients/wave/our-impact/procurement-transformation-program-to-reduce-spend-by-1-bill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