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eastAsia="黑体" w:hAnsi="Arial"/>
          <w:b/>
          <w:bCs/>
          <w:sz w:val="44"/>
          <w:szCs w:val="44"/>
        </w:rPr>
        <w:t xml:space="preserve">项目完成度评估报告</w:t>
      </w:r>
    </w:p>
    <w:p>
      <w:pPr>
        <w:spacing w:after="120"/>
        <w:jc w:val="center"/>
      </w:pPr>
      <w:r>
        <w:rPr>
          <w:rFonts w:ascii="Arial" w:eastAsia="黑体" w:hAnsi="Arial"/>
          <w:sz w:val="26"/>
          <w:szCs w:val="26"/>
        </w:rPr>
        <w:t xml:space="preserve">——以支撑本科毕业论文的可行性为评估视角</w:t>
      </w:r>
    </w:p>
    <w:p>
      <w:pPr>
        <w:spacing w:after="120" w:before="600"/>
        <w:jc w:val="center"/>
      </w:pPr>
      <w:r>
        <w:rPr>
          <w:rFonts w:ascii="Times New Roman" w:eastAsia="宋体" w:hAnsi="Times New Roman"/>
          <w:sz w:val="24"/>
          <w:szCs w:val="24"/>
        </w:rPr>
        <w:t xml:space="preserve">评估对象：FreshMart 多商家生鲜电商系统</w:t>
      </w:r>
    </w:p>
    <w:p>
      <w:pPr>
        <w:spacing w:after="120"/>
        <w:jc w:val="center"/>
      </w:pPr>
      <w:r>
        <w:rPr>
          <w:rFonts w:ascii="Times New Roman" w:eastAsia="宋体" w:hAnsi="Times New Roman"/>
          <w:sz w:val="24"/>
          <w:szCs w:val="24"/>
        </w:rPr>
        <w:t xml:space="preserve">评估日期：2026 年 9 月 14 日</w:t>
      </w:r>
    </w:p>
    <w:p>
      <w:pPr>
        <w:spacing w:after="120"/>
        <w:jc w:val="center"/>
      </w:pPr>
      <w:r>
        <w:rPr>
          <w:rFonts w:ascii="Times New Roman" w:eastAsia="宋体" w:hAnsi="Times New Roman"/>
          <w:sz w:val="24"/>
          <w:szCs w:val="24"/>
        </w:rPr>
        <w:t xml:space="preserve">评估依据：仓库实际代码、测试执行结果、数据库结构与文档</w:t>
      </w:r>
    </w:p>
    <w:p>
      <w:r>
        <w:br w:type="page"/>
      </w:r>
    </w:p>
    <w:p>
      <w:pPr>
        <w:pStyle w:val="Heading1"/>
      </w:pPr>
      <w:r>
        <w:rPr>
          <w:rFonts w:ascii="Arial" w:eastAsia="黑体" w:hAnsi="Arial"/>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eastAsia="黑体" w:hAnsi="Arial"/>
        </w:rPr>
        <w:t xml:space="preserve">一、总体结论</w:t>
      </w:r>
    </w:p>
    <w:p>
      <w:pPr>
        <w:spacing w:after="120" w:line="360"/>
        <w:ind w:firstLine="480"/>
      </w:pPr>
      <w:r>
        <w:rPr>
          <w:rFonts w:ascii="Times New Roman" w:eastAsia="宋体" w:hAnsi="Times New Roman"/>
          <w:b w:val="false"/>
          <w:bCs w:val="false"/>
          <w:sz w:val="24"/>
          <w:szCs w:val="24"/>
        </w:rPr>
        <w:t xml:space="preserve">代码基础充分甚至超出本科要求，但当前形态尚不足以直接支撑一篇合格论文——</w:t>
      </w:r>
      <w:r>
        <w:rPr>
          <w:rFonts w:ascii="Times New Roman" w:eastAsia="宋体" w:hAnsi="Times New Roman"/>
          <w:b/>
          <w:bCs/>
          <w:sz w:val="24"/>
          <w:szCs w:val="24"/>
        </w:rPr>
        <w:t xml:space="preserve">缺的不是"系统"，而是"研究"</w:t>
      </w:r>
      <w:r>
        <w:rPr>
          <w:rFonts w:ascii="Times New Roman" w:eastAsia="宋体" w:hAnsi="Times New Roman"/>
          <w:b w:val="false"/>
          <w:bCs w:val="false"/>
          <w:sz w:val="24"/>
          <w:szCs w:val="24"/>
        </w:rPr>
        <w:t xml:space="preserve">。</w:t>
      </w:r>
    </w:p>
    <w:p>
      <w:pPr>
        <w:spacing w:after="120" w:line="360"/>
        <w:ind w:firstLine="480"/>
      </w:pPr>
      <w:r>
        <w:rPr>
          <w:rFonts w:ascii="Times New Roman" w:eastAsia="宋体" w:hAnsi="Times New Roman"/>
          <w:b w:val="false"/>
          <w:bCs w:val="false"/>
          <w:sz w:val="24"/>
          <w:szCs w:val="24"/>
        </w:rPr>
        <w:t xml:space="preserve">需要约 1 至 2 个月的学术化改造，具体包括提炼研究问题、补充实验证据、补齐中间层测试、建立需求到验证的论证链。完成改造后，本项目可构成一篇中等偏上的本科毕业论文。</w:t>
      </w:r>
    </w:p>
    <w:p>
      <w:pPr>
        <w:spacing w:after="120" w:line="360"/>
        <w:ind w:firstLine="480"/>
      </w:pPr>
      <w:r>
        <w:rPr>
          <w:rFonts w:ascii="Times New Roman" w:eastAsia="宋体" w:hAnsi="Times New Roman"/>
          <w:b w:val="false"/>
          <w:bCs w:val="false"/>
          <w:sz w:val="24"/>
          <w:szCs w:val="24"/>
        </w:rPr>
        <w:t xml:space="preserve">本报告的判断依据是仓库中的实际代码规模、测试执行结果、数据库结构以及已有文档，而非设计意图或规划描述。</w:t>
      </w:r>
    </w:p>
    <w:p>
      <w:pPr>
        <w:pStyle w:val="Heading1"/>
      </w:pPr>
      <w:r>
        <w:rPr>
          <w:rFonts w:ascii="Arial" w:eastAsia="黑体" w:hAnsi="Arial"/>
        </w:rPr>
        <w:t xml:space="preserve">二、客观事实</w:t>
      </w:r>
    </w:p>
    <w:p>
      <w:pPr>
        <w:spacing w:after="120" w:line="360"/>
        <w:ind w:firstLine="480"/>
      </w:pPr>
      <w:r>
        <w:rPr>
          <w:rFonts w:ascii="Times New Roman" w:eastAsia="宋体" w:hAnsi="Times New Roman"/>
          <w:b w:val="false"/>
          <w:bCs w:val="false"/>
          <w:sz w:val="24"/>
          <w:szCs w:val="24"/>
        </w:rPr>
        <w:t xml:space="preserve">下表为对仓库与运行环境的实测统计，用于后续各维度的分析依据。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6"/>
        <w:gridCol w:w="6420"/>
      </w:tblGrid>
      <w:tr>
        <w:trPr>
          <w:tblHeader/>
        </w:trPr>
        <w:tc>
          <w:tcPr>
            <w:tcW w:type="dxa" w:w="2606"/>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评估维度</w:t>
            </w:r>
          </w:p>
        </w:tc>
        <w:tc>
          <w:tcPr>
            <w:tcW w:type="dxa" w:w="642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实测数据</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后端主源码</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7,577 行 / 91 个 Java 文件</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后端测试代码</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358 行 / 16 个测试类</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前端代码</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6,100 行（34 个 Vue 页面）+ 1,395 行 TypeScript</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数据库</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6 个库 / 102 张表 / 961 个字段</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数据库迁移</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47 个版本化迁移，合计 2,581 行 SQL</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接口规模</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96 个 REST 端点 / 27 个服务类</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测试执行</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单元测试 32 项、端到端测试 96 项（两种 PowerShell 版本结果一致）</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文档</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22 份 / 1,779 行</w:t>
            </w:r>
          </w:p>
        </w:tc>
      </w:tr>
      <w:tr>
        <w:tc>
          <w:tcPr>
            <w:tcW w:type="dxa" w:w="260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代码总量</w:t>
            </w:r>
          </w:p>
        </w:tc>
        <w:tc>
          <w:tcPr>
            <w:tcW w:type="dxa" w:w="64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约 1.9 万行（含 SQL 与前端）</w:t>
            </w:r>
          </w:p>
        </w:tc>
      </w:tr>
    </w:tbl>
    <w:p>
      <w:pPr>
        <w:spacing w:after="120" w:line="360"/>
        <w:ind w:firstLine="480"/>
      </w:pPr>
      <w:r>
        <w:rPr>
          <w:rFonts w:ascii="Times New Roman" w:eastAsia="宋体" w:hAnsi="Times New Roman"/>
          <w:b w:val="false"/>
          <w:bCs w:val="false"/>
          <w:sz w:val="22"/>
          <w:szCs w:val="22"/>
        </w:rPr>
        <w:t xml:space="preserve">说明：以本科毕业设计常见的 5,000 至 15,000 行规模衡量，本项目的代码体量处于充足区间。</w:t>
      </w:r>
    </w:p>
    <w:p>
      <w:pPr>
        <w:pStyle w:val="Heading1"/>
      </w:pPr>
      <w:r>
        <w:rPr>
          <w:rFonts w:ascii="Arial" w:eastAsia="黑体" w:hAnsi="Arial"/>
        </w:rPr>
        <w:t xml:space="preserve">三、四个维度的学术分析</w:t>
      </w:r>
    </w:p>
    <w:p>
      <w:pPr>
        <w:pStyle w:val="Heading2"/>
      </w:pPr>
      <w:r>
        <w:rPr>
          <w:rFonts w:ascii="Arial" w:eastAsia="黑体" w:hAnsi="Arial"/>
        </w:rPr>
        <w:t xml:space="preserve">3.1 工作量：充足，但不构成评价依据</w:t>
      </w:r>
    </w:p>
    <w:p>
      <w:pPr>
        <w:spacing w:after="120" w:line="360"/>
        <w:ind w:firstLine="480"/>
      </w:pPr>
      <w:r>
        <w:rPr>
          <w:rFonts w:ascii="Times New Roman" w:eastAsia="宋体" w:hAnsi="Times New Roman"/>
          <w:b w:val="false"/>
          <w:bCs w:val="false"/>
          <w:sz w:val="24"/>
          <w:szCs w:val="24"/>
        </w:rPr>
        <w:t xml:space="preserve">本科毕业设计的工作量门槛较低。本项目在功能模块数量（认证、商品、库存、交易、支付、退款、配送、结算、营销、AI 导购、开放 API）与数据模型复杂度（102 张表、跨 6 个库）上均明显超出典型水平。</w:t>
      </w:r>
    </w:p>
    <w:p>
      <w:pPr>
        <w:spacing w:after="120" w:line="360"/>
        <w:ind w:firstLine="480"/>
      </w:pPr>
      <w:r>
        <w:rPr>
          <w:rFonts w:ascii="Times New Roman" w:eastAsia="宋体" w:hAnsi="Times New Roman"/>
          <w:b/>
          <w:bCs/>
          <w:sz w:val="24"/>
          <w:szCs w:val="24"/>
        </w:rPr>
        <w:t xml:space="preserve">但需要清醒认识：</w:t>
      </w:r>
      <w:r>
        <w:rPr>
          <w:rFonts w:ascii="Times New Roman" w:eastAsia="宋体" w:hAnsi="Times New Roman"/>
          <w:b w:val="false"/>
          <w:bCs w:val="false"/>
          <w:sz w:val="24"/>
          <w:szCs w:val="24"/>
        </w:rPr>
        <w:t xml:space="preserve">工作量本身在论文评价中权重有限。答辩关注的是解决了什么问题、如何证明解决、方案是否合理，而非代码行数。</w:t>
      </w:r>
    </w:p>
    <w:p>
      <w:pPr>
        <w:pStyle w:val="Heading2"/>
      </w:pPr>
      <w:r>
        <w:rPr>
          <w:rFonts w:ascii="Arial" w:eastAsia="黑体" w:hAnsi="Arial"/>
        </w:rPr>
        <w:t xml:space="preserve">3.2 技术深度：存在可论述的实质难点</w:t>
      </w:r>
    </w:p>
    <w:p>
      <w:pPr>
        <w:spacing w:after="120" w:line="360"/>
        <w:ind w:firstLine="480"/>
      </w:pPr>
      <w:r>
        <w:rPr>
          <w:rFonts w:ascii="Times New Roman" w:eastAsia="宋体" w:hAnsi="Times New Roman"/>
          <w:b w:val="false"/>
          <w:bCs w:val="false"/>
          <w:sz w:val="24"/>
          <w:szCs w:val="24"/>
        </w:rPr>
        <w:t xml:space="preserve">这是本项目最有利的一面。系统中包含若干非教科书式的工程难点，可作为论文的论证素材：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难点</w:t>
            </w:r>
          </w:p>
        </w:tc>
        <w:tc>
          <w:tcPr>
            <w:tcW w:type="dxa" w:w="6017"/>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可学术化的角度</w:t>
            </w:r>
          </w:p>
        </w:tc>
      </w:tr>
      <w:tr>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称重结算的金额与克数双维度一致性</w:t>
            </w:r>
          </w:p>
        </w:tc>
        <w:tc>
          <w:tcPr>
            <w:tcW w:type="dxa" w:w="601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下单按预估克数占用库存、实际称重后按批次比例回补差额，可形式化为不变式并验证算法保持该不变式</w:t>
            </w:r>
          </w:p>
        </w:tc>
      </w:tr>
      <w:tr>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逐项称重与整单分摊两种粒度</w:t>
            </w:r>
          </w:p>
        </w:tc>
        <w:tc>
          <w:tcPr>
            <w:tcW w:type="dxa" w:w="601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同一订单不同商品的偏差方向可能相反，两种粒度可设计对照实验</w:t>
            </w:r>
          </w:p>
        </w:tc>
      </w:tr>
      <w:tr>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退款反向的库存回补</w:t>
            </w:r>
          </w:p>
        </w:tc>
        <w:tc>
          <w:tcPr>
            <w:tcW w:type="dxa" w:w="601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回补量应等于实际出库量而非预占量，是典型的可回滚性设计问题</w:t>
            </w:r>
          </w:p>
        </w:tc>
      </w:tr>
      <w:tr>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多库分域与启动期结构校验</w:t>
            </w:r>
          </w:p>
        </w:tc>
        <w:tc>
          <w:tcPr>
            <w:tcW w:type="dxa" w:w="601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以部署期快速失败换取运行时确定性，属于架构权衡论证</w:t>
            </w:r>
          </w:p>
        </w:tc>
      </w:tr>
      <w:tr>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全链路幂等设计</w:t>
            </w:r>
          </w:p>
        </w:tc>
        <w:tc>
          <w:tcPr>
            <w:tcW w:type="dxa" w:w="601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交易、支付、退款、称重、入库均带幂等键，可做重复请求一致性验证</w:t>
            </w:r>
          </w:p>
        </w:tc>
      </w:tr>
      <w:tr>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库存预占的三态转换</w:t>
            </w:r>
          </w:p>
        </w:tc>
        <w:tc>
          <w:tcPr>
            <w:tcW w:type="dxa" w:w="6017"/>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与超时释放任务、支付回调的交互可做并发时序分析</w:t>
            </w:r>
          </w:p>
        </w:tc>
      </w:tr>
    </w:tbl>
    <w:p>
      <w:pPr>
        <w:spacing w:after="120" w:line="360"/>
        <w:ind w:firstLine="480"/>
      </w:pPr>
      <w:r>
        <w:rPr>
          <w:rFonts w:ascii="Times New Roman" w:eastAsia="宋体" w:hAnsi="Times New Roman"/>
          <w:b w:val="false"/>
          <w:bCs w:val="false"/>
          <w:sz w:val="24"/>
          <w:szCs w:val="24"/>
        </w:rPr>
        <w:t xml:space="preserve">尤其值得注意的是，项目中存在 </w:t>
      </w:r>
      <w:r>
        <w:rPr>
          <w:rFonts w:ascii="Times New Roman" w:eastAsia="宋体" w:hAnsi="Times New Roman"/>
          <w:b/>
          <w:bCs/>
          <w:sz w:val="24"/>
          <w:szCs w:val="24"/>
        </w:rPr>
        <w:t xml:space="preserve">WeighingSettlementPolicy.settle(...)</w:t>
      </w:r>
      <w:r>
        <w:rPr>
          <w:rFonts w:ascii="Times New Roman" w:eastAsia="宋体" w:hAnsi="Times New Roman"/>
          <w:b w:val="false"/>
          <w:bCs w:val="false"/>
          <w:sz w:val="24"/>
          <w:szCs w:val="24"/>
        </w:rPr>
        <w:t xml:space="preserve"> 这类纯函数策略——它们无副作用、可形式化、可穷举边界，是论文中最易论证的材料。这是"做一个电商系统"所无法提供的。</w:t>
      </w:r>
    </w:p>
    <w:p>
      <w:pPr>
        <w:pStyle w:val="Heading2"/>
      </w:pPr>
      <w:r>
        <w:rPr>
          <w:rFonts w:ascii="Arial" w:eastAsia="黑体" w:hAnsi="Arial"/>
        </w:rPr>
        <w:t xml:space="preserve">3.3 可验证性：有基础，但实验维度缺失</w:t>
      </w:r>
    </w:p>
    <w:p>
      <w:pPr>
        <w:spacing w:after="120" w:line="360"/>
        <w:ind w:firstLine="480"/>
      </w:pPr>
      <w:r>
        <w:rPr>
          <w:rFonts w:ascii="Times New Roman" w:eastAsia="宋体" w:hAnsi="Times New Roman"/>
          <w:b/>
          <w:bCs/>
          <w:sz w:val="24"/>
          <w:szCs w:val="24"/>
        </w:rPr>
        <w:t xml:space="preserve">已有的验证手段：</w:t>
      </w:r>
    </w:p>
    <w:p>
      <w:pPr>
        <w:pStyle w:val="ListParagraph"/>
        <w:numPr>
          <w:ilvl w:val="0"/>
          <w:numId w:val="2"/>
        </w:numPr>
        <w:spacing w:after="80" w:line="340"/>
      </w:pPr>
      <w:r>
        <w:rPr>
          <w:rFonts w:ascii="Times New Roman" w:eastAsia="宋体" w:hAnsi="Times New Roman"/>
          <w:sz w:val="24"/>
          <w:szCs w:val="24"/>
        </w:rPr>
        <w:t xml:space="preserve">16 个测试类共 32 项单元测试，覆盖价格、运费、积分、结算、称重、仓储边界等策略</w:t>
      </w:r>
    </w:p>
    <w:p>
      <w:pPr>
        <w:pStyle w:val="ListParagraph"/>
        <w:numPr>
          <w:ilvl w:val="0"/>
          <w:numId w:val="2"/>
        </w:numPr>
        <w:spacing w:after="80" w:line="340"/>
      </w:pPr>
      <w:r>
        <w:rPr>
          <w:rFonts w:ascii="Times New Roman" w:eastAsia="宋体" w:hAnsi="Times New Roman"/>
          <w:sz w:val="24"/>
          <w:szCs w:val="24"/>
        </w:rPr>
        <w:t xml:space="preserve">96 项端到端测试，覆盖四端主流程、称重、退货回库、节气卡片与分类校验</w:t>
      </w:r>
    </w:p>
    <w:p>
      <w:pPr>
        <w:pStyle w:val="ListParagraph"/>
        <w:numPr>
          <w:ilvl w:val="0"/>
          <w:numId w:val="2"/>
        </w:numPr>
        <w:spacing w:after="80" w:line="340"/>
      </w:pPr>
      <w:r>
        <w:rPr>
          <w:rFonts w:ascii="Times New Roman" w:eastAsia="宋体" w:hAnsi="Times New Roman"/>
          <w:sz w:val="24"/>
          <w:szCs w:val="24"/>
        </w:rPr>
        <w:t xml:space="preserve">可复现的测试账号、环境脚本与数据库结构快照比对工具</w:t>
      </w:r>
    </w:p>
    <w:p>
      <w:pPr>
        <w:spacing w:after="120" w:line="360"/>
        <w:ind w:firstLine="480"/>
      </w:pPr>
      <w:r>
        <w:rPr>
          <w:rFonts w:ascii="Times New Roman" w:eastAsia="宋体" w:hAnsi="Times New Roman"/>
          <w:b/>
          <w:bCs/>
          <w:sz w:val="24"/>
          <w:szCs w:val="24"/>
        </w:rPr>
        <w:t xml:space="preserve">明显不足之处：</w:t>
      </w:r>
    </w:p>
    <w:p>
      <w:pPr>
        <w:pStyle w:val="ListParagraph"/>
        <w:numPr>
          <w:ilvl w:val="0"/>
          <w:numId w:val="2"/>
        </w:numPr>
        <w:spacing w:after="80" w:line="340"/>
      </w:pPr>
      <w:r>
        <w:rPr>
          <w:rFonts w:ascii="Times New Roman" w:eastAsia="宋体" w:hAnsi="Times New Roman"/>
          <w:sz w:val="24"/>
          <w:szCs w:val="24"/>
        </w:rPr>
        <w:t xml:space="preserve">测试结构呈倒金字塔。16 个测试类全部是策略、计算器与校验器类型的纯逻辑测试，服务层与持久层没有任何单元测试，中间层完全依赖 96 项黑盒端到端测试覆盖。</w:t>
      </w:r>
    </w:p>
    <w:p>
      <w:pPr>
        <w:pStyle w:val="ListParagraph"/>
        <w:numPr>
          <w:ilvl w:val="0"/>
          <w:numId w:val="2"/>
        </w:numPr>
        <w:spacing w:after="80" w:line="340"/>
      </w:pPr>
      <w:r>
        <w:rPr>
          <w:rFonts w:ascii="Times New Roman" w:eastAsia="宋体" w:hAnsi="Times New Roman"/>
          <w:sz w:val="24"/>
          <w:szCs w:val="24"/>
        </w:rPr>
        <w:t xml:space="preserve">缺少性能与并发实验。库存预占超时释放、同一批次被并发称重与退款修改、秒杀超卖等场景，恰恰是最具论文价值的部分，目前只有设计而无实测。</w:t>
      </w:r>
    </w:p>
    <w:p>
      <w:pPr>
        <w:pStyle w:val="ListParagraph"/>
        <w:numPr>
          <w:ilvl w:val="0"/>
          <w:numId w:val="2"/>
        </w:numPr>
        <w:spacing w:after="80" w:line="340"/>
      </w:pPr>
      <w:r>
        <w:rPr>
          <w:rFonts w:ascii="Times New Roman" w:eastAsia="宋体" w:hAnsi="Times New Roman"/>
          <w:sz w:val="24"/>
          <w:szCs w:val="24"/>
        </w:rPr>
        <w:t xml:space="preserve">缺少对比实验。例如整单分摊与逐项分摊的克数误差分布完全可以量化，当前仅有定性论述。</w:t>
      </w:r>
    </w:p>
    <w:p>
      <w:pPr>
        <w:pStyle w:val="Heading2"/>
      </w:pPr>
      <w:r>
        <w:rPr>
          <w:rFonts w:ascii="Arial" w:eastAsia="黑体" w:hAnsi="Arial"/>
        </w:rPr>
        <w:t xml:space="preserve">3.4 创新性：工程特色有余，学术新意不足</w:t>
      </w:r>
    </w:p>
    <w:p>
      <w:pPr>
        <w:spacing w:after="120" w:line="360"/>
        <w:ind w:firstLine="480"/>
      </w:pPr>
      <w:r>
        <w:rPr>
          <w:rFonts w:ascii="Times New Roman" w:eastAsia="宋体" w:hAnsi="Times New Roman"/>
          <w:b w:val="false"/>
          <w:bCs w:val="false"/>
          <w:sz w:val="24"/>
          <w:szCs w:val="24"/>
        </w:rPr>
        <w:t xml:space="preserve">本科对创新性要求不高，"系统实现加一定改进"通常即可接受。本项目的生鲜称重双维度对账、批次级先进先出与临期促销联动具备工程特色，但没有超出已知方法的新算法。</w:t>
      </w:r>
    </w:p>
    <w:p>
      <w:pPr>
        <w:spacing w:after="120" w:line="360"/>
        <w:ind w:firstLine="480"/>
      </w:pPr>
      <w:r>
        <w:rPr>
          <w:rFonts w:ascii="Times New Roman" w:eastAsia="宋体" w:hAnsi="Times New Roman"/>
          <w:b w:val="false"/>
          <w:bCs w:val="false"/>
          <w:sz w:val="24"/>
          <w:szCs w:val="24"/>
        </w:rPr>
        <w:t xml:space="preserve">这一点在论文中应如实定位为</w:t>
      </w:r>
      <w:r>
        <w:rPr>
          <w:rFonts w:ascii="Times New Roman" w:eastAsia="宋体" w:hAnsi="Times New Roman"/>
          <w:b/>
          <w:bCs/>
          <w:sz w:val="24"/>
          <w:szCs w:val="24"/>
        </w:rPr>
        <w:t xml:space="preserve">面向特定业务约束的工程实现与优化</w:t>
      </w:r>
      <w:r>
        <w:rPr>
          <w:rFonts w:ascii="Times New Roman" w:eastAsia="宋体" w:hAnsi="Times New Roman"/>
          <w:b w:val="false"/>
          <w:bCs w:val="false"/>
          <w:sz w:val="24"/>
          <w:szCs w:val="24"/>
        </w:rPr>
        <w:t xml:space="preserve">，而非宣称理论创新——强行拔高反而会在答辩中被追问而失分。</w:t>
      </w:r>
    </w:p>
    <w:p>
      <w:pPr>
        <w:pStyle w:val="Heading1"/>
      </w:pPr>
      <w:r>
        <w:rPr>
          <w:rFonts w:ascii="Arial" w:eastAsia="黑体" w:hAnsi="Arial"/>
        </w:rPr>
        <w:t xml:space="preserve">四、必须正视的两个风险</w:t>
      </w:r>
    </w:p>
    <w:p>
      <w:pPr>
        <w:pStyle w:val="Heading2"/>
      </w:pPr>
      <w:r>
        <w:rPr>
          <w:rFonts w:ascii="Arial" w:eastAsia="黑体" w:hAnsi="Arial"/>
        </w:rPr>
        <w:t xml:space="preserve">4.1 风险一：AI 辅助生成的学术合规性（最为关键）</w:t>
      </w:r>
    </w:p>
    <w:p>
      <w:pPr>
        <w:spacing w:after="120" w:line="360"/>
        <w:ind w:firstLine="480"/>
      </w:pPr>
      <w:r>
        <w:rPr>
          <w:rFonts w:ascii="Times New Roman" w:eastAsia="宋体" w:hAnsi="Times New Roman"/>
          <w:b w:val="false"/>
          <w:bCs w:val="false"/>
          <w:sz w:val="24"/>
          <w:szCs w:val="24"/>
        </w:rPr>
        <w:t xml:space="preserve">本项目从代码到文档有大量 AI 参与。这在当下的高校政策中属于灰色地带，但有一条底线是明确的：</w:t>
      </w:r>
    </w:p>
    <w:p>
      <w:pPr>
        <w:pBdr>
          <w:left w:val="single" w:color="2E75B6" w:sz="12" w:space="8"/>
        </w:pBdr>
        <w:spacing w:after="120" w:before="120" w:line="360"/>
        <w:ind w:left="720" w:right="720"/>
      </w:pPr>
      <w:r>
        <w:rPr>
          <w:rFonts w:ascii="Times New Roman" w:eastAsia="宋体" w:hAnsi="Times New Roman"/>
          <w:b/>
          <w:bCs/>
          <w:sz w:val="24"/>
          <w:szCs w:val="24"/>
        </w:rPr>
        <w:t xml:space="preserve">你必须能够独立解释系统中的每一处设计决策，并说明自己的实质贡献。</w:t>
      </w:r>
    </w:p>
    <w:p>
      <w:pPr>
        <w:spacing w:after="120" w:line="360"/>
        <w:ind w:firstLine="480"/>
      </w:pPr>
      <w:r>
        <w:rPr>
          <w:rFonts w:ascii="Times New Roman" w:eastAsia="宋体" w:hAnsi="Times New Roman"/>
          <w:b w:val="false"/>
          <w:bCs w:val="false"/>
          <w:sz w:val="24"/>
          <w:szCs w:val="24"/>
        </w:rPr>
        <w:t xml:space="preserve">目前最大的隐患并非使用了 AI，而在于答辩时若无法解释以下问题，将直接暴露贡献度不足：为什么逐项称重比整单分摊更贴近实际拣货结果；为什么克数回补要在最后一批兜底剩余；为什么退款时必须复用申请时的幂等键。这些问题恰好是本项目最值得论述之处，也最容易被追问。</w:t>
      </w:r>
    </w:p>
    <w:p>
      <w:pPr>
        <w:spacing w:after="120" w:line="360"/>
        <w:ind w:firstLine="480"/>
      </w:pPr>
      <w:r>
        <w:rPr>
          <w:rFonts w:ascii="Times New Roman" w:eastAsia="宋体" w:hAnsi="Times New Roman"/>
          <w:b/>
          <w:bCs/>
          <w:sz w:val="24"/>
          <w:szCs w:val="24"/>
        </w:rPr>
        <w:t xml:space="preserve">建议：</w:t>
      </w:r>
      <w:r>
        <w:rPr>
          <w:rFonts w:ascii="Times New Roman" w:eastAsia="宋体" w:hAnsi="Times New Roman"/>
          <w:b w:val="false"/>
          <w:bCs w:val="false"/>
          <w:sz w:val="24"/>
          <w:szCs w:val="24"/>
        </w:rPr>
        <w:t xml:space="preserve">将 AI 定位为实现工具，在论文中明确问题定义、方案选型、算法设计与验证由本人完成；并亲手重做一遍关键算法（如金额与克数差额的分摊逻辑），做到能够白板推导。</w:t>
      </w:r>
    </w:p>
    <w:p>
      <w:pPr>
        <w:pStyle w:val="Heading2"/>
      </w:pPr>
      <w:r>
        <w:rPr>
          <w:rFonts w:ascii="Arial" w:eastAsia="黑体" w:hAnsi="Arial"/>
        </w:rPr>
        <w:t xml:space="preserve">4.2 风险二：缺少研究问题</w:t>
      </w:r>
    </w:p>
    <w:p>
      <w:pPr>
        <w:spacing w:after="120" w:line="360"/>
        <w:ind w:firstLine="480"/>
      </w:pPr>
      <w:r>
        <w:rPr>
          <w:rFonts w:ascii="Times New Roman" w:eastAsia="宋体" w:hAnsi="Times New Roman"/>
          <w:b w:val="false"/>
          <w:bCs w:val="false"/>
          <w:sz w:val="24"/>
          <w:szCs w:val="24"/>
        </w:rPr>
        <w:t xml:space="preserve">当前项目是需求驱动的工程实现，通篇回答的是"怎么做的"，没有回答"什么做法更好、为什么、证据是什么"。而论文的骨架恰恰是后者。</w:t>
      </w:r>
    </w:p>
    <w:p>
      <w:pPr>
        <w:spacing w:after="120" w:line="360"/>
        <w:ind w:firstLine="480"/>
      </w:pPr>
      <w:r>
        <w:rPr>
          <w:rFonts w:ascii="Times New Roman" w:eastAsia="宋体" w:hAnsi="Times New Roman"/>
          <w:b/>
          <w:bCs/>
          <w:sz w:val="24"/>
          <w:szCs w:val="24"/>
        </w:rPr>
        <w:t xml:space="preserve">这不是缺陷，而是尚未开始的那部分工作。</w:t>
      </w:r>
    </w:p>
    <w:p>
      <w:pPr>
        <w:pStyle w:val="Heading1"/>
      </w:pPr>
      <w:r>
        <w:rPr>
          <w:rFonts w:ascii="Arial" w:eastAsia="黑体" w:hAnsi="Arial"/>
        </w:rPr>
        <w:t xml:space="preserve">五、补强路径</w:t>
      </w:r>
    </w:p>
    <w:p>
      <w:pPr>
        <w:pStyle w:val="Heading2"/>
      </w:pPr>
      <w:r>
        <w:rPr>
          <w:rFonts w:ascii="Arial" w:eastAsia="黑体" w:hAnsi="Arial"/>
        </w:rPr>
        <w:t xml:space="preserve">5.1 第一步：把工程问题学术化为研究问题</w:t>
      </w:r>
    </w:p>
    <w:p>
      <w:pPr>
        <w:spacing w:after="120" w:line="360"/>
        <w:ind w:firstLine="480"/>
      </w:pPr>
      <w:r>
        <w:rPr>
          <w:rFonts w:ascii="Times New Roman" w:eastAsia="宋体" w:hAnsi="Times New Roman"/>
          <w:b w:val="false"/>
          <w:bCs w:val="false"/>
          <w:sz w:val="24"/>
          <w:szCs w:val="24"/>
        </w:rPr>
        <w:t xml:space="preserve">推荐题目方向如下，按可行性排序：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326"/>
      </w:tblGrid>
      <w:tr>
        <w:trPr>
          <w:tblHeader/>
        </w:trPr>
        <w:tc>
          <w:tcPr>
            <w:tcW w:type="dxa" w:w="13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方向</w:t>
            </w:r>
          </w:p>
        </w:tc>
        <w:tc>
          <w:tcPr>
            <w:tcW w:type="dxa" w:w="4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研究问题</w:t>
            </w:r>
          </w:p>
        </w:tc>
        <w:tc>
          <w:tcPr>
            <w:tcW w:type="dxa" w:w="3326"/>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现有基础</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A（最推荐）</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生鲜电商称重结算中金额与库存双维度一致性的保障机制设计与验证</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已有完整实现与策略纯函数，可直接形式化</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B</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多粒度称重分摊的误差与库存偏差对比研究</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整单与逐项两种实现均在，可直接做对照实验</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C</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基于幂等键与状态机的高并发下单、支付、退款一致性验证</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已有全链路幂等实现</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D</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多库分域架构下启动期结构契约校验的有效性分析</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已有启动期结构校验器</w:t>
            </w:r>
          </w:p>
        </w:tc>
      </w:tr>
    </w:tbl>
    <w:p>
      <w:pPr>
        <w:spacing w:after="120" w:line="360"/>
        <w:ind w:firstLine="480"/>
      </w:pPr>
      <w:r>
        <w:rPr>
          <w:rFonts w:ascii="Times New Roman" w:eastAsia="宋体" w:hAnsi="Times New Roman"/>
          <w:b w:val="false"/>
          <w:bCs w:val="false"/>
          <w:sz w:val="24"/>
          <w:szCs w:val="24"/>
        </w:rPr>
        <w:t xml:space="preserve">以方向 A 为例，论文骨架可组织如下：</w:t>
      </w:r>
    </w:p>
    <w:p>
      <w:pPr>
        <w:pStyle w:val="ListParagraph"/>
        <w:numPr>
          <w:ilvl w:val="0"/>
          <w:numId w:val="3"/>
        </w:numPr>
        <w:spacing w:after="80" w:line="340"/>
      </w:pPr>
      <w:r>
        <w:rPr>
          <w:rFonts w:ascii="Times New Roman" w:eastAsia="宋体" w:hAnsi="Times New Roman"/>
          <w:sz w:val="24"/>
          <w:szCs w:val="24"/>
        </w:rPr>
        <w:t xml:space="preserve">相关工作：分布式事务（Saga、TCC）、库存一致性、幂等设计</w:t>
      </w:r>
    </w:p>
    <w:p>
      <w:pPr>
        <w:pStyle w:val="ListParagraph"/>
        <w:numPr>
          <w:ilvl w:val="0"/>
          <w:numId w:val="3"/>
        </w:numPr>
        <w:spacing w:after="80" w:line="340"/>
      </w:pPr>
      <w:r>
        <w:rPr>
          <w:rFonts w:ascii="Times New Roman" w:eastAsia="宋体" w:hAnsi="Times New Roman"/>
          <w:sz w:val="24"/>
          <w:szCs w:val="24"/>
        </w:rPr>
        <w:t xml:space="preserve">问题建模：定义库存守恒与金额守恒两条不变式</w:t>
      </w:r>
    </w:p>
    <w:p>
      <w:pPr>
        <w:pStyle w:val="ListParagraph"/>
        <w:numPr>
          <w:ilvl w:val="0"/>
          <w:numId w:val="3"/>
        </w:numPr>
        <w:spacing w:after="80" w:line="340"/>
      </w:pPr>
      <w:r>
        <w:rPr>
          <w:rFonts w:ascii="Times New Roman" w:eastAsia="宋体" w:hAnsi="Times New Roman"/>
          <w:sz w:val="24"/>
          <w:szCs w:val="24"/>
        </w:rPr>
        <w:t xml:space="preserve">机制设计：预占、核销、回补三阶段，逐项分摊算法，幂等键设计</w:t>
      </w:r>
    </w:p>
    <w:p>
      <w:pPr>
        <w:pStyle w:val="ListParagraph"/>
        <w:numPr>
          <w:ilvl w:val="0"/>
          <w:numId w:val="3"/>
        </w:numPr>
        <w:spacing w:after="80" w:line="340"/>
      </w:pPr>
      <w:r>
        <w:rPr>
          <w:rFonts w:ascii="Times New Roman" w:eastAsia="宋体" w:hAnsi="Times New Roman"/>
          <w:sz w:val="24"/>
          <w:szCs w:val="24"/>
        </w:rPr>
        <w:t xml:space="preserve">实现：数据模型、事务边界、异常路径（库存不足、重复提交、并发退款）</w:t>
      </w:r>
    </w:p>
    <w:p>
      <w:pPr>
        <w:pStyle w:val="ListParagraph"/>
        <w:numPr>
          <w:ilvl w:val="0"/>
          <w:numId w:val="3"/>
        </w:numPr>
        <w:spacing w:after="80" w:line="340"/>
      </w:pPr>
      <w:r>
        <w:rPr>
          <w:rFonts w:ascii="Times New Roman" w:eastAsia="宋体" w:hAnsi="Times New Roman"/>
          <w:sz w:val="24"/>
          <w:szCs w:val="24"/>
        </w:rPr>
        <w:t xml:space="preserve">验证：单元测试、集成测试、并发测试与破坏性用例，证明不变式成立</w:t>
      </w:r>
    </w:p>
    <w:p>
      <w:pPr>
        <w:pStyle w:val="ListParagraph"/>
        <w:numPr>
          <w:ilvl w:val="0"/>
          <w:numId w:val="3"/>
        </w:numPr>
        <w:spacing w:after="80" w:line="340"/>
      </w:pPr>
      <w:r>
        <w:rPr>
          <w:rFonts w:ascii="Times New Roman" w:eastAsia="宋体" w:hAnsi="Times New Roman"/>
          <w:sz w:val="24"/>
          <w:szCs w:val="24"/>
        </w:rPr>
        <w:t xml:space="preserve">讨论：局限（未做分布式、未接入真实支付）与改进方向</w:t>
      </w:r>
    </w:p>
    <w:p>
      <w:pPr>
        <w:pStyle w:val="Heading2"/>
      </w:pPr>
      <w:r>
        <w:rPr>
          <w:rFonts w:ascii="Arial" w:eastAsia="黑体" w:hAnsi="Arial"/>
        </w:rPr>
        <w:t xml:space="preserve">5.2 第二步：补齐实验（论文的结果章节）</w:t>
      </w:r>
    </w:p>
    <w:p>
      <w:pPr>
        <w:pStyle w:val="ListParagraph"/>
        <w:numPr>
          <w:ilvl w:val="0"/>
          <w:numId w:val="2"/>
        </w:numPr>
        <w:spacing w:after="80" w:line="340"/>
      </w:pPr>
      <w:r>
        <w:rPr>
          <w:rFonts w:ascii="Times New Roman" w:eastAsia="宋体" w:hAnsi="Times New Roman"/>
          <w:sz w:val="24"/>
          <w:szCs w:val="24"/>
        </w:rPr>
        <w:t xml:space="preserve">不变式验证：给定任意"预占—称重—退款"操作序列，库存与金额始终守恒。可用随机操作序列配合断言做上千次回归。</w:t>
      </w:r>
    </w:p>
    <w:p>
      <w:pPr>
        <w:pStyle w:val="ListParagraph"/>
        <w:numPr>
          <w:ilvl w:val="0"/>
          <w:numId w:val="2"/>
        </w:numPr>
        <w:spacing w:after="80" w:line="340"/>
      </w:pPr>
      <w:r>
        <w:rPr>
          <w:rFonts w:ascii="Times New Roman" w:eastAsia="宋体" w:hAnsi="Times New Roman"/>
          <w:sz w:val="24"/>
          <w:szCs w:val="24"/>
        </w:rPr>
        <w:t xml:space="preserve">分摊误差对比：构造 2、5、10 个订单项，跨 1、3、5 个批次的组合，量化两种分摊粒度的克数误差。</w:t>
      </w:r>
    </w:p>
    <w:p>
      <w:pPr>
        <w:pStyle w:val="ListParagraph"/>
        <w:numPr>
          <w:ilvl w:val="0"/>
          <w:numId w:val="2"/>
        </w:numPr>
        <w:spacing w:after="80" w:line="340"/>
      </w:pPr>
      <w:r>
        <w:rPr>
          <w:rFonts w:ascii="Times New Roman" w:eastAsia="宋体" w:hAnsi="Times New Roman"/>
          <w:sz w:val="24"/>
          <w:szCs w:val="24"/>
        </w:rPr>
        <w:t xml:space="preserve">幂等性实验：同一请求重复提交 N 次，验证库存、金额与台账均只变动一次。</w:t>
      </w:r>
    </w:p>
    <w:p>
      <w:pPr>
        <w:pStyle w:val="ListParagraph"/>
        <w:numPr>
          <w:ilvl w:val="0"/>
          <w:numId w:val="2"/>
        </w:numPr>
        <w:spacing w:after="80" w:line="340"/>
      </w:pPr>
      <w:r>
        <w:rPr>
          <w:rFonts w:ascii="Times New Roman" w:eastAsia="宋体" w:hAnsi="Times New Roman"/>
          <w:sz w:val="24"/>
          <w:szCs w:val="24"/>
        </w:rPr>
        <w:t xml:space="preserve">并发实验：并发执行称重、退款与超时释放，观察是否出现负库存或重复入账。此类实验最具说服力，因为它是设计正确性的直接证据。</w:t>
      </w:r>
    </w:p>
    <w:p>
      <w:pPr>
        <w:pStyle w:val="ListParagraph"/>
        <w:numPr>
          <w:ilvl w:val="0"/>
          <w:numId w:val="2"/>
        </w:numPr>
        <w:spacing w:after="80" w:line="340"/>
      </w:pPr>
      <w:r>
        <w:rPr>
          <w:rFonts w:ascii="Times New Roman" w:eastAsia="宋体" w:hAnsi="Times New Roman"/>
          <w:sz w:val="24"/>
          <w:szCs w:val="24"/>
        </w:rPr>
        <w:t xml:space="preserve">破坏性测试：注入库存不足、批次被删除、幂等键冲突等异常，验证是否按预期回滚。</w:t>
      </w:r>
    </w:p>
    <w:p>
      <w:pPr>
        <w:pStyle w:val="Heading2"/>
      </w:pPr>
      <w:r>
        <w:rPr>
          <w:rFonts w:ascii="Arial" w:eastAsia="黑体" w:hAnsi="Arial"/>
        </w:rPr>
        <w:t xml:space="preserve">5.3 第三步：补齐中间层测试</w:t>
      </w:r>
    </w:p>
    <w:p>
      <w:pPr>
        <w:spacing w:after="120" w:line="360"/>
        <w:ind w:firstLine="480"/>
      </w:pPr>
      <w:r>
        <w:rPr>
          <w:rFonts w:ascii="Times New Roman" w:eastAsia="宋体" w:hAnsi="Times New Roman"/>
          <w:b w:val="false"/>
          <w:bCs w:val="false"/>
          <w:sz w:val="24"/>
          <w:szCs w:val="24"/>
        </w:rPr>
        <w:t xml:space="preserve">在称重调整服务、退款库存回补等关键服务上补充集成测试（可使用 H2 或 Testcontainers）。这不只是为了覆盖率——论文的验证章节需要可展示的测试代码作为支撑。</w:t>
      </w:r>
    </w:p>
    <w:p>
      <w:pPr>
        <w:pStyle w:val="Heading2"/>
      </w:pPr>
      <w:r>
        <w:rPr>
          <w:rFonts w:ascii="Arial" w:eastAsia="黑体" w:hAnsi="Arial"/>
        </w:rPr>
        <w:t xml:space="preserve">5.4 第四步：补齐基础工程配套</w:t>
      </w:r>
    </w:p>
    <w:p>
      <w:pPr>
        <w:pStyle w:val="ListParagraph"/>
        <w:numPr>
          <w:ilvl w:val="0"/>
          <w:numId w:val="2"/>
        </w:numPr>
        <w:spacing w:after="80" w:line="340"/>
      </w:pPr>
      <w:r>
        <w:rPr>
          <w:rFonts w:ascii="Times New Roman" w:eastAsia="宋体" w:hAnsi="Times New Roman"/>
          <w:sz w:val="24"/>
          <w:szCs w:val="24"/>
        </w:rPr>
        <w:t xml:space="preserve">仓库目前没有 README。需补一份包含环境搭建、启动步骤与测试执行的说明文档，这是复现性的前提。</w:t>
      </w:r>
    </w:p>
    <w:p>
      <w:pPr>
        <w:pStyle w:val="ListParagraph"/>
        <w:numPr>
          <w:ilvl w:val="0"/>
          <w:numId w:val="2"/>
        </w:numPr>
        <w:spacing w:after="80" w:line="340"/>
      </w:pPr>
      <w:r>
        <w:rPr>
          <w:rFonts w:ascii="Times New Roman" w:eastAsia="宋体" w:hAnsi="Times New Roman"/>
          <w:sz w:val="24"/>
          <w:szCs w:val="24"/>
        </w:rPr>
        <w:t xml:space="preserve">整理"需求—设计—实现—验证"的溯源表，把已有 22 份文档串成论证链，而非散落的需求记录。</w:t>
      </w:r>
    </w:p>
    <w:p>
      <w:pPr>
        <w:pStyle w:val="Heading1"/>
      </w:pPr>
      <w:r>
        <w:rPr>
          <w:rFonts w:ascii="Arial" w:eastAsia="黑体" w:hAnsi="Arial"/>
        </w:rPr>
        <w:t xml:space="preserve">六、时间估算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18"/>
        <w:gridCol w:w="2608"/>
      </w:tblGrid>
      <w:tr>
        <w:trPr>
          <w:tblHeader/>
        </w:trPr>
        <w:tc>
          <w:tcPr>
            <w:tcW w:type="dxa" w:w="6418"/>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工作内容</w:t>
            </w:r>
          </w:p>
        </w:tc>
        <w:tc>
          <w:tcPr>
            <w:tcW w:type="dxa" w:w="2608"/>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预估工期</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提炼研究问题与文献调研</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1 至 2 周</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形式化建模（不变式与状态机）</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1 周</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补充实验代码并跑数</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2 至 3 周</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补充中间层测试</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1 至 2 周</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论文撰写</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3 至 4 周</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答辩准备（含重做关键算法）</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1 周</w:t>
            </w:r>
          </w:p>
        </w:tc>
      </w:tr>
      <w:tr>
        <w:tc>
          <w:tcPr>
            <w:tcW w:type="dxa" w:w="641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合计</w:t>
            </w:r>
          </w:p>
        </w:tc>
        <w:tc>
          <w:tcPr>
            <w:tcW w:type="dxa" w:w="260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约 9 至 13 周</w:t>
            </w:r>
          </w:p>
        </w:tc>
      </w:tr>
    </w:tbl>
    <w:p>
      <w:pPr>
        <w:pStyle w:val="Heading1"/>
      </w:pPr>
      <w:r>
        <w:rPr>
          <w:rFonts w:ascii="Arial" w:eastAsia="黑体" w:hAnsi="Arial"/>
        </w:rPr>
        <w:t xml:space="preserve">七、最终判断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评估项</w:t>
            </w:r>
          </w:p>
        </w:tc>
        <w:tc>
          <w:tcPr>
            <w:tcW w:type="dxa" w:w="5626"/>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vAlign w:val="center"/>
          </w:tcPr>
          <w:p>
            <w:pPr>
              <w:spacing w:after="0"/>
            </w:pPr>
            <w:r>
              <w:rPr>
                <w:rFonts w:ascii="Arial" w:eastAsia="黑体" w:hAnsi="Arial"/>
                <w:b/>
                <w:bCs/>
                <w:sz w:val="22"/>
                <w:szCs w:val="22"/>
              </w:rPr>
              <w:t xml:space="preserve">结论</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能否提供足够的系统实现工作量</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充分，超出本科要求</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是否包含可论述的技术难点</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是，集中在称重一致性与幂等设计</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能否直接支撑一篇合格论文</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不能，缺少研究问题与实验证据</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经一至两个月学术化改造后</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可以支撑一篇中等偏上的本科论文</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最大风险</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Times New Roman" w:eastAsia="宋体" w:hAnsi="Times New Roman"/>
                <w:b w:val="false"/>
                <w:bCs w:val="false"/>
                <w:sz w:val="22"/>
                <w:szCs w:val="22"/>
              </w:rPr>
              <w:t xml:space="preserve">作者贡献的可证明性，而非技术本身</w:t>
            </w:r>
          </w:p>
        </w:tc>
      </w:tr>
    </w:tbl>
    <w:p>
      <w:pPr>
        <w:spacing w:after="120" w:before="240" w:line="360"/>
      </w:pPr>
      <w:r>
        <w:rPr>
          <w:rFonts w:ascii="Arial" w:eastAsia="黑体" w:hAnsi="Arial"/>
          <w:b/>
          <w:bCs/>
          <w:sz w:val="26"/>
          <w:szCs w:val="26"/>
        </w:rPr>
        <w:t xml:space="preserve">一句话总结：</w:t>
      </w:r>
      <w:r>
        <w:rPr>
          <w:rFonts w:ascii="Arial" w:eastAsia="黑体" w:hAnsi="Arial"/>
          <w:sz w:val="26"/>
          <w:szCs w:val="26"/>
        </w:rPr>
        <w:t xml:space="preserve">这个项目已经把一个系统造好了，但论文需要的是论证。当前完成度大约相当于论文工作的 50%——系统部分接近完成，研究部分尚未开始。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t xml:space="preserve">第 </w:t>
    </w:r>
    <w:r>
      <w:rPr>
        <w:rFonts w:ascii="Times New Roman" w:eastAsia="宋体" w:hAnsi="Times New Roman"/>
        <w:sz w:val="18"/>
        <w:szCs w:val="18"/>
      </w:rPr>
      <w:fldChar w:fldCharType="begin"/>
      <w:instrText xml:space="preserve">PAGE</w:instrText>
      <w:fldChar w:fldCharType="separate"/>
      <w:fldChar w:fldCharType="end"/>
    </w:r>
    <w:r>
      <w:rPr>
        <w:rFonts w:ascii="Times New Roman" w:eastAsia="宋体"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center"/>
    </w:pPr>
    <w:r>
      <w:rPr>
        <w:rFonts w:ascii="Times New Roman" w:eastAsia="宋体" w:hAnsi="Times New Roman"/>
        <w:color w:val="808080"/>
        <w:sz w:val="18"/>
        <w:szCs w:val="18"/>
      </w:rPr>
      <w:t xml:space="preserve">FreshMart 项目完成度评估报告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eastAsia="黑体" w:hAnsi="Arial"/>
      <w:b/>
      <w:bCs/>
      <w:color w:val="1F3864"/>
      <w:sz w:val="32"/>
      <w:szCs w:val="32"/>
    </w:rPr>
  </w:style>
  <w:style w:type="paragraph" w:styleId="Heading2">
    <w:name w:val="Heading 2"/>
    <w:basedOn w:val="Normal"/>
    <w:next w:val="Normal"/>
    <w:qFormat/>
    <w:pPr>
      <w:spacing w:after="140" w:before="240"/>
      <w:outlineLvl w:val="1"/>
    </w:pPr>
    <w:rPr>
      <w:rFonts w:ascii="Arial" w:eastAsia="黑体"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项目完成度评估报告</dc:title>
  <dc:creator>项目评估</dc:creator>
  <dc:description>以支撑本科毕业论文的可行性为评估视角</dc:description>
  <cp:lastModifiedBy>Un-named</cp:lastModifiedBy>
  <cp:revision>1</cp:revision>
  <dcterms:created xsi:type="dcterms:W3CDTF">2026-09-14T01:32:34.857Z</dcterms:created>
  <dcterms:modified xsi:type="dcterms:W3CDTF">2026-09-14T01:32:34.857Z</dcterms:modified>
</cp:coreProperties>
</file>

<file path=docProps/custom.xml><?xml version="1.0" encoding="utf-8"?>
<Properties xmlns="http://schemas.openxmlformats.org/officeDocument/2006/custom-properties" xmlns:vt="http://schemas.openxmlformats.org/officeDocument/2006/docPropsVTypes"/>
</file>