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黑体" w:hAnsi="黑体" w:eastAsia="黑体"/>
          <w:b/>
          <w:sz w:val="36"/>
        </w:rPr>
        <w:t>生鲜电商称重结算中金额与库存双维度一致性保障机制的设计与验证</w:t>
      </w:r>
    </w:p>
    <w:p>
      <w:pPr>
        <w:spacing w:before="280" w:after="120"/>
      </w:pPr>
      <w:r>
        <w:rPr>
          <w:rFonts w:ascii="黑体" w:hAnsi="黑体" w:eastAsia="黑体"/>
          <w:b/>
          <w:sz w:val="30"/>
        </w:rPr>
        <w:t>摘要</w:t>
      </w:r>
    </w:p>
    <w:p>
      <w:pPr>
        <w:spacing w:after="120"/>
        <w:ind w:firstLine="440"/>
      </w:pPr>
      <w:r>
        <w:rPr>
          <w:rFonts w:ascii="宋体" w:hAnsi="宋体" w:eastAsia="宋体"/>
        </w:rPr>
        <w:t>生鲜商品按重量计价，下单时只能确定预估克数，实际交付重量须在分拣称重后才能确定。这一特性使系统必须在金额与库存两个维度上同时维护正确性：前者要求明确"预估金额与实际金额之差"的归属，后者要求把"实际出库克数与预占克数之差"回补到具体批次。现有工程实践多只处理金额差额，忽略克数回补，导致批次账实长期偏离且难以察觉。</w:t>
      </w:r>
    </w:p>
    <w:p>
      <w:pPr>
        <w:spacing w:after="120"/>
        <w:ind w:firstLine="440"/>
      </w:pPr>
      <w:r>
        <w:rPr>
          <w:rFonts w:ascii="宋体" w:hAnsi="宋体" w:eastAsia="宋体"/>
        </w:rPr>
        <w:t>本文以一个多商家生鲜电商系统 FreshMart 为对象，设计并验证一套覆盖"预占—核销—回补"全生命周期的一致性机制。本文首先以七条一致性不变式（I1–I7）对机制进行形式化刻画，并给出子订单与库存预占的状态机模型；随后实现覆盖不变式随机回归（E1）、分摊粒度对照（E2）与幂等性（E3）三组实验，共 10 项用例，在真实 MySQL 数据库上执行。</w:t>
      </w:r>
    </w:p>
    <w:p>
      <w:pPr>
        <w:spacing w:after="120"/>
        <w:ind w:firstLine="440"/>
      </w:pPr>
      <w:r>
        <w:rPr>
          <w:rFonts w:ascii="宋体" w:hAnsi="宋体" w:eastAsia="宋体"/>
        </w:rPr>
        <w:t>实验得到三项结果。第一，在 20 轮固定随机种子生成的订单结构（1–4 个订单项、每项跨 1–3 批次、偏差方向与幅度随机）下，I1、I2、I6、I7 的违反次数为 0，验证了机制的鲁棒性。第二，原有假设"整单分摊在跨多批次且偏差方向相反时会产生可测量的克数误差"被证伪：由于分摊算法采用了"按预占比例计算、最后一批兜底剩余"的兜底策略，两种粒度在总量上均无损，即使跨 7 个批次连续取整，回补总量仍精确等于差额。两种粒度的真实差异不在总量而在</w:t>
      </w:r>
      <w:r>
        <w:rPr>
          <w:rFonts w:ascii="宋体" w:hAnsi="宋体" w:eastAsia="宋体"/>
          <w:b/>
        </w:rPr>
        <w:t>批次级归属</w:t>
      </w:r>
      <w:r>
        <w:rPr>
          <w:rFonts w:ascii="宋体" w:hAnsi="宋体" w:eastAsia="宋体"/>
        </w:rPr>
        <w:t>——整单模式下净差额为零时各批次均不变化，某一订单项的偏差会被其他项抵消；逐项模式则把偏差如实回补到各订单项自身占用的批次，与真实拣货结果一致。据此本文将论文核心论点由"误差大小"修正为"批次归属精度"。第三，顺序重放、10 线程并发同键、同实体异键三种重复与并发场景下，有效变更次数恒为 1。</w:t>
      </w:r>
    </w:p>
    <w:p>
      <w:pPr>
        <w:spacing w:after="120"/>
        <w:ind w:firstLine="440"/>
      </w:pPr>
      <w:r>
        <w:rPr>
          <w:rFonts w:ascii="宋体" w:hAnsi="宋体" w:eastAsia="宋体"/>
        </w:rPr>
        <w:t>本文的另一项产出是：实验本身发现了一处真实实现缺陷——结算策略在差额为零时仍进入退款分支，进而要求用户钱包账户存在并写入一条 0 元流水。该缺陷经定位后已修复。这一过程表明，以不变式驱动的实验设计不仅能验证既有实现，也能反向发现设计盲区。</w:t>
      </w:r>
    </w:p>
    <w:p>
      <w:pPr>
        <w:spacing w:after="120"/>
        <w:ind w:firstLine="440"/>
      </w:pPr>
      <w:r>
        <w:rPr>
          <w:rFonts w:ascii="宋体" w:hAnsi="宋体" w:eastAsia="宋体"/>
          <w:b/>
        </w:rPr>
        <w:t>关键词</w:t>
      </w:r>
      <w:r>
        <w:rPr>
          <w:rFonts w:ascii="宋体" w:hAnsi="宋体" w:eastAsia="宋体"/>
        </w:rPr>
        <w:t>：生鲜电商；称重结算；数据一致性；不变式；幂等性；批次追溯</w:t>
      </w:r>
    </w:p>
    <w:p>
      <w:pPr>
        <w:spacing w:before="120" w:after="120"/>
      </w:pPr>
      <w:r>
        <w:rPr>
          <w:rFonts w:ascii="宋体" w:hAnsi="宋体" w:eastAsia="宋体"/>
          <w:color w:val="AAAAAA"/>
          <w:sz w:val="20"/>
        </w:rPr>
        <w:t>────────────────────────────────────────</w:t>
      </w:r>
    </w:p>
    <w:p>
      <w:pPr>
        <w:spacing w:before="280" w:after="120"/>
      </w:pPr>
      <w:r>
        <w:rPr>
          <w:rFonts w:ascii="黑体" w:hAnsi="黑体" w:eastAsia="黑体"/>
          <w:b/>
          <w:sz w:val="30"/>
        </w:rPr>
        <w:t>第一章 绪论</w:t>
      </w:r>
    </w:p>
    <w:p>
      <w:pPr>
        <w:spacing w:before="200" w:after="120"/>
      </w:pPr>
      <w:r>
        <w:rPr>
          <w:rFonts w:ascii="黑体" w:hAnsi="黑体" w:eastAsia="黑体"/>
          <w:b/>
          <w:sz w:val="27"/>
        </w:rPr>
        <w:t>1.1 研究背景</w:t>
      </w:r>
    </w:p>
    <w:p>
      <w:pPr>
        <w:spacing w:after="120"/>
        <w:ind w:firstLine="440"/>
      </w:pPr>
      <w:r>
        <w:rPr>
          <w:rFonts w:ascii="宋体" w:hAnsi="宋体" w:eastAsia="宋体"/>
        </w:rPr>
        <w:t>生鲜农产品电商在过去十年间成为零售数字化的重要方向。与标准工业品相比，生鲜品类具有三个显著特征，这三个特征共同决定了其信息系统设计的特殊性。</w:t>
      </w:r>
    </w:p>
    <w:p>
      <w:pPr>
        <w:spacing w:after="120"/>
        <w:ind w:firstLine="440"/>
      </w:pPr>
      <w:r>
        <w:rPr>
          <w:rFonts w:ascii="宋体" w:hAnsi="宋体" w:eastAsia="宋体"/>
          <w:b/>
        </w:rPr>
        <w:t>第一，计价单位是重量而非件数。</w:t>
      </w:r>
      <w:r>
        <w:rPr>
          <w:rFonts w:ascii="宋体" w:hAnsi="宋体" w:eastAsia="宋体"/>
        </w:rPr>
        <w:t xml:space="preserve"> 蔬菜、水果、肉类等品类的价格以"元/千克"表示，交易金额等于实际重量与单价的乘积。消费者下单时无法精确预知自己要买多少克，商家也无法在下单时确定每一份的实际重量，因此订单金额在创建时只能是</w:t>
      </w:r>
      <w:r>
        <w:rPr>
          <w:rFonts w:ascii="宋体" w:hAnsi="宋体" w:eastAsia="宋体"/>
          <w:b/>
        </w:rPr>
        <w:t>预估值</w:t>
      </w:r>
      <w:r>
        <w:rPr>
          <w:rFonts w:ascii="宋体" w:hAnsi="宋体" w:eastAsia="宋体"/>
        </w:rPr>
        <w:t>。</w:t>
      </w:r>
    </w:p>
    <w:p>
      <w:pPr>
        <w:spacing w:after="120"/>
        <w:ind w:firstLine="440"/>
      </w:pPr>
      <w:r>
        <w:rPr>
          <w:rFonts w:ascii="宋体" w:hAnsi="宋体" w:eastAsia="宋体"/>
          <w:b/>
        </w:rPr>
        <w:t>第二，实际重量必须在分拣环节才能确定。</w:t>
      </w:r>
      <w:r>
        <w:rPr>
          <w:rFonts w:ascii="宋体" w:hAnsi="宋体" w:eastAsia="宋体"/>
        </w:rPr>
        <w:t xml:space="preserve"> 从下单到分拣存在时间差，期间商品还会经历损耗与水分蒸发。订单履约链条为"下单支付 → 仓库分拣称重 → 配送 → 送达"，实际重量要到分拣称重那一刻才产生。这意味着</w:t>
      </w:r>
      <w:r>
        <w:rPr>
          <w:rFonts w:ascii="宋体" w:hAnsi="宋体" w:eastAsia="宋体"/>
          <w:b/>
        </w:rPr>
        <w:t>支付金额与实际应收金额必然存在差额</w:t>
      </w:r>
      <w:r>
        <w:rPr>
          <w:rFonts w:ascii="宋体" w:hAnsi="宋体" w:eastAsia="宋体"/>
        </w:rPr>
        <w:t>，差额可能是正（实际更重，用户需补付）也可能是负（实际更轻，需退款）。</w:t>
      </w:r>
    </w:p>
    <w:p>
      <w:pPr>
        <w:spacing w:after="120"/>
        <w:ind w:firstLine="440"/>
      </w:pPr>
      <w:r>
        <w:rPr>
          <w:rFonts w:ascii="宋体" w:hAnsi="宋体" w:eastAsia="宋体"/>
          <w:b/>
        </w:rPr>
        <w:t>第三，库存必须以批次为单位追溯。</w:t>
      </w:r>
      <w:r>
        <w:rPr>
          <w:rFonts w:ascii="宋体" w:hAnsi="宋体" w:eastAsia="宋体"/>
        </w:rPr>
        <w:t xml:space="preserve"> 生鲜商品具有保质期，同一商品的不同批次进货时间与过期时间不同，促销策略也不同（临期批次需降价清仓）。因此库存管理不是"某商品有 100 千克"这样的标量，而是"某商品在 A 批次有 60 千克、B 批次有 40 千克"这样的向量。下单时必须选定具体批次并预占，出库时必须从被预占的批次扣减。</w:t>
      </w:r>
    </w:p>
    <w:p>
      <w:pPr>
        <w:spacing w:after="120"/>
        <w:ind w:firstLine="440"/>
      </w:pPr>
      <w:r>
        <w:rPr>
          <w:rFonts w:ascii="宋体" w:hAnsi="宋体" w:eastAsia="宋体"/>
        </w:rPr>
        <w:t>三个特征叠加后，产生了一个容易被忽视的缺口：</w:t>
      </w:r>
      <w:r>
        <w:rPr>
          <w:rFonts w:ascii="宋体" w:hAnsi="宋体" w:eastAsia="宋体"/>
          <w:b/>
        </w:rPr>
        <w:t>金额差额与克数差额是两个独立维度，必须分别处理</w:t>
      </w:r>
      <w:r>
        <w:rPr>
          <w:rFonts w:ascii="宋体" w:hAnsi="宋体" w:eastAsia="宋体"/>
        </w:rPr>
        <w:t>。</w:t>
      </w:r>
    </w:p>
    <w:p>
      <w:pPr>
        <w:spacing w:before="200" w:after="120"/>
      </w:pPr>
      <w:r>
        <w:rPr>
          <w:rFonts w:ascii="黑体" w:hAnsi="黑体" w:eastAsia="黑体"/>
          <w:b/>
          <w:sz w:val="27"/>
        </w:rPr>
        <w:t>1.2 问题提出</w:t>
      </w:r>
    </w:p>
    <w:p>
      <w:pPr>
        <w:spacing w:after="120"/>
        <w:ind w:firstLine="440"/>
      </w:pPr>
      <w:r>
        <w:rPr>
          <w:rFonts w:ascii="宋体" w:hAnsi="宋体" w:eastAsia="宋体"/>
        </w:rPr>
        <w:t>考虑一个典型场景：用户下单购买 1 千克番茄，系统按预估重量计算并收取 9.5 元，同时从 A 批次预占 1000 克。分拣时实际称重为 1100 克，此时需要处理两件事：</w:t>
      </w:r>
    </w:p>
    <w:p>
      <w:pPr>
        <w:pStyle w:val="ListNumber"/>
        <w:spacing w:after="40"/>
      </w:pPr>
      <w:r>
        <w:rPr>
          <w:rFonts w:ascii="宋体" w:hAnsi="宋体" w:eastAsia="宋体"/>
          <w:b/>
        </w:rPr>
        <w:t>金额维度</w:t>
      </w:r>
      <w:r>
        <w:rPr>
          <w:rFonts w:ascii="宋体" w:hAnsi="宋体" w:eastAsia="宋体"/>
        </w:rPr>
        <w:t>：预估 9.5 元、实际应收 10.45 元，多出的 0.95 元由谁承担？是向用户补收、由平台吸收，还是转人工复核？行业内普遍设有"平台误差承担上限"，超出上限则转人工。</w:t>
      </w:r>
    </w:p>
    <w:p>
      <w:pPr>
        <w:pStyle w:val="ListNumber"/>
        <w:spacing w:after="40"/>
      </w:pPr>
      <w:r>
        <w:rPr>
          <w:rFonts w:ascii="宋体" w:hAnsi="宋体" w:eastAsia="宋体"/>
          <w:b/>
        </w:rPr>
        <w:t>库存维度</w:t>
      </w:r>
      <w:r>
        <w:rPr>
          <w:rFonts w:ascii="宋体" w:hAnsi="宋体" w:eastAsia="宋体"/>
        </w:rPr>
        <w:t>：多出的 100 克从哪里来？答案是从 A 批次再扣减 100 克。如果只处理金额而不处理克数，A 批次的账面可用量就会比实际多出 100 克。</w:t>
      </w:r>
    </w:p>
    <w:p>
      <w:pPr>
        <w:spacing w:after="120"/>
        <w:ind w:firstLine="440"/>
      </w:pPr>
      <w:r>
        <w:rPr>
          <w:rFonts w:ascii="宋体" w:hAnsi="宋体" w:eastAsia="宋体"/>
        </w:rPr>
        <w:t>现有工程实践与文献多聚焦于第一个维度——支付金额的对账与差错处理已经相当成熟，对账系统、差错池、人工核销流程等都有标准做法。而第二个维度</w:t>
      </w:r>
      <w:r>
        <w:rPr>
          <w:rFonts w:ascii="宋体" w:hAnsi="宋体" w:eastAsia="宋体"/>
          <w:b/>
        </w:rPr>
        <w:t>缺少系统性讨论</w:t>
      </w:r>
      <w:r>
        <w:rPr>
          <w:rFonts w:ascii="宋体" w:hAnsi="宋体" w:eastAsia="宋体"/>
        </w:rPr>
        <w:t>：库存克数的回补往往被简化为"总量对齐"，即保证"所有批次扣减量之和等于实际出库量"即可。</w:t>
      </w:r>
    </w:p>
    <w:p>
      <w:pPr>
        <w:spacing w:after="120"/>
        <w:ind w:firstLine="440"/>
      </w:pPr>
      <w:r>
        <w:rPr>
          <w:rFonts w:ascii="宋体" w:hAnsi="宋体" w:eastAsia="宋体"/>
        </w:rPr>
        <w:t>但本文的实验表明，</w:t>
      </w:r>
      <w:r>
        <w:rPr>
          <w:rFonts w:ascii="宋体" w:hAnsi="宋体" w:eastAsia="宋体"/>
          <w:b/>
        </w:rPr>
        <w:t>总量对齐并不充分</w:t>
      </w:r>
      <w:r>
        <w:rPr>
          <w:rFonts w:ascii="宋体" w:hAnsi="宋体" w:eastAsia="宋体"/>
        </w:rPr>
        <w:t>。当订单包含多个订单项、每项占用不同批次时，仅保证总量对齐会导致批次级的账实偏离：某一订单项的偏差可能被其他订单项的相反偏差抵消，从而在总量上"看起来正确"，而实际的批次库存已经不准。对于需要按批次追溯保质期与促销策略的生鲜电商而言，这种偏离会直接导致临期商品误判、损耗统计失真与促销选品错误。</w:t>
      </w:r>
    </w:p>
    <w:p>
      <w:pPr>
        <w:spacing w:after="120"/>
        <w:ind w:firstLine="440"/>
      </w:pPr>
      <w:r>
        <w:rPr>
          <w:rFonts w:ascii="宋体" w:hAnsi="宋体" w:eastAsia="宋体"/>
        </w:rPr>
        <w:t>因此，本文要回答的核心问题是：</w:t>
      </w:r>
      <w:r>
        <w:rPr>
          <w:rFonts w:ascii="宋体" w:hAnsi="宋体" w:eastAsia="宋体"/>
          <w:b/>
        </w:rPr>
        <w:t>在生鲜按重量计价的约束下，如何设计并验证一套同时保证金额与库存（含批次级归属）一致性的机制？</w:t>
      </w:r>
    </w:p>
    <w:p>
      <w:pPr>
        <w:spacing w:after="120"/>
        <w:ind w:firstLine="440"/>
      </w:pPr>
      <w:r>
        <w:rPr>
          <w:rFonts w:ascii="宋体" w:hAnsi="宋体" w:eastAsia="宋体"/>
        </w:rPr>
        <w:t>围绕这一核心问题，本文提出三个具体研究问题：</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宋体" w:hAnsi="宋体" w:eastAsia="宋体"/>
                <w:b/>
                <w:sz w:val="20"/>
              </w:rPr>
              <w:t>编号</w:t>
            </w:r>
          </w:p>
        </w:tc>
        <w:tc>
          <w:tcPr>
            <w:tcW w:type="dxa" w:w="4320"/>
          </w:tcPr>
          <w:p>
            <w:r/>
            <w:r>
              <w:rPr>
                <w:rFonts w:ascii="宋体" w:hAnsi="宋体" w:eastAsia="宋体"/>
                <w:b/>
                <w:sz w:val="20"/>
              </w:rPr>
              <w:t>研究问题</w:t>
            </w:r>
          </w:p>
        </w:tc>
      </w:tr>
      <w:tr>
        <w:tc>
          <w:tcPr>
            <w:tcW w:type="dxa" w:w="4320"/>
          </w:tcPr>
          <w:p>
            <w:r/>
            <w:r>
              <w:rPr>
                <w:rFonts w:ascii="宋体" w:hAnsi="宋体" w:eastAsia="宋体"/>
                <w:b/>
                <w:sz w:val="20"/>
              </w:rPr>
              <w:t>RQ1</w:t>
            </w:r>
          </w:p>
        </w:tc>
        <w:tc>
          <w:tcPr>
            <w:tcW w:type="dxa" w:w="4320"/>
          </w:tcPr>
          <w:p>
            <w:r/>
            <w:r>
              <w:rPr>
                <w:rFonts w:ascii="宋体" w:hAnsi="宋体" w:eastAsia="宋体"/>
                <w:sz w:val="20"/>
              </w:rPr>
              <w:t>在"预占 → 支付核销 → 称重调整 → 退款回补"的完整生命周期中，如何定义并保证金额与库存的双维度一致性？</w:t>
            </w:r>
          </w:p>
        </w:tc>
      </w:tr>
      <w:tr>
        <w:tc>
          <w:tcPr>
            <w:tcW w:type="dxa" w:w="4320"/>
          </w:tcPr>
          <w:p>
            <w:r/>
            <w:r>
              <w:rPr>
                <w:rFonts w:ascii="宋体" w:hAnsi="宋体" w:eastAsia="宋体"/>
                <w:b/>
                <w:sz w:val="20"/>
              </w:rPr>
              <w:t>RQ2</w:t>
            </w:r>
          </w:p>
        </w:tc>
        <w:tc>
          <w:tcPr>
            <w:tcW w:type="dxa" w:w="4320"/>
          </w:tcPr>
          <w:p>
            <w:r/>
            <w:r>
              <w:rPr>
                <w:rFonts w:ascii="宋体" w:hAnsi="宋体" w:eastAsia="宋体"/>
                <w:sz w:val="20"/>
              </w:rPr>
              <w:t>称重差额按</w:t>
            </w:r>
            <w:r>
              <w:rPr>
                <w:rFonts w:ascii="宋体" w:hAnsi="宋体" w:eastAsia="宋体"/>
                <w:b/>
                <w:sz w:val="20"/>
              </w:rPr>
              <w:t>整单分摊</w:t>
            </w:r>
            <w:r>
              <w:rPr>
                <w:rFonts w:ascii="宋体" w:hAnsi="宋体" w:eastAsia="宋体"/>
                <w:sz w:val="20"/>
              </w:rPr>
              <w:t>与按</w:t>
            </w:r>
            <w:r>
              <w:rPr>
                <w:rFonts w:ascii="宋体" w:hAnsi="宋体" w:eastAsia="宋体"/>
                <w:b/>
                <w:sz w:val="20"/>
              </w:rPr>
              <w:t>订单项逐项回补</w:t>
            </w:r>
            <w:r>
              <w:rPr>
                <w:rFonts w:ascii="宋体" w:hAnsi="宋体" w:eastAsia="宋体"/>
                <w:sz w:val="20"/>
              </w:rPr>
              <w:t>，两种粒度在克数误差与批次偏差上的差异有多大？</w:t>
            </w:r>
          </w:p>
        </w:tc>
      </w:tr>
      <w:tr>
        <w:tc>
          <w:tcPr>
            <w:tcW w:type="dxa" w:w="4320"/>
          </w:tcPr>
          <w:p>
            <w:r/>
            <w:r>
              <w:rPr>
                <w:rFonts w:ascii="宋体" w:hAnsi="宋体" w:eastAsia="宋体"/>
                <w:b/>
                <w:sz w:val="20"/>
              </w:rPr>
              <w:t>RQ3</w:t>
            </w:r>
          </w:p>
        </w:tc>
        <w:tc>
          <w:tcPr>
            <w:tcW w:type="dxa" w:w="4320"/>
          </w:tcPr>
          <w:p>
            <w:r/>
            <w:r>
              <w:rPr>
                <w:rFonts w:ascii="宋体" w:hAnsi="宋体" w:eastAsia="宋体"/>
                <w:sz w:val="20"/>
              </w:rPr>
              <w:t>在重复提交与并发操作的条件下，全链路幂等设计与悲观锁机制是否足以避免重复入账与负库存？</w:t>
            </w:r>
          </w:p>
        </w:tc>
      </w:tr>
    </w:tbl>
    <w:p/>
    <w:p>
      <w:pPr>
        <w:spacing w:before="200" w:after="120"/>
      </w:pPr>
      <w:r>
        <w:rPr>
          <w:rFonts w:ascii="黑体" w:hAnsi="黑体" w:eastAsia="黑体"/>
          <w:b/>
          <w:sz w:val="27"/>
        </w:rPr>
        <w:t>1.3 研究内容与贡献</w:t>
      </w:r>
    </w:p>
    <w:p>
      <w:pPr>
        <w:spacing w:after="120"/>
        <w:ind w:firstLine="440"/>
      </w:pPr>
      <w:r>
        <w:rPr>
          <w:rFonts w:ascii="宋体" w:hAnsi="宋体" w:eastAsia="宋体"/>
        </w:rPr>
        <w:t>本文以自主实现的多商家生鲜电商系统 FreshMart 为研究对象。该系统采用 Java 17 与 Spring Boot 3 构建，包含 91 个主源码文件、47 个 Flyway 数据库迁移与 102 张数据表，覆盖用户端、商家端、配送端与平台管理后台四类业务端。本文在此基础上完成以下工作。</w:t>
      </w:r>
    </w:p>
    <w:p>
      <w:pPr>
        <w:spacing w:after="120"/>
        <w:ind w:firstLine="440"/>
      </w:pPr>
      <w:r>
        <w:rPr>
          <w:rFonts w:ascii="宋体" w:hAnsi="宋体" w:eastAsia="宋体"/>
          <w:b/>
        </w:rPr>
        <w:t>贡献一：给出称重场景下的一致性形式化刻画。</w:t>
      </w:r>
      <w:r>
        <w:rPr>
          <w:rFonts w:ascii="宋体" w:hAnsi="宋体" w:eastAsia="宋体"/>
        </w:rPr>
        <w:t xml:space="preserve"> 本文提出七条一致性不变式（I1–I7），覆盖非负性、预占约束、批次守恒、订单项守恒、金额守恒、粒度一致性与分摊无损性七个方面，并给出子订单与库存预占的状态机模型。这些不变式不仅是设计约束，也直接作为后续实验的判定依据，使实验结论可被机械验证而不依赖主观判断。</w:t>
      </w:r>
    </w:p>
    <w:p>
      <w:pPr>
        <w:spacing w:after="120"/>
        <w:ind w:firstLine="440"/>
      </w:pPr>
      <w:r>
        <w:rPr>
          <w:rFonts w:ascii="宋体" w:hAnsi="宋体" w:eastAsia="宋体"/>
          <w:b/>
        </w:rPr>
        <w:t>贡献二：实现并执行三组一致性实验，得到与初始假设不同的结论。</w:t>
      </w:r>
      <w:r>
        <w:rPr>
          <w:rFonts w:ascii="宋体" w:hAnsi="宋体" w:eastAsia="宋体"/>
        </w:rPr>
        <w:t xml:space="preserve"> 本文实现 E1（不变式随机回归）、E2（分摊粒度对照）、E3（幂等性）共 10 项用例，在真实 MySQL 数据库上执行，全部通过。其中 E2 的结果</w:t>
      </w:r>
      <w:r>
        <w:rPr>
          <w:rFonts w:ascii="宋体" w:hAnsi="宋体" w:eastAsia="宋体"/>
          <w:b/>
        </w:rPr>
        <w:t>证伪了本文的初始假设</w:t>
      </w:r>
      <w:r>
        <w:rPr>
          <w:rFonts w:ascii="宋体" w:hAnsi="宋体" w:eastAsia="宋体"/>
        </w:rPr>
        <w:t>：由于分摊算法采用了"最后一批兜底剩余"的兜底策略，整单分摊与逐项回补在总量上均无误差。本文如实报告这一结果，并据此将核心论点修正为更具解释力的"批次归属精度"——两种粒度的真实差异不在总量，而在于偏差是否被如实回补到各订单项自身占用的批次。</w:t>
      </w:r>
    </w:p>
    <w:p>
      <w:pPr>
        <w:spacing w:after="120"/>
        <w:ind w:firstLine="440"/>
      </w:pPr>
      <w:r>
        <w:rPr>
          <w:rFonts w:ascii="宋体" w:hAnsi="宋体" w:eastAsia="宋体"/>
          <w:b/>
        </w:rPr>
        <w:t>贡献三：以实验驱动发现并修复了一处实现缺陷。</w:t>
      </w:r>
      <w:r>
        <w:rPr>
          <w:rFonts w:ascii="宋体" w:hAnsi="宋体" w:eastAsia="宋体"/>
        </w:rPr>
        <w:t xml:space="preserve"> 实验过程中，E1 与 E2 的多个用例报出 </w:t>
      </w:r>
      <w:r>
        <w:rPr>
          <w:rFonts w:ascii="Consolas" w:hAnsi="Consolas" w:eastAsia="Consolas"/>
          <w:sz w:val="19"/>
        </w:rPr>
        <w:t>409 user wallet is unavailable</w:t>
      </w:r>
      <w:r>
        <w:rPr>
          <w:rFonts w:ascii="宋体" w:hAnsi="宋体" w:eastAsia="宋体"/>
        </w:rPr>
        <w:t>。定位表明，结算策略在金额差额为零时仍进入退款分支，进而要求用户钱包账户必须存在，并会写入一条 0 元流水。本文将这一发现作为"以不变式驱动的实验设计具备缺陷发现能力"的实证，而非仅仅作为一次偶然的调试经历。</w:t>
      </w:r>
    </w:p>
    <w:p>
      <w:pPr>
        <w:spacing w:before="200" w:after="120"/>
      </w:pPr>
      <w:r>
        <w:rPr>
          <w:rFonts w:ascii="黑体" w:hAnsi="黑体" w:eastAsia="黑体"/>
          <w:b/>
          <w:sz w:val="27"/>
        </w:rPr>
        <w:t>1.4 论文组织</w:t>
      </w:r>
    </w:p>
    <w:p>
      <w:pPr>
        <w:spacing w:after="120"/>
        <w:ind w:firstLine="440"/>
      </w:pPr>
      <w:r>
        <w:rPr>
          <w:rFonts w:ascii="宋体" w:hAnsi="宋体" w:eastAsia="宋体"/>
        </w:rPr>
        <w:t>本文其余部分组织如下。第二章回顾分布式事务、库存一致性与幂等设计的相关工作，并指出现有研究的缺口。第三章给出系统架构、七条不变式、状态机模型与三阶段一致性机制的设计。第四章报告三组实验的环境、方法、数据与结果。第五章讨论核心论点、效度威胁与局限。第六章总结全文并展望未来工作。</w:t>
      </w:r>
    </w:p>
    <w:p>
      <w:pPr>
        <w:spacing w:before="120" w:after="120"/>
      </w:pPr>
      <w:r>
        <w:rPr>
          <w:rFonts w:ascii="宋体" w:hAnsi="宋体" w:eastAsia="宋体"/>
          <w:color w:val="AAAAAA"/>
          <w:sz w:val="20"/>
        </w:rPr>
        <w:t>────────────────────────────────────────</w:t>
      </w:r>
    </w:p>
    <w:p>
      <w:pPr>
        <w:spacing w:before="280" w:after="120"/>
      </w:pPr>
      <w:r>
        <w:rPr>
          <w:rFonts w:ascii="黑体" w:hAnsi="黑体" w:eastAsia="黑体"/>
          <w:b/>
          <w:sz w:val="30"/>
        </w:rPr>
        <w:t>第二章 相关工作</w:t>
      </w:r>
    </w:p>
    <w:p>
      <w:pPr>
        <w:spacing w:before="200" w:after="120"/>
      </w:pPr>
      <w:r>
        <w:rPr>
          <w:rFonts w:ascii="黑体" w:hAnsi="黑体" w:eastAsia="黑体"/>
          <w:b/>
          <w:sz w:val="27"/>
        </w:rPr>
        <w:t>2.1 分布式事务与一致性模型</w:t>
      </w:r>
    </w:p>
    <w:p>
      <w:pPr>
        <w:spacing w:after="120"/>
        <w:ind w:firstLine="440"/>
      </w:pPr>
      <w:r>
        <w:rPr>
          <w:rFonts w:ascii="宋体" w:hAnsi="宋体" w:eastAsia="宋体"/>
        </w:rPr>
        <w:t>在跨库、跨服务的场景中，强一致的分布式事务代价高昂，业界普遍转向</w:t>
      </w:r>
      <w:r>
        <w:rPr>
          <w:rFonts w:ascii="宋体" w:hAnsi="宋体" w:eastAsia="宋体"/>
          <w:b/>
        </w:rPr>
        <w:t>最终一致性</w:t>
      </w:r>
      <w:r>
        <w:rPr>
          <w:rFonts w:ascii="宋体" w:hAnsi="宋体" w:eastAsia="宋体"/>
        </w:rPr>
        <w:t>方案。Gray 与 Reuter 在经典著作中系统阐述了事务的 ACID 语义及其实现机制，为后续研究奠定了理论基础[1]。Bernstein 等人则对并发控制与恢复算法做了完整的形式化处理，其中两阶段锁（2PL）与多版本并发控制（MVCC）成为主流数据库的基石[2]。</w:t>
      </w:r>
    </w:p>
    <w:p>
      <w:pPr>
        <w:spacing w:after="120"/>
        <w:ind w:firstLine="440"/>
      </w:pPr>
      <w:r>
        <w:rPr>
          <w:rFonts w:ascii="宋体" w:hAnsi="宋体" w:eastAsia="宋体"/>
        </w:rPr>
        <w:t xml:space="preserve">Garcia-Molina 与 Salem 提出的 </w:t>
      </w:r>
      <w:r>
        <w:rPr>
          <w:rFonts w:ascii="宋体" w:hAnsi="宋体" w:eastAsia="宋体"/>
          <w:b/>
        </w:rPr>
        <w:t>Saga</w:t>
      </w:r>
      <w:r>
        <w:rPr>
          <w:rFonts w:ascii="宋体" w:hAnsi="宋体" w:eastAsia="宋体"/>
        </w:rPr>
        <w:t xml:space="preserve"> 模式将长事务拆解为一系列本地事务，并为每个本地事务配备补偿操作，在失败时逆序执行补偿[3]。Saga 的贡献在于承认"长事务无法保持原子性"，转而以补偿换取可用性。但补偿语义要求每个正向操作都存在业务上有意义的逆操作，这一前提在本场景中并不总是成立——批次库存的扣减可以被退回，但"用户已经吃掉的商品"无法退回。</w:t>
      </w:r>
    </w:p>
    <w:p>
      <w:pPr>
        <w:spacing w:after="120"/>
        <w:ind w:firstLine="440"/>
      </w:pPr>
      <w:r>
        <w:rPr>
          <w:rFonts w:ascii="宋体" w:hAnsi="宋体" w:eastAsia="宋体"/>
        </w:rPr>
        <w:t>Brewer 提出的 CAP 猜想及其后续的形式化证明指出，在存在网络分区时，一致性与可用性不可兼得[4][5]。这为本文的工程选择提供了理论依据：本文系统运行于单一数据库实例内，跨库操作通过应用层事务管理器协调，因此在</w:t>
      </w:r>
      <w:r>
        <w:rPr>
          <w:rFonts w:ascii="宋体" w:hAnsi="宋体" w:eastAsia="宋体"/>
          <w:b/>
        </w:rPr>
        <w:t>不涉及网络分区的前提下</w:t>
      </w:r>
      <w:r>
        <w:rPr>
          <w:rFonts w:ascii="宋体" w:hAnsi="宋体" w:eastAsia="宋体"/>
        </w:rPr>
        <w:t>可以选择强一致策略，而不必引入最终一致性的复杂度。</w:t>
      </w:r>
    </w:p>
    <w:p>
      <w:pPr>
        <w:spacing w:after="120"/>
        <w:ind w:firstLine="440"/>
      </w:pPr>
      <w:r>
        <w:rPr>
          <w:rFonts w:ascii="宋体" w:hAnsi="宋体" w:eastAsia="宋体"/>
        </w:rPr>
        <w:t>Helland 则从实践角度指出，大规模系统中应当避免跨实体的原子事务，转而依赖幂等操作与去重机制[6]。本文的设计在这一点上与之一致：对于确实需要跨库的操作，本文采用"本地事务 + 幂等键 + 唯一约束"的组合，而非分布式事务。</w:t>
      </w:r>
    </w:p>
    <w:p>
      <w:pPr>
        <w:spacing w:before="200" w:after="120"/>
      </w:pPr>
      <w:r>
        <w:rPr>
          <w:rFonts w:ascii="黑体" w:hAnsi="黑体" w:eastAsia="黑体"/>
          <w:b/>
          <w:sz w:val="27"/>
        </w:rPr>
        <w:t>2.2 库存一致性</w:t>
      </w:r>
    </w:p>
    <w:p>
      <w:pPr>
        <w:spacing w:after="120"/>
        <w:ind w:firstLine="440"/>
      </w:pPr>
      <w:r>
        <w:rPr>
          <w:rFonts w:ascii="宋体" w:hAnsi="宋体" w:eastAsia="宋体"/>
        </w:rPr>
        <w:t>库存一致性是电商系统的经典问题，但其讨论重心长期集中在</w:t>
      </w:r>
      <w:r>
        <w:rPr>
          <w:rFonts w:ascii="宋体" w:hAnsi="宋体" w:eastAsia="宋体"/>
          <w:b/>
        </w:rPr>
        <w:t>超卖控制</w:t>
      </w:r>
      <w:r>
        <w:rPr>
          <w:rFonts w:ascii="宋体" w:hAnsi="宋体" w:eastAsia="宋体"/>
        </w:rPr>
        <w:t>上。常见做法包括数据库行锁、条件更新（乐观锁）、Redis 原子操作与队列串行化。</w:t>
      </w:r>
    </w:p>
    <w:p>
      <w:pPr>
        <w:spacing w:after="120"/>
        <w:ind w:firstLine="440"/>
      </w:pPr>
      <w:r>
        <w:rPr>
          <w:rFonts w:ascii="宋体" w:hAnsi="宋体" w:eastAsia="宋体"/>
        </w:rPr>
        <w:t xml:space="preserve">条件更新是一种被广泛采用的轻量方案：将扣减操作表述为 </w:t>
      </w:r>
      <w:r>
        <w:rPr>
          <w:rFonts w:ascii="Consolas" w:hAnsi="Consolas" w:eastAsia="Consolas"/>
          <w:sz w:val="19"/>
        </w:rPr>
        <w:t>UPDATE ... WHERE available &gt;= ?</w:t>
      </w:r>
      <w:r>
        <w:rPr>
          <w:rFonts w:ascii="宋体" w:hAnsi="宋体" w:eastAsia="宋体"/>
        </w:rPr>
        <w:t xml:space="preserve"> 的形式，由数据库保证判断与更新在同一语句内原子完成，影响行数为零即表示库存不足。这一做法避免了显式加锁，但要求业务层正确处理"更新失败"这一正常路径而非异常。</w:t>
      </w:r>
    </w:p>
    <w:p>
      <w:pPr>
        <w:spacing w:after="120"/>
        <w:ind w:firstLine="440"/>
      </w:pPr>
      <w:r>
        <w:rPr>
          <w:rFonts w:ascii="宋体" w:hAnsi="宋体" w:eastAsia="宋体"/>
        </w:rPr>
        <w:t>Kleppmann 在讨论数据密集型应用设计时指出，分布式系统中的</w:t>
      </w:r>
      <w:r>
        <w:rPr>
          <w:rFonts w:ascii="宋体" w:hAnsi="宋体" w:eastAsia="宋体"/>
          <w:b/>
        </w:rPr>
        <w:t>不变式维护</w:t>
      </w:r>
      <w:r>
        <w:rPr>
          <w:rFonts w:ascii="宋体" w:hAnsi="宋体" w:eastAsia="宋体"/>
        </w:rPr>
        <w:t>应当尽量下沉到单点**，即把需要原子性保证的约束交给单一数据库节点处理，避免应用层协调[7]。本文的设计遵循这一原则：库存扣减的唯一性由数据库唯一约束与条件更新保证，应用层只负责编排。</w:t>
      </w:r>
    </w:p>
    <w:p>
      <w:pPr>
        <w:spacing w:after="120"/>
        <w:ind w:firstLine="440"/>
      </w:pPr>
      <w:r>
        <w:rPr>
          <w:rFonts w:ascii="宋体" w:hAnsi="宋体" w:eastAsia="宋体"/>
        </w:rPr>
        <w:t>然而，上述工作的共同局限在于</w:t>
      </w:r>
      <w:r>
        <w:rPr>
          <w:rFonts w:ascii="宋体" w:hAnsi="宋体" w:eastAsia="宋体"/>
          <w:b/>
        </w:rPr>
        <w:t>把库存视为标量</w:t>
      </w:r>
      <w:r>
        <w:rPr>
          <w:rFonts w:ascii="宋体" w:hAnsi="宋体" w:eastAsia="宋体"/>
        </w:rPr>
        <w:t>。无论是超卖控制还是库存对账，讨论的都是"某商品的总量是否正确"，而未涉及"某一批次的量是否正确"。在生鲜、医药等需要按批次追溯保质期的场景中，标量库存模型不足以刻画真实的库存状态。Fowler 在讨论企业应用架构时提出过"库存应表示为可追踪的实体集合"的观点[8]，但未给出具体的守恒模型与验证方法。</w:t>
      </w:r>
    </w:p>
    <w:p>
      <w:pPr>
        <w:spacing w:before="200" w:after="120"/>
      </w:pPr>
      <w:r>
        <w:rPr>
          <w:rFonts w:ascii="黑体" w:hAnsi="黑体" w:eastAsia="黑体"/>
          <w:b/>
          <w:sz w:val="27"/>
        </w:rPr>
        <w:t>2.3 幂等设计</w:t>
      </w:r>
    </w:p>
    <w:p>
      <w:pPr>
        <w:spacing w:after="120"/>
        <w:ind w:firstLine="440"/>
      </w:pPr>
      <w:r>
        <w:rPr>
          <w:rFonts w:ascii="宋体" w:hAnsi="宋体" w:eastAsia="宋体"/>
        </w:rPr>
        <w:t>幂等性是分布式系统的核心工程手段之一。Helland 将幂等操作列为构建大规模系统的关键模式，强调"使操作可重复执行而不产生额外副作用"比"保证操作只执行一次"更现实[6]。</w:t>
      </w:r>
    </w:p>
    <w:p>
      <w:pPr>
        <w:spacing w:after="120"/>
        <w:ind w:firstLine="440"/>
      </w:pPr>
      <w:r>
        <w:rPr>
          <w:rFonts w:ascii="宋体" w:hAnsi="宋体" w:eastAsia="宋体"/>
        </w:rPr>
        <w:t>工程上实现幂等的常见手段有三类：</w:t>
      </w:r>
      <w:r>
        <w:rPr>
          <w:rFonts w:ascii="宋体" w:hAnsi="宋体" w:eastAsia="宋体"/>
          <w:b/>
        </w:rPr>
        <w:t>幂等键去重</w:t>
      </w:r>
      <w:r>
        <w:rPr>
          <w:rFonts w:ascii="宋体" w:hAnsi="宋体" w:eastAsia="宋体"/>
        </w:rPr>
        <w:t>、</w:t>
      </w:r>
      <w:r>
        <w:rPr>
          <w:rFonts w:ascii="宋体" w:hAnsi="宋体" w:eastAsia="宋体"/>
          <w:b/>
        </w:rPr>
        <w:t>状态机前置校验</w:t>
      </w:r>
      <w:r>
        <w:rPr>
          <w:rFonts w:ascii="宋体" w:hAnsi="宋体" w:eastAsia="宋体"/>
        </w:rPr>
        <w:t>与</w:t>
      </w:r>
      <w:r>
        <w:rPr>
          <w:rFonts w:ascii="宋体" w:hAnsi="宋体" w:eastAsia="宋体"/>
          <w:b/>
        </w:rPr>
        <w:t>唯一约束</w:t>
      </w:r>
      <w:r>
        <w:rPr>
          <w:rFonts w:ascii="宋体" w:hAnsi="宋体" w:eastAsia="宋体"/>
        </w:rPr>
        <w:t>。</w:t>
      </w:r>
    </w:p>
    <w:p>
      <w:pPr>
        <w:pStyle w:val="ListNumber"/>
        <w:spacing w:after="40"/>
      </w:pPr>
      <w:r>
        <w:rPr>
          <w:rFonts w:ascii="宋体" w:hAnsi="宋体" w:eastAsia="宋体"/>
          <w:b/>
        </w:rPr>
        <w:t>幂等键去重</w:t>
      </w:r>
      <w:r>
        <w:rPr>
          <w:rFonts w:ascii="宋体" w:hAnsi="宋体" w:eastAsia="宋体"/>
        </w:rPr>
        <w:t>：客户端为每次写操作生成唯一键，服务端记录已处理的键，重复请求直接返回首次结果。</w:t>
      </w:r>
    </w:p>
    <w:p>
      <w:pPr>
        <w:pStyle w:val="ListNumber"/>
        <w:spacing w:after="40"/>
      </w:pPr>
      <w:r>
        <w:rPr>
          <w:rFonts w:ascii="宋体" w:hAnsi="宋体" w:eastAsia="宋体"/>
          <w:b/>
        </w:rPr>
        <w:t>状态机前置校验</w:t>
      </w:r>
      <w:r>
        <w:rPr>
          <w:rFonts w:ascii="宋体" w:hAnsi="宋体" w:eastAsia="宋体"/>
        </w:rPr>
        <w:t>：为业务对象定义合法状态转换，非法转换返回冲突而非静默忽略。</w:t>
      </w:r>
    </w:p>
    <w:p>
      <w:pPr>
        <w:pStyle w:val="ListNumber"/>
        <w:spacing w:after="40"/>
      </w:pPr>
      <w:r>
        <w:rPr>
          <w:rFonts w:ascii="宋体" w:hAnsi="宋体" w:eastAsia="宋体"/>
          <w:b/>
        </w:rPr>
        <w:t>唯一约束</w:t>
      </w:r>
      <w:r>
        <w:rPr>
          <w:rFonts w:ascii="宋体" w:hAnsi="宋体" w:eastAsia="宋体"/>
        </w:rPr>
        <w:t>：在数据库层对业务实体加唯一索引，使重复写入在存储层被拦截。</w:t>
      </w:r>
    </w:p>
    <w:p>
      <w:pPr>
        <w:spacing w:after="120"/>
        <w:ind w:firstLine="440"/>
      </w:pPr>
      <w:r>
        <w:rPr>
          <w:rFonts w:ascii="宋体" w:hAnsi="宋体" w:eastAsia="宋体"/>
        </w:rPr>
        <w:t>三类手段的可靠性不同。幂等键去重依赖应用层的"查询—写入"两步操作，在并发下存在竞态窗口；唯一约束由数据库保证，可在竞态下提供最终保障。因此</w:t>
      </w:r>
      <w:r>
        <w:rPr>
          <w:rFonts w:ascii="宋体" w:hAnsi="宋体" w:eastAsia="宋体"/>
          <w:b/>
        </w:rPr>
        <w:t>稳健的实现应同时使用两者</w:t>
      </w:r>
      <w:r>
        <w:rPr>
          <w:rFonts w:ascii="宋体" w:hAnsi="宋体" w:eastAsia="宋体"/>
        </w:rPr>
        <w:t>，前者提供正常路径的效率，后者提供竞态下的正确性。</w:t>
      </w:r>
    </w:p>
    <w:p>
      <w:pPr>
        <w:spacing w:after="120"/>
        <w:ind w:firstLine="440"/>
      </w:pPr>
      <w:r>
        <w:rPr>
          <w:rFonts w:ascii="宋体" w:hAnsi="宋体" w:eastAsia="宋体"/>
        </w:rPr>
        <w:t xml:space="preserve">本文在这一点上做了明确设计：所有写操作携带幂等键，同时关键业务表建立唯一索引（例如每个子订单最多一条称重调整记录由 </w:t>
      </w:r>
      <w:r>
        <w:rPr>
          <w:rFonts w:ascii="Consolas" w:hAnsi="Consolas" w:eastAsia="Consolas"/>
          <w:sz w:val="19"/>
        </w:rPr>
        <w:t>uk_weighing_order</w:t>
      </w:r>
      <w:r>
        <w:rPr>
          <w:rFonts w:ascii="宋体" w:hAnsi="宋体" w:eastAsia="宋体"/>
        </w:rPr>
        <w:t xml:space="preserve"> 约束）。第四章的实验 E3 专门验证了这一组合在顺序重放与并发同键下的有效性。</w:t>
      </w:r>
    </w:p>
    <w:p>
      <w:pPr>
        <w:spacing w:before="200" w:after="120"/>
      </w:pPr>
      <w:r>
        <w:rPr>
          <w:rFonts w:ascii="黑体" w:hAnsi="黑体" w:eastAsia="黑体"/>
          <w:b/>
          <w:sz w:val="27"/>
        </w:rPr>
        <w:t>2.4 现有工作的不足与本文定位</w:t>
      </w:r>
    </w:p>
    <w:p>
      <w:pPr>
        <w:spacing w:after="120"/>
        <w:ind w:firstLine="440"/>
      </w:pPr>
      <w:r>
        <w:rPr>
          <w:rFonts w:ascii="宋体" w:hAnsi="宋体" w:eastAsia="宋体"/>
        </w:rPr>
        <w:t>综合上述工作，可以识别出三个缺口。</w:t>
      </w:r>
    </w:p>
    <w:p>
      <w:pPr>
        <w:spacing w:after="120"/>
        <w:ind w:firstLine="440"/>
      </w:pPr>
      <w:r>
        <w:rPr>
          <w:rFonts w:ascii="宋体" w:hAnsi="宋体" w:eastAsia="宋体"/>
          <w:b/>
        </w:rPr>
        <w:t>缺口一：称重场景下的库存一致性缺少系统讨论。</w:t>
      </w:r>
      <w:r>
        <w:rPr>
          <w:rFonts w:ascii="宋体" w:hAnsi="宋体" w:eastAsia="宋体"/>
        </w:rPr>
        <w:t xml:space="preserve"> 现有库存一致性研究以标量库存为对象，未处理"按重量计价、下单只得预估、实际重量后置"这一特殊约束。而这正是生鲜电商的常态。</w:t>
      </w:r>
    </w:p>
    <w:p>
      <w:pPr>
        <w:spacing w:after="120"/>
        <w:ind w:firstLine="440"/>
      </w:pPr>
      <w:r>
        <w:rPr>
          <w:rFonts w:ascii="宋体" w:hAnsi="宋体" w:eastAsia="宋体"/>
          <w:b/>
        </w:rPr>
        <w:t>缺口二：批次级归属精度未被作为独立问题提出。</w:t>
      </w:r>
      <w:r>
        <w:rPr>
          <w:rFonts w:ascii="宋体" w:hAnsi="宋体" w:eastAsia="宋体"/>
        </w:rPr>
        <w:t xml:space="preserve"> 即使接受"按批次管理库存"的做法，现有讨论也只要求"总量对齐"，未意识到多订单项场景下相反偏差会互相抵消，导致总量正确而批次失真。</w:t>
      </w:r>
    </w:p>
    <w:p>
      <w:pPr>
        <w:spacing w:after="120"/>
        <w:ind w:firstLine="440"/>
      </w:pPr>
      <w:r>
        <w:rPr>
          <w:rFonts w:ascii="宋体" w:hAnsi="宋体" w:eastAsia="宋体"/>
          <w:b/>
        </w:rPr>
        <w:t>缺口三：一致性机制缺少可机械验证的判定标准。</w:t>
      </w:r>
      <w:r>
        <w:rPr>
          <w:rFonts w:ascii="宋体" w:hAnsi="宋体" w:eastAsia="宋体"/>
        </w:rPr>
        <w:t xml:space="preserve"> 多数工程实践以"测试通过"作为正确性证据，而测试用例的覆盖范围依赖人工设计，难以覆盖随机组合。以形式化不变式作为判定依据的做法在工程论文中尚不常见。</w:t>
      </w:r>
    </w:p>
    <w:p>
      <w:pPr>
        <w:spacing w:after="120"/>
        <w:ind w:firstLine="440"/>
      </w:pPr>
      <w:r>
        <w:rPr>
          <w:rFonts w:ascii="宋体" w:hAnsi="宋体" w:eastAsia="宋体"/>
        </w:rPr>
        <w:t>本文针对这三个缺口展开：以七条不变式给出可机械验证的判定标准（对应缺口三），在真实的按重量计价场景中设计和验证机制（对应缺口一），并通过对照实验揭示了批次级归属精度这一此前未被提出的问题（对应缺口二）。</w:t>
      </w:r>
    </w:p>
    <w:p>
      <w:pPr>
        <w:spacing w:before="120" w:after="120"/>
      </w:pPr>
      <w:r>
        <w:rPr>
          <w:rFonts w:ascii="宋体" w:hAnsi="宋体" w:eastAsia="宋体"/>
          <w:color w:val="AAAAAA"/>
          <w:sz w:val="20"/>
        </w:rPr>
        <w:t>────────────────────────────────────────</w:t>
      </w:r>
    </w:p>
    <w:p>
      <w:pPr>
        <w:spacing w:before="280" w:after="120"/>
      </w:pPr>
      <w:r>
        <w:rPr>
          <w:rFonts w:ascii="黑体" w:hAnsi="黑体" w:eastAsia="黑体"/>
          <w:b/>
          <w:sz w:val="30"/>
        </w:rPr>
        <w:t>第三章 系统与机制设计</w:t>
      </w:r>
    </w:p>
    <w:p>
      <w:pPr>
        <w:spacing w:before="200" w:after="120"/>
      </w:pPr>
      <w:r>
        <w:rPr>
          <w:rFonts w:ascii="黑体" w:hAnsi="黑体" w:eastAsia="黑体"/>
          <w:b/>
          <w:sz w:val="27"/>
        </w:rPr>
        <w:t>3.1 系统架构与多库分域</w:t>
      </w:r>
    </w:p>
    <w:p>
      <w:pPr>
        <w:spacing w:after="120"/>
        <w:ind w:firstLine="440"/>
      </w:pPr>
      <w:r>
        <w:rPr>
          <w:rFonts w:ascii="宋体" w:hAnsi="宋体" w:eastAsia="宋体"/>
        </w:rPr>
        <w:t>FreshMart 采用多库分域架构。业务数据按领域边界拆分为五个卫星库，主库仅保留平台规则配置与迁移历史：</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宋体" w:hAnsi="宋体" w:eastAsia="宋体"/>
                <w:b/>
                <w:sz w:val="20"/>
              </w:rPr>
              <w:t>数据库</w:t>
            </w:r>
          </w:p>
        </w:tc>
        <w:tc>
          <w:tcPr>
            <w:tcW w:type="dxa" w:w="2880"/>
          </w:tcPr>
          <w:p>
            <w:r/>
            <w:r>
              <w:rPr>
                <w:rFonts w:ascii="宋体" w:hAnsi="宋体" w:eastAsia="宋体"/>
                <w:b/>
                <w:sz w:val="20"/>
              </w:rPr>
              <w:t>职责</w:t>
            </w:r>
          </w:p>
        </w:tc>
        <w:tc>
          <w:tcPr>
            <w:tcW w:type="dxa" w:w="2880"/>
          </w:tcPr>
          <w:p>
            <w:r/>
            <w:r>
              <w:rPr>
                <w:rFonts w:ascii="宋体" w:hAnsi="宋体" w:eastAsia="宋体"/>
                <w:b/>
                <w:sz w:val="20"/>
              </w:rPr>
              <w:t>主要数据</w:t>
            </w:r>
          </w:p>
        </w:tc>
      </w:tr>
      <w:tr>
        <w:tc>
          <w:tcPr>
            <w:tcW w:type="dxa" w:w="2880"/>
          </w:tcPr>
          <w:p>
            <w:r/>
            <w:r>
              <w:rPr>
                <w:rFonts w:ascii="Consolas" w:hAnsi="Consolas" w:eastAsia="Consolas"/>
                <w:sz w:val="18"/>
              </w:rPr>
              <w:t>freshmart</w:t>
            </w:r>
          </w:p>
        </w:tc>
        <w:tc>
          <w:tcPr>
            <w:tcW w:type="dxa" w:w="2880"/>
          </w:tcPr>
          <w:p>
            <w:r/>
            <w:r>
              <w:rPr>
                <w:rFonts w:ascii="宋体" w:hAnsi="宋体" w:eastAsia="宋体"/>
                <w:sz w:val="20"/>
              </w:rPr>
              <w:t>平台规则与迁移历史</w:t>
            </w:r>
          </w:p>
        </w:tc>
        <w:tc>
          <w:tcPr>
            <w:tcW w:type="dxa" w:w="2880"/>
          </w:tcPr>
          <w:p>
            <w:r/>
            <w:r>
              <w:rPr>
                <w:rFonts w:ascii="宋体" w:hAnsi="宋体" w:eastAsia="宋体"/>
                <w:sz w:val="20"/>
              </w:rPr>
              <w:t>平台规则、Flyway 历史</w:t>
            </w:r>
          </w:p>
        </w:tc>
      </w:tr>
      <w:tr>
        <w:tc>
          <w:tcPr>
            <w:tcW w:type="dxa" w:w="2880"/>
          </w:tcPr>
          <w:p>
            <w:r/>
            <w:r>
              <w:rPr>
                <w:rFonts w:ascii="Consolas" w:hAnsi="Consolas" w:eastAsia="Consolas"/>
                <w:sz w:val="18"/>
              </w:rPr>
              <w:t>freshmart_user</w:t>
            </w:r>
          </w:p>
        </w:tc>
        <w:tc>
          <w:tcPr>
            <w:tcW w:type="dxa" w:w="2880"/>
          </w:tcPr>
          <w:p>
            <w:r/>
            <w:r>
              <w:rPr>
                <w:rFonts w:ascii="宋体" w:hAnsi="宋体" w:eastAsia="宋体"/>
                <w:sz w:val="20"/>
              </w:rPr>
              <w:t>用户域</w:t>
            </w:r>
          </w:p>
        </w:tc>
        <w:tc>
          <w:tcPr>
            <w:tcW w:type="dxa" w:w="2880"/>
          </w:tcPr>
          <w:p>
            <w:r/>
            <w:r>
              <w:rPr>
                <w:rFonts w:ascii="宋体" w:hAnsi="宋体" w:eastAsia="宋体"/>
                <w:sz w:val="20"/>
              </w:rPr>
              <w:t>账号、角色、钱包、积分</w:t>
            </w:r>
          </w:p>
        </w:tc>
      </w:tr>
      <w:tr>
        <w:tc>
          <w:tcPr>
            <w:tcW w:type="dxa" w:w="2880"/>
          </w:tcPr>
          <w:p>
            <w:r/>
            <w:r>
              <w:rPr>
                <w:rFonts w:ascii="Consolas" w:hAnsi="Consolas" w:eastAsia="Consolas"/>
                <w:sz w:val="18"/>
              </w:rPr>
              <w:t>freshmart_merchant</w:t>
            </w:r>
          </w:p>
        </w:tc>
        <w:tc>
          <w:tcPr>
            <w:tcW w:type="dxa" w:w="2880"/>
          </w:tcPr>
          <w:p>
            <w:r/>
            <w:r>
              <w:rPr>
                <w:rFonts w:ascii="宋体" w:hAnsi="宋体" w:eastAsia="宋体"/>
                <w:sz w:val="20"/>
              </w:rPr>
              <w:t>商家域</w:t>
            </w:r>
          </w:p>
        </w:tc>
        <w:tc>
          <w:tcPr>
            <w:tcW w:type="dxa" w:w="2880"/>
          </w:tcPr>
          <w:p>
            <w:r/>
            <w:r>
              <w:rPr>
                <w:rFonts w:ascii="宋体" w:hAnsi="宋体" w:eastAsia="宋体"/>
                <w:sz w:val="20"/>
              </w:rPr>
              <w:t>商家、仓库、商品、分类、批次、入库单</w:t>
            </w:r>
          </w:p>
        </w:tc>
      </w:tr>
      <w:tr>
        <w:tc>
          <w:tcPr>
            <w:tcW w:type="dxa" w:w="2880"/>
          </w:tcPr>
          <w:p>
            <w:r/>
            <w:r>
              <w:rPr>
                <w:rFonts w:ascii="Consolas" w:hAnsi="Consolas" w:eastAsia="Consolas"/>
                <w:sz w:val="18"/>
              </w:rPr>
              <w:t>freshmart_trade</w:t>
            </w:r>
          </w:p>
        </w:tc>
        <w:tc>
          <w:tcPr>
            <w:tcW w:type="dxa" w:w="2880"/>
          </w:tcPr>
          <w:p>
            <w:r/>
            <w:r>
              <w:rPr>
                <w:rFonts w:ascii="宋体" w:hAnsi="宋体" w:eastAsia="宋体"/>
                <w:sz w:val="20"/>
              </w:rPr>
              <w:t>交易域</w:t>
            </w:r>
          </w:p>
        </w:tc>
        <w:tc>
          <w:tcPr>
            <w:tcW w:type="dxa" w:w="2880"/>
          </w:tcPr>
          <w:p>
            <w:r/>
            <w:r>
              <w:rPr>
                <w:rFonts w:ascii="宋体" w:hAnsi="宋体" w:eastAsia="宋体"/>
                <w:sz w:val="20"/>
              </w:rPr>
              <w:t>交易单、子订单、订单项、批次分配、称重调整、退款、台账</w:t>
            </w:r>
          </w:p>
        </w:tc>
      </w:tr>
      <w:tr>
        <w:tc>
          <w:tcPr>
            <w:tcW w:type="dxa" w:w="2880"/>
          </w:tcPr>
          <w:p>
            <w:r/>
            <w:r>
              <w:rPr>
                <w:rFonts w:ascii="Consolas" w:hAnsi="Consolas" w:eastAsia="Consolas"/>
                <w:sz w:val="18"/>
              </w:rPr>
              <w:t>freshmart_delivery</w:t>
            </w:r>
          </w:p>
        </w:tc>
        <w:tc>
          <w:tcPr>
            <w:tcW w:type="dxa" w:w="2880"/>
          </w:tcPr>
          <w:p>
            <w:r/>
            <w:r>
              <w:rPr>
                <w:rFonts w:ascii="宋体" w:hAnsi="宋体" w:eastAsia="宋体"/>
                <w:sz w:val="20"/>
              </w:rPr>
              <w:t>配送域</w:t>
            </w:r>
          </w:p>
        </w:tc>
        <w:tc>
          <w:tcPr>
            <w:tcW w:type="dxa" w:w="2880"/>
          </w:tcPr>
          <w:p>
            <w:r/>
            <w:r>
              <w:rPr>
                <w:rFonts w:ascii="宋体" w:hAnsi="宋体" w:eastAsia="宋体"/>
                <w:sz w:val="20"/>
              </w:rPr>
              <w:t>配送区域、配送任务、骑手绩效</w:t>
            </w:r>
          </w:p>
        </w:tc>
      </w:tr>
      <w:tr>
        <w:tc>
          <w:tcPr>
            <w:tcW w:type="dxa" w:w="2880"/>
          </w:tcPr>
          <w:p>
            <w:r/>
            <w:r>
              <w:rPr>
                <w:rFonts w:ascii="Consolas" w:hAnsi="Consolas" w:eastAsia="Consolas"/>
                <w:sz w:val="18"/>
              </w:rPr>
              <w:t>freshmart_log</w:t>
            </w:r>
          </w:p>
        </w:tc>
        <w:tc>
          <w:tcPr>
            <w:tcW w:type="dxa" w:w="2880"/>
          </w:tcPr>
          <w:p>
            <w:r/>
            <w:r>
              <w:rPr>
                <w:rFonts w:ascii="宋体" w:hAnsi="宋体" w:eastAsia="宋体"/>
                <w:sz w:val="20"/>
              </w:rPr>
              <w:t>日志域</w:t>
            </w:r>
          </w:p>
        </w:tc>
        <w:tc>
          <w:tcPr>
            <w:tcW w:type="dxa" w:w="2880"/>
          </w:tcPr>
          <w:p>
            <w:r/>
            <w:r>
              <w:rPr>
                <w:rFonts w:ascii="宋体" w:hAnsi="宋体" w:eastAsia="宋体"/>
                <w:sz w:val="20"/>
              </w:rPr>
              <w:t>审计日志、资金状态流水</w:t>
            </w:r>
          </w:p>
        </w:tc>
      </w:tr>
    </w:tbl>
    <w:p/>
    <w:p>
      <w:pPr>
        <w:spacing w:after="120"/>
        <w:ind w:firstLine="440"/>
      </w:pPr>
      <w:r>
        <w:rPr>
          <w:rFonts w:ascii="宋体" w:hAnsi="宋体" w:eastAsia="宋体"/>
          <w:b/>
        </w:rPr>
        <w:t>分域的依据是变更频率与访问模式</w:t>
      </w:r>
      <w:r>
        <w:rPr>
          <w:rFonts w:ascii="宋体" w:hAnsi="宋体" w:eastAsia="宋体"/>
        </w:rPr>
        <w:t>：交易域写入最频繁且需要强一致，日志域只追加不修改，配置域几乎不变。分域后各域可使用独立的连接池与事务管理器，避免一个域的长事务阻塞其他域。</w:t>
      </w:r>
    </w:p>
    <w:p>
      <w:pPr>
        <w:spacing w:after="120"/>
        <w:ind w:firstLine="440"/>
      </w:pPr>
      <w:r>
        <w:rPr>
          <w:rFonts w:ascii="宋体" w:hAnsi="宋体" w:eastAsia="宋体"/>
        </w:rPr>
        <w:t>多库带来的风险是</w:t>
      </w:r>
      <w:r>
        <w:rPr>
          <w:rFonts w:ascii="宋体" w:hAnsi="宋体" w:eastAsia="宋体"/>
          <w:b/>
        </w:rPr>
        <w:t>结构漂移</w:t>
      </w:r>
      <w:r>
        <w:rPr>
          <w:rFonts w:ascii="宋体" w:hAnsi="宋体" w:eastAsia="宋体"/>
        </w:rPr>
        <w:t>：某个卫星库的表结构与代码预期不一致时，故障往往在运行期才暴露。为此系统在启动时执行结构校验——</w:t>
      </w:r>
      <w:r>
        <w:rPr>
          <w:rFonts w:ascii="Consolas" w:hAnsi="Consolas" w:eastAsia="Consolas"/>
          <w:sz w:val="19"/>
        </w:rPr>
        <w:t>DomainSchemaReadinessVerifier</w:t>
      </w:r>
      <w:r>
        <w:rPr>
          <w:rFonts w:ascii="宋体" w:hAnsi="宋体" w:eastAsia="宋体"/>
        </w:rPr>
        <w:t xml:space="preserve"> 会检查五个卫星库的表与关键列是否存在，缺失即拒绝启动。这一"快速失败"策略把结构问题从运行期提前到了启动期。</w:t>
      </w:r>
    </w:p>
    <w:p>
      <w:pPr>
        <w:spacing w:after="120"/>
        <w:ind w:firstLine="440"/>
      </w:pPr>
      <w:r>
        <w:rPr>
          <w:rFonts w:ascii="宋体" w:hAnsi="宋体" w:eastAsia="宋体"/>
        </w:rPr>
        <w:t>跨库操作通过应用层事务管理器协调。以称重调整为例，它需要同时写入交易域（称重记录）与商家域（批次克数），系统为两个域配置独立的事务管理器，并在服务方法上显式声明事务管理器名称，通过 Spring 的事务同步保证两者在同一个逻辑事务内提交或回滚。</w:t>
      </w:r>
    </w:p>
    <w:p>
      <w:pPr>
        <w:spacing w:before="200" w:after="120"/>
      </w:pPr>
      <w:r>
        <w:rPr>
          <w:rFonts w:ascii="黑体" w:hAnsi="黑体" w:eastAsia="黑体"/>
          <w:b/>
          <w:sz w:val="27"/>
        </w:rPr>
        <w:t>3.2 形式化建模：符号定义与一致性不变式</w:t>
      </w:r>
    </w:p>
    <w:p>
      <w:pPr>
        <w:spacing w:after="120"/>
        <w:ind w:firstLine="440"/>
      </w:pPr>
      <w:r>
        <w:rPr>
          <w:rFonts w:ascii="宋体" w:hAnsi="宋体" w:eastAsia="宋体"/>
        </w:rPr>
        <w:t xml:space="preserve">为精确描述一致性要求，首先定义符号。设 </w:t>
      </w:r>
      <w:r>
        <w:rPr>
          <w:rFonts w:ascii="Consolas" w:hAnsi="Consolas" w:eastAsia="Consolas"/>
          <w:sz w:val="19"/>
        </w:rPr>
        <w:t>b</w:t>
      </w:r>
      <w:r>
        <w:rPr>
          <w:rFonts w:ascii="宋体" w:hAnsi="宋体" w:eastAsia="宋体"/>
        </w:rPr>
        <w:t xml:space="preserve"> 为某个库存批次，</w:t>
      </w:r>
      <w:r>
        <w:rPr>
          <w:rFonts w:ascii="Consolas" w:hAnsi="Consolas" w:eastAsia="Consolas"/>
          <w:sz w:val="19"/>
        </w:rPr>
        <w:t>o</w:t>
      </w:r>
      <w:r>
        <w:rPr>
          <w:rFonts w:ascii="宋体" w:hAnsi="宋体" w:eastAsia="宋体"/>
        </w:rPr>
        <w:t xml:space="preserve"> 为某个子订单：</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宋体" w:hAnsi="宋体" w:eastAsia="宋体"/>
                <w:b/>
                <w:sz w:val="20"/>
              </w:rPr>
              <w:t>符号</w:t>
            </w:r>
          </w:p>
        </w:tc>
        <w:tc>
          <w:tcPr>
            <w:tcW w:type="dxa" w:w="4320"/>
          </w:tcPr>
          <w:p>
            <w:r/>
            <w:r>
              <w:rPr>
                <w:rFonts w:ascii="宋体" w:hAnsi="宋体" w:eastAsia="宋体"/>
                <w:b/>
                <w:sz w:val="20"/>
              </w:rPr>
              <w:t>含义</w:t>
            </w:r>
          </w:p>
        </w:tc>
      </w:tr>
      <w:tr>
        <w:tc>
          <w:tcPr>
            <w:tcW w:type="dxa" w:w="4320"/>
          </w:tcPr>
          <w:p>
            <w:r/>
            <w:r>
              <w:rPr>
                <w:rFonts w:ascii="Consolas" w:hAnsi="Consolas" w:eastAsia="Consolas"/>
                <w:sz w:val="18"/>
              </w:rPr>
              <w:t>avail(b)</w:t>
            </w:r>
          </w:p>
        </w:tc>
        <w:tc>
          <w:tcPr>
            <w:tcW w:type="dxa" w:w="4320"/>
          </w:tcPr>
          <w:p>
            <w:r/>
            <w:r>
              <w:rPr>
                <w:rFonts w:ascii="宋体" w:hAnsi="宋体" w:eastAsia="宋体"/>
                <w:sz w:val="20"/>
              </w:rPr>
              <w:t xml:space="preserve">批次 </w:t>
            </w:r>
            <w:r>
              <w:rPr>
                <w:rFonts w:ascii="Consolas" w:hAnsi="Consolas" w:eastAsia="Consolas"/>
                <w:sz w:val="18"/>
              </w:rPr>
              <w:t>b</w:t>
            </w:r>
            <w:r>
              <w:rPr>
                <w:rFonts w:ascii="宋体" w:hAnsi="宋体" w:eastAsia="宋体"/>
                <w:sz w:val="20"/>
              </w:rPr>
              <w:t xml:space="preserve"> 的可用克数</w:t>
            </w:r>
          </w:p>
        </w:tc>
      </w:tr>
      <w:tr>
        <w:tc>
          <w:tcPr>
            <w:tcW w:type="dxa" w:w="4320"/>
          </w:tcPr>
          <w:p>
            <w:r/>
            <w:r>
              <w:rPr>
                <w:rFonts w:ascii="Consolas" w:hAnsi="Consolas" w:eastAsia="Consolas"/>
                <w:sz w:val="18"/>
              </w:rPr>
              <w:t>resv(b)</w:t>
            </w:r>
          </w:p>
        </w:tc>
        <w:tc>
          <w:tcPr>
            <w:tcW w:type="dxa" w:w="4320"/>
          </w:tcPr>
          <w:p>
            <w:r/>
            <w:r>
              <w:rPr>
                <w:rFonts w:ascii="宋体" w:hAnsi="宋体" w:eastAsia="宋体"/>
                <w:sz w:val="20"/>
              </w:rPr>
              <w:t xml:space="preserve">批次 </w:t>
            </w:r>
            <w:r>
              <w:rPr>
                <w:rFonts w:ascii="Consolas" w:hAnsi="Consolas" w:eastAsia="Consolas"/>
                <w:sz w:val="18"/>
              </w:rPr>
              <w:t>b</w:t>
            </w:r>
            <w:r>
              <w:rPr>
                <w:rFonts w:ascii="宋体" w:hAnsi="宋体" w:eastAsia="宋体"/>
                <w:sz w:val="20"/>
              </w:rPr>
              <w:t xml:space="preserve"> 的已预占克数</w:t>
            </w:r>
          </w:p>
        </w:tc>
      </w:tr>
      <w:tr>
        <w:tc>
          <w:tcPr>
            <w:tcW w:type="dxa" w:w="4320"/>
          </w:tcPr>
          <w:p>
            <w:r/>
            <w:r>
              <w:rPr>
                <w:rFonts w:ascii="Consolas" w:hAnsi="Consolas" w:eastAsia="Consolas"/>
                <w:sz w:val="18"/>
              </w:rPr>
              <w:t>in(b)</w:t>
            </w:r>
          </w:p>
        </w:tc>
        <w:tc>
          <w:tcPr>
            <w:tcW w:type="dxa" w:w="4320"/>
          </w:tcPr>
          <w:p>
            <w:r/>
            <w:r>
              <w:rPr>
                <w:rFonts w:ascii="宋体" w:hAnsi="宋体" w:eastAsia="宋体"/>
                <w:sz w:val="20"/>
              </w:rPr>
              <w:t xml:space="preserve">批次 </w:t>
            </w:r>
            <w:r>
              <w:rPr>
                <w:rFonts w:ascii="Consolas" w:hAnsi="Consolas" w:eastAsia="Consolas"/>
                <w:sz w:val="18"/>
              </w:rPr>
              <w:t>b</w:t>
            </w:r>
            <w:r>
              <w:rPr>
                <w:rFonts w:ascii="宋体" w:hAnsi="宋体" w:eastAsia="宋体"/>
                <w:sz w:val="20"/>
              </w:rPr>
              <w:t xml:space="preserve"> 的累计入库净重</w:t>
            </w:r>
          </w:p>
        </w:tc>
      </w:tr>
      <w:tr>
        <w:tc>
          <w:tcPr>
            <w:tcW w:type="dxa" w:w="4320"/>
          </w:tcPr>
          <w:p>
            <w:r/>
            <w:r>
              <w:rPr>
                <w:rFonts w:ascii="Consolas" w:hAnsi="Consolas" w:eastAsia="Consolas"/>
                <w:sz w:val="18"/>
              </w:rPr>
              <w:t>shipped(b)</w:t>
            </w:r>
          </w:p>
        </w:tc>
        <w:tc>
          <w:tcPr>
            <w:tcW w:type="dxa" w:w="4320"/>
          </w:tcPr>
          <w:p>
            <w:r/>
            <w:r>
              <w:rPr>
                <w:rFonts w:ascii="宋体" w:hAnsi="宋体" w:eastAsia="宋体"/>
                <w:sz w:val="20"/>
              </w:rPr>
              <w:t xml:space="preserve">批次 </w:t>
            </w:r>
            <w:r>
              <w:rPr>
                <w:rFonts w:ascii="Consolas" w:hAnsi="Consolas" w:eastAsia="Consolas"/>
                <w:sz w:val="18"/>
              </w:rPr>
              <w:t>b</w:t>
            </w:r>
            <w:r>
              <w:rPr>
                <w:rFonts w:ascii="宋体" w:hAnsi="宋体" w:eastAsia="宋体"/>
                <w:sz w:val="20"/>
              </w:rPr>
              <w:t xml:space="preserve"> 的累计实际出库克数（以订单项实际称重为准，未称重时取预占克数）</w:t>
            </w:r>
          </w:p>
        </w:tc>
      </w:tr>
      <w:tr>
        <w:tc>
          <w:tcPr>
            <w:tcW w:type="dxa" w:w="4320"/>
          </w:tcPr>
          <w:p>
            <w:r/>
            <w:r>
              <w:rPr>
                <w:rFonts w:ascii="Consolas" w:hAnsi="Consolas" w:eastAsia="Consolas"/>
                <w:sz w:val="18"/>
              </w:rPr>
              <w:t>restocked(b)</w:t>
            </w:r>
          </w:p>
        </w:tc>
        <w:tc>
          <w:tcPr>
            <w:tcW w:type="dxa" w:w="4320"/>
          </w:tcPr>
          <w:p>
            <w:r/>
            <w:r>
              <w:rPr>
                <w:rFonts w:ascii="宋体" w:hAnsi="宋体" w:eastAsia="宋体"/>
                <w:sz w:val="20"/>
              </w:rPr>
              <w:t xml:space="preserve">批次 </w:t>
            </w:r>
            <w:r>
              <w:rPr>
                <w:rFonts w:ascii="Consolas" w:hAnsi="Consolas" w:eastAsia="Consolas"/>
                <w:sz w:val="18"/>
              </w:rPr>
              <w:t>b</w:t>
            </w:r>
            <w:r>
              <w:rPr>
                <w:rFonts w:ascii="宋体" w:hAnsi="宋体" w:eastAsia="宋体"/>
                <w:sz w:val="20"/>
              </w:rPr>
              <w:t xml:space="preserve"> 的累计退货回补克数</w:t>
            </w:r>
          </w:p>
        </w:tc>
      </w:tr>
      <w:tr>
        <w:tc>
          <w:tcPr>
            <w:tcW w:type="dxa" w:w="4320"/>
          </w:tcPr>
          <w:p>
            <w:r/>
            <w:r>
              <w:rPr>
                <w:rFonts w:ascii="Consolas" w:hAnsi="Consolas" w:eastAsia="Consolas"/>
                <w:sz w:val="18"/>
              </w:rPr>
              <w:t>Δ(b)</w:t>
            </w:r>
          </w:p>
        </w:tc>
        <w:tc>
          <w:tcPr>
            <w:tcW w:type="dxa" w:w="4320"/>
          </w:tcPr>
          <w:p>
            <w:r/>
            <w:r>
              <w:rPr>
                <w:rFonts w:ascii="宋体" w:hAnsi="宋体" w:eastAsia="宋体"/>
                <w:sz w:val="20"/>
              </w:rPr>
              <w:t xml:space="preserve">批次 </w:t>
            </w:r>
            <w:r>
              <w:rPr>
                <w:rFonts w:ascii="Consolas" w:hAnsi="Consolas" w:eastAsia="Consolas"/>
                <w:sz w:val="18"/>
              </w:rPr>
              <w:t>b</w:t>
            </w:r>
            <w:r>
              <w:rPr>
                <w:rFonts w:ascii="宋体" w:hAnsi="宋体" w:eastAsia="宋体"/>
                <w:sz w:val="20"/>
              </w:rPr>
              <w:t xml:space="preserve"> 的累计称重回补量（正数补扣、负数退回）</w:t>
            </w:r>
          </w:p>
        </w:tc>
      </w:tr>
      <w:tr>
        <w:tc>
          <w:tcPr>
            <w:tcW w:type="dxa" w:w="4320"/>
          </w:tcPr>
          <w:p>
            <w:r/>
            <w:r>
              <w:rPr>
                <w:rFonts w:ascii="Consolas" w:hAnsi="Consolas" w:eastAsia="Consolas"/>
                <w:sz w:val="18"/>
              </w:rPr>
              <w:t>prepaid_grams(o)</w:t>
            </w:r>
          </w:p>
        </w:tc>
        <w:tc>
          <w:tcPr>
            <w:tcW w:type="dxa" w:w="4320"/>
          </w:tcPr>
          <w:p>
            <w:r/>
            <w:r>
              <w:rPr>
                <w:rFonts w:ascii="宋体" w:hAnsi="宋体" w:eastAsia="宋体"/>
                <w:sz w:val="20"/>
              </w:rPr>
              <w:t xml:space="preserve">子订单 </w:t>
            </w:r>
            <w:r>
              <w:rPr>
                <w:rFonts w:ascii="Consolas" w:hAnsi="Consolas" w:eastAsia="Consolas"/>
                <w:sz w:val="18"/>
              </w:rPr>
              <w:t>o</w:t>
            </w:r>
            <w:r>
              <w:rPr>
                <w:rFonts w:ascii="宋体" w:hAnsi="宋体" w:eastAsia="宋体"/>
                <w:sz w:val="20"/>
              </w:rPr>
              <w:t xml:space="preserve"> 的预估克数（即订单项预占量之和）</w:t>
            </w:r>
          </w:p>
        </w:tc>
      </w:tr>
      <w:tr>
        <w:tc>
          <w:tcPr>
            <w:tcW w:type="dxa" w:w="4320"/>
          </w:tcPr>
          <w:p>
            <w:r/>
            <w:r>
              <w:rPr>
                <w:rFonts w:ascii="Consolas" w:hAnsi="Consolas" w:eastAsia="Consolas"/>
                <w:sz w:val="18"/>
              </w:rPr>
              <w:t>actual_grams(o)</w:t>
            </w:r>
          </w:p>
        </w:tc>
        <w:tc>
          <w:tcPr>
            <w:tcW w:type="dxa" w:w="4320"/>
          </w:tcPr>
          <w:p>
            <w:r/>
            <w:r>
              <w:rPr>
                <w:rFonts w:ascii="宋体" w:hAnsi="宋体" w:eastAsia="宋体"/>
                <w:sz w:val="20"/>
              </w:rPr>
              <w:t xml:space="preserve">子订单 </w:t>
            </w:r>
            <w:r>
              <w:rPr>
                <w:rFonts w:ascii="Consolas" w:hAnsi="Consolas" w:eastAsia="Consolas"/>
                <w:sz w:val="18"/>
              </w:rPr>
              <w:t>o</w:t>
            </w:r>
            <w:r>
              <w:rPr>
                <w:rFonts w:ascii="宋体" w:hAnsi="宋体" w:eastAsia="宋体"/>
                <w:sz w:val="20"/>
              </w:rPr>
              <w:t xml:space="preserve"> 的实际称重克数</w:t>
            </w:r>
          </w:p>
        </w:tc>
      </w:tr>
    </w:tbl>
    <w:p/>
    <w:p>
      <w:pPr>
        <w:spacing w:after="120"/>
        <w:ind w:firstLine="440"/>
      </w:pPr>
      <w:r>
        <w:rPr>
          <w:rFonts w:ascii="宋体" w:hAnsi="宋体" w:eastAsia="宋体"/>
        </w:rPr>
        <w:t>在此基础上，本文提出七条一致性不变式。</w:t>
      </w:r>
    </w:p>
    <w:p>
      <w:pPr>
        <w:spacing w:before="80" w:after="200"/>
        <w:ind w:left="360"/>
      </w:pPr>
      <w:r>
        <w:rPr>
          <w:rFonts w:ascii="Consolas" w:hAnsi="Consolas" w:eastAsia="Consolas"/>
          <w:sz w:val="19"/>
        </w:rPr>
        <w:t>I1（非负性）    ∀b:  avail(b) ≥ 0  ∧  resv(b) ≥ 0</w:t>
        <w:br/>
        <w:t>I2（预占约束）  ∀b:  resv(b) ≤ avail(b)</w:t>
        <w:br/>
        <w:t>I3（批次守恒）  ∀b:  avail(b) + resv(b) + shipped(b) − restocked(b) + Δ(b) = in(b)</w:t>
        <w:br/>
        <w:t>I4（订单项守恒）∀o:  Σ_items actual_grams = weighing_adjustments.actual_grams</w:t>
        <w:br/>
        <w:t>I5（金额守恒）  ∀o:  refund_amount + absorbed_amount = max(actual − prepaid, 0)</w:t>
        <w:br/>
        <w:t xml:space="preserve">                    且当 actual &lt; prepaid 时  refund_amount = prepaid − actual</w:t>
        <w:br/>
        <w:t>I6（粒度一致性）∀o:  Σ_items inventory_adjust_grams = inventory_adjust_grams(整单记录)</w:t>
        <w:br/>
        <w:t>I7（分摊无损）  ∀o:  Σ_batches share(b) = actual_grams − prepaid_grams</w:t>
      </w:r>
    </w:p>
    <w:p>
      <w:pPr>
        <w:spacing w:after="120"/>
        <w:ind w:firstLine="440"/>
      </w:pPr>
      <w:r>
        <w:rPr>
          <w:rFonts w:ascii="宋体" w:hAnsi="宋体" w:eastAsia="宋体"/>
          <w:b/>
        </w:rPr>
        <w:t>I1 与 I2 是安全底线</w:t>
      </w:r>
      <w:r>
        <w:rPr>
          <w:rFonts w:ascii="宋体" w:hAnsi="宋体" w:eastAsia="宋体"/>
        </w:rPr>
        <w:t>：负的可用克数意味着系统承诺了不存在的库存，这是最严重的库存缺陷。I2 进一步要求预占量不得超过可用量，防止同一批次的可用部分被重复承诺。</w:t>
      </w:r>
    </w:p>
    <w:p>
      <w:pPr>
        <w:spacing w:after="120"/>
        <w:ind w:firstLine="440"/>
      </w:pPr>
      <w:r>
        <w:rPr>
          <w:rFonts w:ascii="宋体" w:hAnsi="宋体" w:eastAsia="宋体"/>
          <w:b/>
        </w:rPr>
        <w:t>I3 是批次守恒的核心</w:t>
      </w:r>
      <w:r>
        <w:rPr>
          <w:rFonts w:ascii="宋体" w:hAnsi="宋体" w:eastAsia="宋体"/>
        </w:rPr>
        <w:t>。它要求任一批次的可用量、预占量、已出库量、已回补量与称重调整量之间的关系可以精确闭合。这条不变式把"账面"与"实物"联系起来：</w:t>
      </w:r>
      <w:r>
        <w:rPr>
          <w:rFonts w:ascii="Consolas" w:hAnsi="Consolas" w:eastAsia="Consolas"/>
          <w:sz w:val="19"/>
        </w:rPr>
        <w:t>in(b)</w:t>
      </w:r>
      <w:r>
        <w:rPr>
          <w:rFonts w:ascii="宋体" w:hAnsi="宋体" w:eastAsia="宋体"/>
        </w:rPr>
        <w:t xml:space="preserve"> 是实际入库的净重，等式右侧是恒定的事实，左侧的每一项都是系统维护的账面值，因此等式成立意味着账面与实物一致。</w:t>
      </w:r>
    </w:p>
    <w:p>
      <w:pPr>
        <w:spacing w:after="120"/>
        <w:ind w:firstLine="440"/>
      </w:pPr>
      <w:r>
        <w:rPr>
          <w:rFonts w:ascii="宋体" w:hAnsi="宋体" w:eastAsia="宋体"/>
          <w:b/>
        </w:rPr>
        <w:t>I4 与 I5 覆盖金额维度</w:t>
      </w:r>
      <w:r>
        <w:rPr>
          <w:rFonts w:ascii="宋体" w:hAnsi="宋体" w:eastAsia="宋体"/>
        </w:rPr>
        <w:t>。I4 要求整单的实际克数由各订单项汇总而来，不允许出现"整单有实际重量但订单项没有"的情形。I5 要求金额差额被完整分配给退款与平台承担两个科目，且当实际低于预估时退款额必须等于差额本身，不允许截留。</w:t>
      </w:r>
    </w:p>
    <w:p>
      <w:pPr>
        <w:spacing w:after="120"/>
        <w:ind w:firstLine="440"/>
      </w:pPr>
      <w:r>
        <w:rPr>
          <w:rFonts w:ascii="宋体" w:hAnsi="宋体" w:eastAsia="宋体"/>
          <w:b/>
        </w:rPr>
        <w:t>I6 与 I7 是本文的重点</w:t>
      </w:r>
      <w:r>
        <w:rPr>
          <w:rFonts w:ascii="宋体" w:hAnsi="宋体" w:eastAsia="宋体"/>
        </w:rPr>
        <w:t>，也是后面实验的核心判定依据。I6 要求订单项级的回补量之和等于整单记录的回补量，保证两个层级的口径不矛盾；I7 要求分摊到各批次的份额之和精确等于总差额，不允许因逐批取整而丢失克数。</w:t>
      </w:r>
    </w:p>
    <w:p>
      <w:pPr>
        <w:spacing w:after="120"/>
        <w:ind w:firstLine="440"/>
      </w:pPr>
      <w:r>
        <w:rPr>
          <w:rFonts w:ascii="宋体" w:hAnsi="宋体" w:eastAsia="宋体"/>
          <w:b/>
        </w:rPr>
        <w:t>I7 是实践中最易出错的一条。</w:t>
      </w:r>
      <w:r>
        <w:rPr>
          <w:rFonts w:ascii="宋体" w:hAnsi="宋体" w:eastAsia="宋体"/>
        </w:rPr>
        <w:t xml:space="preserve"> 直觉上的实现是这样的：差额为 Δ，各批次预占量为 </w:t>
      </w:r>
      <w:r>
        <w:rPr>
          <w:rFonts w:ascii="Consolas" w:hAnsi="Consolas" w:eastAsia="Consolas"/>
          <w:sz w:val="19"/>
        </w:rPr>
        <w:t>g₁, g₂, …, gₙ</w:t>
      </w:r>
      <w:r>
        <w:rPr>
          <w:rFonts w:ascii="宋体" w:hAnsi="宋体" w:eastAsia="宋体"/>
        </w:rPr>
        <w:t xml:space="preserve">，则各批次应分摊 </w:t>
      </w:r>
      <w:r>
        <w:rPr>
          <w:rFonts w:ascii="Consolas" w:hAnsi="Consolas" w:eastAsia="Consolas"/>
          <w:sz w:val="19"/>
        </w:rPr>
        <w:t>Δ · gᵢ / Σg</w:t>
      </w:r>
      <w:r>
        <w:rPr>
          <w:rFonts w:ascii="宋体" w:hAnsi="宋体" w:eastAsia="宋体"/>
        </w:rPr>
        <w:t>。但这一算式的结果未必是整数，而克数必须是整数。若对每个批次独立四舍五入，</w:t>
      </w:r>
      <w:r>
        <w:rPr>
          <w:rFonts w:ascii="Consolas" w:hAnsi="Consolas" w:eastAsia="Consolas"/>
          <w:sz w:val="19"/>
        </w:rPr>
        <w:t>Σ round(Δ · gᵢ / Σg)</w:t>
      </w:r>
      <w:r>
        <w:rPr>
          <w:rFonts w:ascii="宋体" w:hAnsi="宋体" w:eastAsia="宋体"/>
        </w:rPr>
        <w:t xml:space="preserve"> 未必等于 Δ。例如 Δ = 100、</w:t>
      </w:r>
      <w:r>
        <w:rPr>
          <w:rFonts w:ascii="Consolas" w:hAnsi="Consolas" w:eastAsia="Consolas"/>
          <w:sz w:val="19"/>
        </w:rPr>
        <w:t>g = (143, 143, 143, 143, 143, 143, 142)</w:t>
      </w:r>
      <w:r>
        <w:rPr>
          <w:rFonts w:ascii="宋体" w:hAnsi="宋体" w:eastAsia="宋体"/>
        </w:rPr>
        <w:t xml:space="preserve"> 时，各批次应分摊 14.33 克左右，独立取整后累计可能与 100 相差数个克数。</w:t>
      </w:r>
    </w:p>
    <w:p>
      <w:pPr>
        <w:spacing w:after="120"/>
        <w:ind w:firstLine="440"/>
      </w:pPr>
      <w:r>
        <w:rPr>
          <w:rFonts w:ascii="宋体" w:hAnsi="宋体" w:eastAsia="宋体"/>
        </w:rPr>
        <w:t>本文采用的兜底策略是：</w:t>
      </w:r>
      <w:r>
        <w:rPr>
          <w:rFonts w:ascii="宋体" w:hAnsi="宋体" w:eastAsia="宋体"/>
          <w:b/>
        </w:rPr>
        <w:t>前 n−1 个批次按比例取整，最后一个批次承担剩余量</w:t>
      </w:r>
      <w:r>
        <w:rPr>
          <w:rFonts w:ascii="宋体" w:hAnsi="宋体" w:eastAsia="宋体"/>
        </w:rPr>
        <w:t>，即</w:t>
      </w:r>
    </w:p>
    <w:p>
      <w:pPr>
        <w:spacing w:before="80" w:after="200"/>
        <w:ind w:left="360"/>
      </w:pPr>
      <w:r>
        <w:rPr>
          <w:rFonts w:ascii="Consolas" w:hAnsi="Consolas" w:eastAsia="Consolas"/>
          <w:sz w:val="19"/>
        </w:rPr>
        <w:t>share(bᵢ) = round(Δ · gᵢ / Σg)            i = 1..n−1</w:t>
        <w:br/>
        <w:t>share(bₙ) = Δ − Σ_{i&lt;n} share(bᵢ)</w:t>
      </w:r>
    </w:p>
    <w:p>
      <w:pPr>
        <w:spacing w:after="120"/>
        <w:ind w:firstLine="440"/>
      </w:pPr>
      <w:r>
        <w:rPr>
          <w:rFonts w:ascii="宋体" w:hAnsi="宋体" w:eastAsia="宋体"/>
        </w:rPr>
        <w:t xml:space="preserve">这一策略保证 I7 恒成立而不依赖巧合。该策略的实现位于 </w:t>
      </w:r>
      <w:r>
        <w:rPr>
          <w:rFonts w:ascii="Consolas" w:hAnsi="Consolas" w:eastAsia="Consolas"/>
          <w:sz w:val="19"/>
        </w:rPr>
        <w:t>WeighingAdjustmentService.applyGramDifference(...)</w:t>
      </w:r>
      <w:r>
        <w:rPr>
          <w:rFonts w:ascii="宋体" w:hAnsi="宋体" w:eastAsia="宋体"/>
        </w:rPr>
        <w:t>，并在实验 E2 中通过跨 7 批次的场景专门验证。</w:t>
      </w:r>
    </w:p>
    <w:p>
      <w:pPr>
        <w:spacing w:before="200" w:after="120"/>
      </w:pPr>
      <w:r>
        <w:rPr>
          <w:rFonts w:ascii="黑体" w:hAnsi="黑体" w:eastAsia="黑体"/>
          <w:b/>
          <w:sz w:val="27"/>
        </w:rPr>
        <w:t>3.3 状态机模型</w:t>
      </w:r>
    </w:p>
    <w:p>
      <w:pPr>
        <w:spacing w:after="120"/>
        <w:ind w:firstLine="440"/>
      </w:pPr>
      <w:r>
        <w:rPr>
          <w:rFonts w:ascii="宋体" w:hAnsi="宋体" w:eastAsia="宋体"/>
        </w:rPr>
        <w:t>状态机是"非法操作应被拒绝"这一要求的载体。在本场景中，最需要约束的是</w:t>
      </w:r>
      <w:r>
        <w:rPr>
          <w:rFonts w:ascii="宋体" w:hAnsi="宋体" w:eastAsia="宋体"/>
          <w:b/>
        </w:rPr>
        <w:t>称重调整的入口</w:t>
      </w:r>
      <w:r>
        <w:rPr>
          <w:rFonts w:ascii="宋体" w:hAnsi="宋体" w:eastAsia="宋体"/>
        </w:rPr>
        <w:t>与</w:t>
      </w:r>
      <w:r>
        <w:rPr>
          <w:rFonts w:ascii="宋体" w:hAnsi="宋体" w:eastAsia="宋体"/>
          <w:b/>
        </w:rPr>
        <w:t>库存预占的生命周期</w:t>
      </w:r>
      <w:r>
        <w:rPr>
          <w:rFonts w:ascii="宋体" w:hAnsi="宋体" w:eastAsia="宋体"/>
        </w:rPr>
        <w:t>。</w:t>
      </w:r>
    </w:p>
    <w:p>
      <w:pPr>
        <w:spacing w:after="120"/>
        <w:ind w:firstLine="440"/>
      </w:pPr>
      <w:r>
        <w:rPr>
          <w:rFonts w:ascii="宋体" w:hAnsi="宋体" w:eastAsia="宋体"/>
          <w:b/>
        </w:rPr>
        <w:t>子订单状态机</w:t>
      </w:r>
      <w:r>
        <w:rPr>
          <w:rFonts w:ascii="宋体" w:hAnsi="宋体" w:eastAsia="宋体"/>
        </w:rPr>
        <w:t>如下：</w:t>
      </w:r>
    </w:p>
    <w:p>
      <w:pPr>
        <w:spacing w:before="80" w:after="200"/>
        <w:ind w:left="360"/>
      </w:pPr>
      <w:r>
        <w:rPr>
          <w:rFonts w:ascii="Consolas" w:hAnsi="Consolas" w:eastAsia="Consolas"/>
          <w:sz w:val="19"/>
        </w:rPr>
        <w:t>PENDING_PAYMENT ──支付成功──▶ WAITING_PICKING ──拣货──▶ PICKED ──送达──▶ DELIVERED</w:t>
        <w:br/>
        <w:t xml:space="preserve">        │                                                    │</w:t>
        <w:br/>
        <w:t xml:space="preserve">        └──超时/取消──▶ CANCELLED                             └──退款完成──▶ REFUNDED</w:t>
      </w:r>
    </w:p>
    <w:p>
      <w:pPr>
        <w:spacing w:after="120"/>
        <w:ind w:firstLine="440"/>
      </w:pPr>
      <w:r>
        <w:rPr>
          <w:rFonts w:ascii="宋体" w:hAnsi="宋体" w:eastAsia="宋体"/>
          <w:b/>
        </w:rPr>
        <w:t>称重调整只允许在 `WAITING_PICKING`、`PICKED`、`DELIVERED` 三个状态下提交</w:t>
      </w:r>
      <w:r>
        <w:rPr>
          <w:rFonts w:ascii="宋体" w:hAnsi="宋体" w:eastAsia="宋体"/>
        </w:rPr>
        <w:t>。理由如下：</w:t>
      </w:r>
      <w:r>
        <w:rPr>
          <w:rFonts w:ascii="Consolas" w:hAnsi="Consolas" w:eastAsia="Consolas"/>
          <w:sz w:val="19"/>
        </w:rPr>
        <w:t>PENDING_PAYMENT</w:t>
      </w:r>
      <w:r>
        <w:rPr>
          <w:rFonts w:ascii="宋体" w:hAnsi="宋体" w:eastAsia="宋体"/>
        </w:rPr>
        <w:t xml:space="preserve"> 状态下用户尚未付款，不存在"实收与预估之差"；</w:t>
      </w:r>
      <w:r>
        <w:rPr>
          <w:rFonts w:ascii="Consolas" w:hAnsi="Consolas" w:eastAsia="Consolas"/>
          <w:sz w:val="19"/>
        </w:rPr>
        <w:t>CANCELLED</w:t>
      </w:r>
      <w:r>
        <w:rPr>
          <w:rFonts w:ascii="宋体" w:hAnsi="宋体" w:eastAsia="宋体"/>
        </w:rPr>
        <w:t xml:space="preserve"> 与 </w:t>
      </w:r>
      <w:r>
        <w:rPr>
          <w:rFonts w:ascii="Consolas" w:hAnsi="Consolas" w:eastAsia="Consolas"/>
          <w:sz w:val="19"/>
        </w:rPr>
        <w:t>REFUNDED</w:t>
      </w:r>
      <w:r>
        <w:rPr>
          <w:rFonts w:ascii="宋体" w:hAnsi="宋体" w:eastAsia="宋体"/>
        </w:rPr>
        <w:t xml:space="preserve"> 状态下订单已终止，调整无意义。同时，每个子订单最多允许一条称重调整记录，由唯一索引 </w:t>
      </w:r>
      <w:r>
        <w:rPr>
          <w:rFonts w:ascii="Consolas" w:hAnsi="Consolas" w:eastAsia="Consolas"/>
          <w:sz w:val="19"/>
        </w:rPr>
        <w:t>uk_weighing_order</w:t>
      </w:r>
      <w:r>
        <w:rPr>
          <w:rFonts w:ascii="宋体" w:hAnsi="宋体" w:eastAsia="宋体"/>
        </w:rPr>
        <w:t xml:space="preserve"> 在数据库层保证。</w:t>
      </w:r>
    </w:p>
    <w:p>
      <w:pPr>
        <w:spacing w:after="120"/>
        <w:ind w:firstLine="440"/>
      </w:pPr>
      <w:r>
        <w:rPr>
          <w:rFonts w:ascii="宋体" w:hAnsi="宋体" w:eastAsia="宋体"/>
          <w:b/>
        </w:rPr>
        <w:t>库存预占状态机</w:t>
      </w:r>
      <w:r>
        <w:rPr>
          <w:rFonts w:ascii="宋体" w:hAnsi="宋体" w:eastAsia="宋体"/>
        </w:rPr>
        <w:t>如下：</w:t>
      </w:r>
    </w:p>
    <w:p>
      <w:pPr>
        <w:spacing w:before="80" w:after="200"/>
        <w:ind w:left="360"/>
      </w:pPr>
      <w:r>
        <w:rPr>
          <w:rFonts w:ascii="Consolas" w:hAnsi="Consolas" w:eastAsia="Consolas"/>
          <w:sz w:val="19"/>
        </w:rPr>
        <w:t>ACTIVE ──支付成功（核销）──▶ 已扣减 avail 与 resv</w:t>
        <w:br/>
        <w:t xml:space="preserve">   │</w:t>
        <w:br/>
        <w:t xml:space="preserve">   └──超时未支付（释放）──▶ RELEASED（仅扣减 resv）</w:t>
      </w:r>
    </w:p>
    <w:p>
      <w:pPr>
        <w:spacing w:after="120"/>
        <w:ind w:firstLine="440"/>
      </w:pPr>
      <w:r>
        <w:rPr>
          <w:rFonts w:ascii="宋体" w:hAnsi="宋体" w:eastAsia="宋体"/>
        </w:rPr>
        <w:t>两条转换路径的语义不同：</w:t>
      </w:r>
      <w:r>
        <w:rPr>
          <w:rFonts w:ascii="宋体" w:hAnsi="宋体" w:eastAsia="宋体"/>
          <w:b/>
        </w:rPr>
        <w:t>核销</w:t>
      </w:r>
      <w:r>
        <w:rPr>
          <w:rFonts w:ascii="宋体" w:hAnsi="宋体" w:eastAsia="宋体"/>
        </w:rPr>
        <w:t>同时扣减可用量与预占量（因为商品真的要被发出去了），而</w:t>
      </w:r>
      <w:r>
        <w:rPr>
          <w:rFonts w:ascii="宋体" w:hAnsi="宋体" w:eastAsia="宋体"/>
          <w:b/>
        </w:rPr>
        <w:t>释放</w:t>
      </w:r>
      <w:r>
        <w:rPr>
          <w:rFonts w:ascii="宋体" w:hAnsi="宋体" w:eastAsia="宋体"/>
        </w:rPr>
        <w:t>只扣减预占量（商品回到可用池）。区分二者的必要性在于：若释放时误用核销逻辑，可用量会被多扣一次，导致库存凭空减少。</w:t>
      </w:r>
    </w:p>
    <w:p>
      <w:pPr>
        <w:spacing w:before="200" w:after="120"/>
      </w:pPr>
      <w:r>
        <w:rPr>
          <w:rFonts w:ascii="黑体" w:hAnsi="黑体" w:eastAsia="黑体"/>
          <w:b/>
          <w:sz w:val="27"/>
        </w:rPr>
        <w:t>3.4 三阶段一致性机制</w:t>
      </w:r>
    </w:p>
    <w:p>
      <w:pPr>
        <w:spacing w:after="120"/>
        <w:ind w:firstLine="440"/>
      </w:pPr>
      <w:r>
        <w:rPr>
          <w:rFonts w:ascii="宋体" w:hAnsi="宋体" w:eastAsia="宋体"/>
        </w:rPr>
        <w:t>综合上述不变式与状态机，本文设计的一致性机制可归纳为三个阶段。</w:t>
      </w:r>
    </w:p>
    <w:p>
      <w:pPr>
        <w:spacing w:after="120"/>
        <w:ind w:firstLine="440"/>
      </w:pPr>
      <w:r>
        <w:rPr>
          <w:rFonts w:ascii="宋体" w:hAnsi="宋体" w:eastAsia="宋体"/>
          <w:b/>
        </w:rPr>
        <w:t>阶段一：预占。</w:t>
      </w:r>
      <w:r>
        <w:rPr>
          <w:rFonts w:ascii="宋体" w:hAnsi="宋体" w:eastAsia="宋体"/>
        </w:rPr>
        <w:t xml:space="preserve"> 用户下单时，系统按预估克数从批次扣减可用量并增加预占量，同时记录批次分配明细。此阶段需保证两点：条件更新 </w:t>
      </w:r>
      <w:r>
        <w:rPr>
          <w:rFonts w:ascii="Consolas" w:hAnsi="Consolas" w:eastAsia="Consolas"/>
          <w:sz w:val="19"/>
        </w:rPr>
        <w:t>WHERE available_grams &gt;= ?</w:t>
      </w:r>
      <w:r>
        <w:rPr>
          <w:rFonts w:ascii="宋体" w:hAnsi="宋体" w:eastAsia="宋体"/>
        </w:rPr>
        <w:t xml:space="preserve"> 保证不会超卖；批次分配明细入库，为后续回补提供依据。</w:t>
      </w:r>
    </w:p>
    <w:p>
      <w:pPr>
        <w:spacing w:after="120"/>
        <w:ind w:firstLine="440"/>
      </w:pPr>
      <w:r>
        <w:rPr>
          <w:rFonts w:ascii="宋体" w:hAnsi="宋体" w:eastAsia="宋体"/>
          <w:b/>
        </w:rPr>
        <w:t>阶段二：核销。</w:t>
      </w:r>
      <w:r>
        <w:rPr>
          <w:rFonts w:ascii="宋体" w:hAnsi="宋体" w:eastAsia="宋体"/>
        </w:rPr>
        <w:t xml:space="preserve"> 支付成功后，系统同时扣减可用量与预占量，标记预占记录为已核销。此阶段的关键是</w:t>
      </w:r>
      <w:r>
        <w:rPr>
          <w:rFonts w:ascii="宋体" w:hAnsi="宋体" w:eastAsia="宋体"/>
          <w:b/>
        </w:rPr>
        <w:t>只允许核销一次</w:t>
      </w:r>
      <w:r>
        <w:rPr>
          <w:rFonts w:ascii="宋体" w:hAnsi="宋体" w:eastAsia="宋体"/>
        </w:rPr>
        <w:t>，通过预占记录的状态前置校验与行锁保证。</w:t>
      </w:r>
    </w:p>
    <w:p>
      <w:pPr>
        <w:spacing w:after="120"/>
        <w:ind w:firstLine="440"/>
      </w:pPr>
      <w:r>
        <w:rPr>
          <w:rFonts w:ascii="宋体" w:hAnsi="宋体" w:eastAsia="宋体"/>
          <w:b/>
        </w:rPr>
        <w:t>阶段三：回补。</w:t>
      </w:r>
      <w:r>
        <w:rPr>
          <w:rFonts w:ascii="宋体" w:hAnsi="宋体" w:eastAsia="宋体"/>
        </w:rPr>
        <w:t xml:space="preserve"> 分拣称重后，系统按实际克数与预占克数之差调整批次库存。这是本文的核心环节，其设计要点有三：</w:t>
      </w:r>
    </w:p>
    <w:p>
      <w:pPr>
        <w:pStyle w:val="ListNumber"/>
        <w:spacing w:after="40"/>
      </w:pPr>
      <w:r>
        <w:rPr>
          <w:rFonts w:ascii="宋体" w:hAnsi="宋体" w:eastAsia="宋体"/>
          <w:b/>
        </w:rPr>
        <w:t>金额与克数分离处理</w:t>
      </w:r>
      <w:r>
        <w:rPr>
          <w:rFonts w:ascii="宋体" w:hAnsi="宋体" w:eastAsia="宋体"/>
        </w:rPr>
        <w:t>。金额差额按"平台误差承担上限"规则判定为退款用户、平台吸收或转人工复核；克数差额则始终按实际值回补，不受金额规则影响。二者互不干扰。</w:t>
      </w:r>
    </w:p>
    <w:p>
      <w:pPr>
        <w:pStyle w:val="ListNumber"/>
        <w:spacing w:after="40"/>
      </w:pPr>
      <w:r>
        <w:rPr>
          <w:rFonts w:ascii="宋体" w:hAnsi="宋体" w:eastAsia="宋体"/>
          <w:b/>
        </w:rPr>
        <w:t>支持两种粒度</w:t>
      </w:r>
      <w:r>
        <w:rPr>
          <w:rFonts w:ascii="宋体" w:hAnsi="宋体" w:eastAsia="宋体"/>
        </w:rPr>
        <w:t>。既可提交整单实际克数（按订单整体分摊），也可提交逐项实际克数（按订单项各自分摊）。</w:t>
      </w:r>
    </w:p>
    <w:p>
      <w:pPr>
        <w:pStyle w:val="ListNumber"/>
        <w:spacing w:after="40"/>
      </w:pPr>
      <w:r>
        <w:rPr>
          <w:rFonts w:ascii="宋体" w:hAnsi="宋体" w:eastAsia="宋体"/>
          <w:b/>
        </w:rPr>
        <w:t>分摊无损</w:t>
      </w:r>
      <w:r>
        <w:rPr>
          <w:rFonts w:ascii="宋体" w:hAnsi="宋体" w:eastAsia="宋体"/>
        </w:rPr>
        <w:t>。无论哪种粒度，都采用 3.2 节的兜底策略保证 I7。</w:t>
      </w:r>
    </w:p>
    <w:p>
      <w:pPr>
        <w:spacing w:before="200" w:after="120"/>
      </w:pPr>
      <w:r>
        <w:rPr>
          <w:rFonts w:ascii="黑体" w:hAnsi="黑体" w:eastAsia="黑体"/>
          <w:b/>
          <w:sz w:val="27"/>
        </w:rPr>
        <w:t>3.5 幂等与并发控制</w:t>
      </w:r>
    </w:p>
    <w:p>
      <w:pPr>
        <w:spacing w:after="120"/>
        <w:ind w:firstLine="440"/>
      </w:pPr>
      <w:r>
        <w:rPr>
          <w:rFonts w:ascii="宋体" w:hAnsi="宋体" w:eastAsia="宋体"/>
        </w:rPr>
        <w:t>系统采用三种互补手段应对重复与并发。</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宋体" w:hAnsi="宋体" w:eastAsia="宋体"/>
                <w:b/>
                <w:sz w:val="20"/>
              </w:rPr>
              <w:t>手段</w:t>
            </w:r>
          </w:p>
        </w:tc>
        <w:tc>
          <w:tcPr>
            <w:tcW w:type="dxa" w:w="2880"/>
          </w:tcPr>
          <w:p>
            <w:r/>
            <w:r>
              <w:rPr>
                <w:rFonts w:ascii="宋体" w:hAnsi="宋体" w:eastAsia="宋体"/>
                <w:b/>
                <w:sz w:val="20"/>
              </w:rPr>
              <w:t>实现位置</w:t>
            </w:r>
          </w:p>
        </w:tc>
        <w:tc>
          <w:tcPr>
            <w:tcW w:type="dxa" w:w="2880"/>
          </w:tcPr>
          <w:p>
            <w:r/>
            <w:r>
              <w:rPr>
                <w:rFonts w:ascii="宋体" w:hAnsi="宋体" w:eastAsia="宋体"/>
                <w:b/>
                <w:sz w:val="20"/>
              </w:rPr>
              <w:t>作用</w:t>
            </w:r>
          </w:p>
        </w:tc>
      </w:tr>
      <w:tr>
        <w:tc>
          <w:tcPr>
            <w:tcW w:type="dxa" w:w="2880"/>
          </w:tcPr>
          <w:p>
            <w:r/>
            <w:r>
              <w:rPr>
                <w:rFonts w:ascii="宋体" w:hAnsi="宋体" w:eastAsia="宋体"/>
                <w:sz w:val="20"/>
              </w:rPr>
              <w:t>幂等键去重</w:t>
            </w:r>
          </w:p>
        </w:tc>
        <w:tc>
          <w:tcPr>
            <w:tcW w:type="dxa" w:w="2880"/>
          </w:tcPr>
          <w:p>
            <w:r/>
            <w:r>
              <w:rPr>
                <w:rFonts w:ascii="宋体" w:hAnsi="宋体" w:eastAsia="宋体"/>
                <w:sz w:val="20"/>
              </w:rPr>
              <w:t xml:space="preserve">各业务表 </w:t>
            </w:r>
            <w:r>
              <w:rPr>
                <w:rFonts w:ascii="Consolas" w:hAnsi="Consolas" w:eastAsia="Consolas"/>
                <w:sz w:val="18"/>
              </w:rPr>
              <w:t>idempotency_key</w:t>
            </w:r>
            <w:r>
              <w:rPr>
                <w:rFonts w:ascii="宋体" w:hAnsi="宋体" w:eastAsia="宋体"/>
                <w:sz w:val="20"/>
              </w:rPr>
              <w:t xml:space="preserve"> 唯一索引 + 写入前查询</w:t>
            </w:r>
          </w:p>
        </w:tc>
        <w:tc>
          <w:tcPr>
            <w:tcW w:type="dxa" w:w="2880"/>
          </w:tcPr>
          <w:p>
            <w:r/>
            <w:r>
              <w:rPr>
                <w:rFonts w:ascii="宋体" w:hAnsi="宋体" w:eastAsia="宋体"/>
                <w:sz w:val="20"/>
              </w:rPr>
              <w:t>顺序重放返回首次结果</w:t>
            </w:r>
          </w:p>
        </w:tc>
      </w:tr>
      <w:tr>
        <w:tc>
          <w:tcPr>
            <w:tcW w:type="dxa" w:w="2880"/>
          </w:tcPr>
          <w:p>
            <w:r/>
            <w:r>
              <w:rPr>
                <w:rFonts w:ascii="宋体" w:hAnsi="宋体" w:eastAsia="宋体"/>
                <w:sz w:val="20"/>
              </w:rPr>
              <w:t>悲观行锁</w:t>
            </w:r>
          </w:p>
        </w:tc>
        <w:tc>
          <w:tcPr>
            <w:tcW w:type="dxa" w:w="2880"/>
          </w:tcPr>
          <w:p>
            <w:r/>
            <w:r>
              <w:rPr>
                <w:rFonts w:ascii="宋体" w:hAnsi="宋体" w:eastAsia="宋体"/>
                <w:sz w:val="20"/>
              </w:rPr>
              <w:t xml:space="preserve">13 处 </w:t>
            </w:r>
            <w:r>
              <w:rPr>
                <w:rFonts w:ascii="Consolas" w:hAnsi="Consolas" w:eastAsia="Consolas"/>
                <w:sz w:val="18"/>
              </w:rPr>
              <w:t>SELECT ... FOR UPDATE</w:t>
            </w:r>
          </w:p>
        </w:tc>
        <w:tc>
          <w:tcPr>
            <w:tcW w:type="dxa" w:w="2880"/>
          </w:tcPr>
          <w:p>
            <w:r/>
            <w:r>
              <w:rPr>
                <w:rFonts w:ascii="宋体" w:hAnsi="宋体" w:eastAsia="宋体"/>
                <w:sz w:val="20"/>
              </w:rPr>
              <w:t>串行化同一实体的并发修改</w:t>
            </w:r>
          </w:p>
        </w:tc>
      </w:tr>
      <w:tr>
        <w:tc>
          <w:tcPr>
            <w:tcW w:type="dxa" w:w="2880"/>
          </w:tcPr>
          <w:p>
            <w:r/>
            <w:r>
              <w:rPr>
                <w:rFonts w:ascii="宋体" w:hAnsi="宋体" w:eastAsia="宋体"/>
                <w:sz w:val="20"/>
              </w:rPr>
              <w:t>条件更新</w:t>
            </w:r>
          </w:p>
        </w:tc>
        <w:tc>
          <w:tcPr>
            <w:tcW w:type="dxa" w:w="2880"/>
          </w:tcPr>
          <w:p>
            <w:r/>
            <w:r>
              <w:rPr>
                <w:rFonts w:ascii="宋体" w:hAnsi="宋体" w:eastAsia="宋体"/>
                <w:sz w:val="20"/>
              </w:rPr>
              <w:t xml:space="preserve">批次扣减 </w:t>
            </w:r>
            <w:r>
              <w:rPr>
                <w:rFonts w:ascii="Consolas" w:hAnsi="Consolas" w:eastAsia="Consolas"/>
                <w:sz w:val="18"/>
              </w:rPr>
              <w:t>WHERE available_grams &gt;= ?</w:t>
            </w:r>
          </w:p>
        </w:tc>
        <w:tc>
          <w:tcPr>
            <w:tcW w:type="dxa" w:w="2880"/>
          </w:tcPr>
          <w:p>
            <w:r/>
            <w:r>
              <w:rPr>
                <w:rFonts w:ascii="宋体" w:hAnsi="宋体" w:eastAsia="宋体"/>
                <w:sz w:val="20"/>
              </w:rPr>
              <w:t>库存不足时影响行数为 0，触发回滚</w:t>
            </w:r>
          </w:p>
        </w:tc>
      </w:tr>
    </w:tbl>
    <w:p/>
    <w:p>
      <w:pPr>
        <w:spacing w:after="120"/>
        <w:ind w:firstLine="440"/>
      </w:pPr>
      <w:r>
        <w:rPr>
          <w:rFonts w:ascii="宋体" w:hAnsi="宋体" w:eastAsia="宋体"/>
        </w:rPr>
        <w:t>三者的分工是明确的：</w:t>
      </w:r>
      <w:r>
        <w:rPr>
          <w:rFonts w:ascii="宋体" w:hAnsi="宋体" w:eastAsia="宋体"/>
          <w:b/>
        </w:rPr>
        <w:t>幂等键处理"用户重复点击"，悲观锁处理"同一实体的并发修改"，条件更新处理"资源不足时的正确拒绝"</w:t>
      </w:r>
      <w:r>
        <w:rPr>
          <w:rFonts w:ascii="宋体" w:hAnsi="宋体" w:eastAsia="宋体"/>
        </w:rPr>
        <w:t>。任何单一手段都不够：幂等键无法处理不同键指向同一实体的竞态（这正是实验 E3-c 验证的场景，由唯一约束兜底），条件更新无法处理"重复写入两条语义相同的记录"。</w:t>
      </w:r>
    </w:p>
    <w:p>
      <w:pPr>
        <w:spacing w:after="120"/>
        <w:ind w:firstLine="440"/>
      </w:pPr>
      <w:r>
        <w:rPr>
          <w:rFonts w:ascii="宋体" w:hAnsi="宋体" w:eastAsia="宋体"/>
        </w:rPr>
        <w:t>此外，条件更新的失败被设计为</w:t>
      </w:r>
      <w:r>
        <w:rPr>
          <w:rFonts w:ascii="宋体" w:hAnsi="宋体" w:eastAsia="宋体"/>
          <w:b/>
        </w:rPr>
        <w:t>正常路径而非异常</w:t>
      </w:r>
      <w:r>
        <w:rPr>
          <w:rFonts w:ascii="宋体" w:hAnsi="宋体" w:eastAsia="宋体"/>
        </w:rPr>
        <w:t>。当库存不足时，条件更新影响行数为 0，服务层据此抛出 409 冲突。这是"正确的拒绝"，而非系统缺陷——这一区分在实验 E4 的度量设计中有明确体现。</w:t>
      </w:r>
    </w:p>
    <w:p>
      <w:pPr>
        <w:spacing w:before="120" w:after="120"/>
      </w:pPr>
      <w:r>
        <w:rPr>
          <w:rFonts w:ascii="宋体" w:hAnsi="宋体" w:eastAsia="宋体"/>
          <w:color w:val="AAAAAA"/>
          <w:sz w:val="20"/>
        </w:rPr>
        <w:t>────────────────────────────────────────</w:t>
      </w:r>
    </w:p>
    <w:p>
      <w:pPr>
        <w:spacing w:before="280" w:after="120"/>
      </w:pPr>
      <w:r>
        <w:rPr>
          <w:rFonts w:ascii="黑体" w:hAnsi="黑体" w:eastAsia="黑体"/>
          <w:b/>
          <w:sz w:val="30"/>
        </w:rPr>
        <w:t>第四章 实验</w:t>
      </w:r>
    </w:p>
    <w:p>
      <w:pPr>
        <w:spacing w:before="200" w:after="120"/>
      </w:pPr>
      <w:r>
        <w:rPr>
          <w:rFonts w:ascii="黑体" w:hAnsi="黑体" w:eastAsia="黑体"/>
          <w:b/>
          <w:sz w:val="27"/>
        </w:rPr>
        <w:t>4.1 实验目的与研究问题</w:t>
      </w:r>
    </w:p>
    <w:p>
      <w:pPr>
        <w:spacing w:after="120"/>
        <w:ind w:firstLine="440"/>
      </w:pPr>
      <w:r>
        <w:rPr>
          <w:rFonts w:ascii="宋体" w:hAnsi="宋体" w:eastAsia="宋体"/>
        </w:rPr>
        <w:t>本章通过三组实验回答第一章提出的三个研究问题。对应关系如下：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宋体" w:hAnsi="宋体" w:eastAsia="宋体"/>
                <w:b/>
                <w:sz w:val="20"/>
              </w:rPr>
              <w:t>实验</w:t>
            </w:r>
          </w:p>
        </w:tc>
        <w:tc>
          <w:tcPr>
            <w:tcW w:type="dxa" w:w="2880"/>
          </w:tcPr>
          <w:p>
            <w:r/>
            <w:r>
              <w:rPr>
                <w:rFonts w:ascii="宋体" w:hAnsi="宋体" w:eastAsia="宋体"/>
                <w:b/>
                <w:sz w:val="20"/>
              </w:rPr>
              <w:t>支撑假设</w:t>
            </w:r>
          </w:p>
        </w:tc>
        <w:tc>
          <w:tcPr>
            <w:tcW w:type="dxa" w:w="2880"/>
          </w:tcPr>
          <w:p>
            <w:r/>
            <w:r>
              <w:rPr>
                <w:rFonts w:ascii="宋体" w:hAnsi="宋体" w:eastAsia="宋体"/>
                <w:b/>
                <w:sz w:val="20"/>
              </w:rPr>
              <w:t>研究问题</w:t>
            </w:r>
          </w:p>
        </w:tc>
      </w:tr>
      <w:tr>
        <w:tc>
          <w:tcPr>
            <w:tcW w:type="dxa" w:w="2880"/>
          </w:tcPr>
          <w:p>
            <w:r/>
            <w:r>
              <w:rPr>
                <w:rFonts w:ascii="宋体" w:hAnsi="宋体" w:eastAsia="宋体"/>
                <w:sz w:val="20"/>
              </w:rPr>
              <w:t>E1 不变式随机回归</w:t>
            </w:r>
          </w:p>
        </w:tc>
        <w:tc>
          <w:tcPr>
            <w:tcW w:type="dxa" w:w="2880"/>
          </w:tcPr>
          <w:p>
            <w:r/>
            <w:r>
              <w:rPr>
                <w:rFonts w:ascii="宋体" w:hAnsi="宋体" w:eastAsia="宋体"/>
                <w:sz w:val="20"/>
              </w:rPr>
              <w:t>H1：三阶段机制可在任意合法操作序列下保持全部不变式成立</w:t>
            </w:r>
          </w:p>
        </w:tc>
        <w:tc>
          <w:tcPr>
            <w:tcW w:type="dxa" w:w="2880"/>
          </w:tcPr>
          <w:p>
            <w:r/>
            <w:r>
              <w:rPr>
                <w:rFonts w:ascii="宋体" w:hAnsi="宋体" w:eastAsia="宋体"/>
                <w:sz w:val="20"/>
              </w:rPr>
              <w:t>RQ1</w:t>
            </w:r>
          </w:p>
        </w:tc>
      </w:tr>
      <w:tr>
        <w:tc>
          <w:tcPr>
            <w:tcW w:type="dxa" w:w="2880"/>
          </w:tcPr>
          <w:p>
            <w:r/>
            <w:r>
              <w:rPr>
                <w:rFonts w:ascii="宋体" w:hAnsi="宋体" w:eastAsia="宋体"/>
                <w:sz w:val="20"/>
              </w:rPr>
              <w:t>E2 分摊粒度对照</w:t>
            </w:r>
          </w:p>
        </w:tc>
        <w:tc>
          <w:tcPr>
            <w:tcW w:type="dxa" w:w="2880"/>
          </w:tcPr>
          <w:p>
            <w:r/>
            <w:r>
              <w:rPr>
                <w:rFonts w:ascii="宋体" w:hAnsi="宋体" w:eastAsia="宋体"/>
                <w:sz w:val="20"/>
              </w:rPr>
              <w:t>H2：逐项回补误差为零，整单分摊存在可测量偏差</w:t>
            </w:r>
          </w:p>
        </w:tc>
        <w:tc>
          <w:tcPr>
            <w:tcW w:type="dxa" w:w="2880"/>
          </w:tcPr>
          <w:p>
            <w:r/>
            <w:r>
              <w:rPr>
                <w:rFonts w:ascii="宋体" w:hAnsi="宋体" w:eastAsia="宋体"/>
                <w:sz w:val="20"/>
              </w:rPr>
              <w:t>RQ2</w:t>
            </w:r>
          </w:p>
        </w:tc>
      </w:tr>
      <w:tr>
        <w:tc>
          <w:tcPr>
            <w:tcW w:type="dxa" w:w="2880"/>
          </w:tcPr>
          <w:p>
            <w:r/>
            <w:r>
              <w:rPr>
                <w:rFonts w:ascii="宋体" w:hAnsi="宋体" w:eastAsia="宋体"/>
                <w:sz w:val="20"/>
              </w:rPr>
              <w:t>E3 幂等性实验</w:t>
            </w:r>
          </w:p>
        </w:tc>
        <w:tc>
          <w:tcPr>
            <w:tcW w:type="dxa" w:w="2880"/>
          </w:tcPr>
          <w:p>
            <w:r/>
            <w:r>
              <w:rPr>
                <w:rFonts w:ascii="宋体" w:hAnsi="宋体" w:eastAsia="宋体"/>
                <w:sz w:val="20"/>
              </w:rPr>
              <w:t>H3：幂等键配合唯一约束使有效变更次数恒为 1</w:t>
            </w:r>
          </w:p>
        </w:tc>
        <w:tc>
          <w:tcPr>
            <w:tcW w:type="dxa" w:w="2880"/>
          </w:tcPr>
          <w:p>
            <w:r/>
            <w:r>
              <w:rPr>
                <w:rFonts w:ascii="宋体" w:hAnsi="宋体" w:eastAsia="宋体"/>
                <w:sz w:val="20"/>
              </w:rPr>
              <w:t>RQ3</w:t>
            </w:r>
          </w:p>
        </w:tc>
      </w:tr>
    </w:tbl>
    <w:p/>
    <w:p>
      <w:pPr>
        <w:spacing w:after="120"/>
        <w:ind w:firstLine="440"/>
      </w:pPr>
      <w:r>
        <w:rPr>
          <w:rFonts w:ascii="宋体" w:hAnsi="宋体" w:eastAsia="宋体"/>
        </w:rPr>
        <w:t>各假设的证伪条件在实验设计阶段即已明确：E1 出现任一不变式违反即证伪 H1；E2 两种粒度无差异即证伪 H2；E3 出现有效变更次数大于 1 即证伪 H3。</w:t>
      </w:r>
      <w:r>
        <w:rPr>
          <w:rFonts w:ascii="宋体" w:hAnsi="宋体" w:eastAsia="宋体"/>
          <w:b/>
        </w:rPr>
        <w:t>预先声明证伪条件</w:t>
      </w:r>
      <w:r>
        <w:rPr>
          <w:rFonts w:ascii="宋体" w:hAnsi="宋体" w:eastAsia="宋体"/>
        </w:rPr>
        <w:t>是本节实验设计的一项原则，其目的是避免事后挑选有利结果。</w:t>
      </w:r>
    </w:p>
    <w:p>
      <w:pPr>
        <w:spacing w:before="200" w:after="120"/>
      </w:pPr>
      <w:r>
        <w:rPr>
          <w:rFonts w:ascii="黑体" w:hAnsi="黑体" w:eastAsia="黑体"/>
          <w:b/>
          <w:sz w:val="27"/>
        </w:rPr>
        <w:t>4.2 实验环境与可复现性</w:t>
      </w:r>
    </w:p>
    <w:p>
      <w:pPr>
        <w:spacing w:after="120"/>
        <w:ind w:firstLine="440"/>
      </w:pPr>
      <w:r>
        <w:rPr>
          <w:rFonts w:ascii="宋体" w:hAnsi="宋体" w:eastAsia="宋体"/>
        </w:rPr>
        <w:t>实验环境如下表所示。</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宋体" w:hAnsi="宋体" w:eastAsia="宋体"/>
                <w:b/>
                <w:sz w:val="20"/>
              </w:rPr>
              <w:t>项</w:t>
            </w:r>
          </w:p>
        </w:tc>
        <w:tc>
          <w:tcPr>
            <w:tcW w:type="dxa" w:w="4320"/>
          </w:tcPr>
          <w:p>
            <w:r/>
            <w:r>
              <w:rPr>
                <w:rFonts w:ascii="宋体" w:hAnsi="宋体" w:eastAsia="宋体"/>
                <w:b/>
                <w:sz w:val="20"/>
              </w:rPr>
              <w:t>配置</w:t>
            </w:r>
          </w:p>
        </w:tc>
      </w:tr>
      <w:tr>
        <w:tc>
          <w:tcPr>
            <w:tcW w:type="dxa" w:w="4320"/>
          </w:tcPr>
          <w:p>
            <w:r/>
            <w:r>
              <w:rPr>
                <w:rFonts w:ascii="宋体" w:hAnsi="宋体" w:eastAsia="宋体"/>
                <w:sz w:val="20"/>
              </w:rPr>
              <w:t>操作系统</w:t>
            </w:r>
          </w:p>
        </w:tc>
        <w:tc>
          <w:tcPr>
            <w:tcW w:type="dxa" w:w="4320"/>
          </w:tcPr>
          <w:p>
            <w:r/>
            <w:r>
              <w:rPr>
                <w:rFonts w:ascii="宋体" w:hAnsi="宋体" w:eastAsia="宋体"/>
                <w:sz w:val="20"/>
              </w:rPr>
              <w:t>Windows</w:t>
            </w:r>
          </w:p>
        </w:tc>
      </w:tr>
      <w:tr>
        <w:tc>
          <w:tcPr>
            <w:tcW w:type="dxa" w:w="4320"/>
          </w:tcPr>
          <w:p>
            <w:r/>
            <w:r>
              <w:rPr>
                <w:rFonts w:ascii="宋体" w:hAnsi="宋体" w:eastAsia="宋体"/>
                <w:sz w:val="20"/>
              </w:rPr>
              <w:t>JDK</w:t>
            </w:r>
          </w:p>
        </w:tc>
        <w:tc>
          <w:tcPr>
            <w:tcW w:type="dxa" w:w="4320"/>
          </w:tcPr>
          <w:p>
            <w:r/>
            <w:r>
              <w:rPr>
                <w:rFonts w:ascii="宋体" w:hAnsi="宋体" w:eastAsia="宋体"/>
                <w:sz w:val="20"/>
              </w:rPr>
              <w:t>17</w:t>
            </w:r>
          </w:p>
        </w:tc>
      </w:tr>
      <w:tr>
        <w:tc>
          <w:tcPr>
            <w:tcW w:type="dxa" w:w="4320"/>
          </w:tcPr>
          <w:p>
            <w:r/>
            <w:r>
              <w:rPr>
                <w:rFonts w:ascii="宋体" w:hAnsi="宋体" w:eastAsia="宋体"/>
                <w:sz w:val="20"/>
              </w:rPr>
              <w:t>构建工具</w:t>
            </w:r>
          </w:p>
        </w:tc>
        <w:tc>
          <w:tcPr>
            <w:tcW w:type="dxa" w:w="4320"/>
          </w:tcPr>
          <w:p>
            <w:r/>
            <w:r>
              <w:rPr>
                <w:rFonts w:ascii="宋体" w:hAnsi="宋体" w:eastAsia="宋体"/>
                <w:sz w:val="20"/>
              </w:rPr>
              <w:t>Maven 3.9.11</w:t>
            </w:r>
          </w:p>
        </w:tc>
      </w:tr>
      <w:tr>
        <w:tc>
          <w:tcPr>
            <w:tcW w:type="dxa" w:w="4320"/>
          </w:tcPr>
          <w:p>
            <w:r/>
            <w:r>
              <w:rPr>
                <w:rFonts w:ascii="宋体" w:hAnsi="宋体" w:eastAsia="宋体"/>
                <w:sz w:val="20"/>
              </w:rPr>
              <w:t>数据库</w:t>
            </w:r>
          </w:p>
        </w:tc>
        <w:tc>
          <w:tcPr>
            <w:tcW w:type="dxa" w:w="4320"/>
          </w:tcPr>
          <w:p>
            <w:r/>
            <w:r>
              <w:rPr>
                <w:rFonts w:ascii="宋体" w:hAnsi="宋体" w:eastAsia="宋体"/>
                <w:sz w:val="20"/>
              </w:rPr>
              <w:t>MySQL 8.0.46（端口 3307），6 个库共 102 张表</w:t>
            </w:r>
          </w:p>
        </w:tc>
      </w:tr>
      <w:tr>
        <w:tc>
          <w:tcPr>
            <w:tcW w:type="dxa" w:w="4320"/>
          </w:tcPr>
          <w:p>
            <w:r/>
            <w:r>
              <w:rPr>
                <w:rFonts w:ascii="宋体" w:hAnsi="宋体" w:eastAsia="宋体"/>
                <w:sz w:val="20"/>
              </w:rPr>
              <w:t>应用框架</w:t>
            </w:r>
          </w:p>
        </w:tc>
        <w:tc>
          <w:tcPr>
            <w:tcW w:type="dxa" w:w="4320"/>
          </w:tcPr>
          <w:p>
            <w:r/>
            <w:r>
              <w:rPr>
                <w:rFonts w:ascii="宋体" w:hAnsi="宋体" w:eastAsia="宋体"/>
                <w:sz w:val="20"/>
              </w:rPr>
              <w:t>Spring Boot 3.3.5</w:t>
            </w:r>
          </w:p>
        </w:tc>
      </w:tr>
      <w:tr>
        <w:tc>
          <w:tcPr>
            <w:tcW w:type="dxa" w:w="4320"/>
          </w:tcPr>
          <w:p>
            <w:r/>
            <w:r>
              <w:rPr>
                <w:rFonts w:ascii="宋体" w:hAnsi="宋体" w:eastAsia="宋体"/>
                <w:sz w:val="20"/>
              </w:rPr>
              <w:t>数据库版本</w:t>
            </w:r>
          </w:p>
        </w:tc>
        <w:tc>
          <w:tcPr>
            <w:tcW w:type="dxa" w:w="4320"/>
          </w:tcPr>
          <w:p>
            <w:r/>
            <w:r>
              <w:rPr>
                <w:rFonts w:ascii="宋体" w:hAnsi="宋体" w:eastAsia="宋体"/>
                <w:sz w:val="20"/>
              </w:rPr>
              <w:t>Flyway v47</w:t>
            </w:r>
          </w:p>
        </w:tc>
      </w:tr>
      <w:tr>
        <w:tc>
          <w:tcPr>
            <w:tcW w:type="dxa" w:w="4320"/>
          </w:tcPr>
          <w:p>
            <w:r/>
            <w:r>
              <w:rPr>
                <w:rFonts w:ascii="宋体" w:hAnsi="宋体" w:eastAsia="宋体"/>
                <w:sz w:val="20"/>
              </w:rPr>
              <w:t>测试框架</w:t>
            </w:r>
          </w:p>
        </w:tc>
        <w:tc>
          <w:tcPr>
            <w:tcW w:type="dxa" w:w="4320"/>
          </w:tcPr>
          <w:p>
            <w:r/>
            <w:r>
              <w:rPr>
                <w:rFonts w:ascii="宋体" w:hAnsi="宋体" w:eastAsia="宋体"/>
                <w:sz w:val="20"/>
              </w:rPr>
              <w:t>JUnit 5 + Spring Boot Test（</w:t>
            </w:r>
            <w:r>
              <w:rPr>
                <w:rFonts w:ascii="Consolas" w:hAnsi="Consolas" w:eastAsia="Consolas"/>
                <w:sz w:val="18"/>
              </w:rPr>
              <w:t>@SpringBootTest</w:t>
            </w:r>
            <w:r>
              <w:rPr>
                <w:rFonts w:ascii="宋体" w:hAnsi="宋体" w:eastAsia="宋体"/>
                <w:sz w:val="20"/>
              </w:rPr>
              <w:t>）</w:t>
            </w:r>
          </w:p>
        </w:tc>
      </w:tr>
      <w:tr>
        <w:tc>
          <w:tcPr>
            <w:tcW w:type="dxa" w:w="4320"/>
          </w:tcPr>
          <w:p>
            <w:r/>
            <w:r>
              <w:rPr>
                <w:rFonts w:ascii="宋体" w:hAnsi="宋体" w:eastAsia="宋体"/>
                <w:sz w:val="20"/>
              </w:rPr>
              <w:t>并发工具</w:t>
            </w:r>
          </w:p>
        </w:tc>
        <w:tc>
          <w:tcPr>
            <w:tcW w:type="dxa" w:w="4320"/>
          </w:tcPr>
          <w:p>
            <w:r/>
            <w:r>
              <w:rPr>
                <w:rFonts w:ascii="Consolas" w:hAnsi="Consolas" w:eastAsia="Consolas"/>
                <w:sz w:val="18"/>
              </w:rPr>
              <w:t>ExecutorService</w:t>
            </w:r>
            <w:r>
              <w:rPr>
                <w:rFonts w:ascii="宋体" w:hAnsi="宋体" w:eastAsia="宋体"/>
                <w:sz w:val="20"/>
              </w:rPr>
              <w:t xml:space="preserve"> + </w:t>
            </w:r>
            <w:r>
              <w:rPr>
                <w:rFonts w:ascii="Consolas" w:hAnsi="Consolas" w:eastAsia="Consolas"/>
                <w:sz w:val="18"/>
              </w:rPr>
              <w:t>CountDownLatch</w:t>
            </w:r>
          </w:p>
        </w:tc>
      </w:tr>
    </w:tbl>
    <w:p/>
    <w:p>
      <w:pPr>
        <w:spacing w:after="120"/>
        <w:ind w:firstLine="440"/>
      </w:pPr>
      <w:r>
        <w:rPr>
          <w:rFonts w:ascii="宋体" w:hAnsi="宋体" w:eastAsia="宋体"/>
        </w:rPr>
        <w:t>三项可复现性措施值得说明。</w:t>
      </w:r>
    </w:p>
    <w:p>
      <w:pPr>
        <w:spacing w:after="120"/>
        <w:ind w:firstLine="440"/>
      </w:pPr>
      <w:r>
        <w:rPr>
          <w:rFonts w:ascii="宋体" w:hAnsi="宋体" w:eastAsia="宋体"/>
          <w:b/>
        </w:rPr>
        <w:t>第一，实验在真实数据库上执行</w:t>
      </w:r>
      <w:r>
        <w:rPr>
          <w:rFonts w:ascii="宋体" w:hAnsi="宋体" w:eastAsia="宋体"/>
        </w:rPr>
        <w:t>，而非内存数据库。原因是本文考察的机制依赖 MySQL InnoDB 的行锁语义与唯一约束行为，内存数据库（如 H2）的实现差异会使结论失去意义。</w:t>
      </w:r>
    </w:p>
    <w:p>
      <w:pPr>
        <w:spacing w:after="120"/>
        <w:ind w:firstLine="440"/>
      </w:pPr>
      <w:r>
        <w:rPr>
          <w:rFonts w:ascii="宋体" w:hAnsi="宋体" w:eastAsia="宋体"/>
          <w:b/>
        </w:rPr>
        <w:t>第二，E1 使用固定随机种子 `20260914L`。</w:t>
      </w:r>
      <w:r>
        <w:rPr>
          <w:rFonts w:ascii="宋体" w:hAnsi="宋体" w:eastAsia="宋体"/>
        </w:rPr>
        <w:t xml:space="preserve"> 这一种子生成全部的订单结构、批次分配与偏差组合，因此任何一次失败都可被完整复现，避免了"随机测试无法复现"的常见困境。</w:t>
      </w:r>
    </w:p>
    <w:p>
      <w:pPr>
        <w:spacing w:after="120"/>
        <w:ind w:firstLine="440"/>
      </w:pPr>
      <w:r>
        <w:rPr>
          <w:rFonts w:ascii="宋体" w:hAnsi="宋体" w:eastAsia="宋体"/>
          <w:b/>
        </w:rPr>
        <w:t>第三，实验类在缺少数据库凭据时整体跳过。</w:t>
      </w:r>
      <w:r>
        <w:rPr>
          <w:rFonts w:ascii="宋体" w:hAnsi="宋体" w:eastAsia="宋体"/>
        </w:rPr>
        <w:t xml:space="preserve"> 通过 </w:t>
      </w:r>
      <w:r>
        <w:rPr>
          <w:rFonts w:ascii="Consolas" w:hAnsi="Consolas" w:eastAsia="Consolas"/>
          <w:sz w:val="19"/>
        </w:rPr>
        <w:t>@EnabledIfEnvironmentVariable</w:t>
      </w:r>
      <w:r>
        <w:rPr>
          <w:rFonts w:ascii="宋体" w:hAnsi="宋体" w:eastAsia="宋体"/>
        </w:rPr>
        <w:t xml:space="preserve"> 注解实现，使得 </w:t>
      </w:r>
      <w:r>
        <w:rPr>
          <w:rFonts w:ascii="Consolas" w:hAnsi="Consolas" w:eastAsia="Consolas"/>
          <w:sz w:val="19"/>
        </w:rPr>
        <w:t>mvn test</w:t>
      </w:r>
      <w:r>
        <w:rPr>
          <w:rFonts w:ascii="宋体" w:hAnsi="宋体" w:eastAsia="宋体"/>
        </w:rPr>
        <w:t xml:space="preserve"> 在无数据库的环境下仍能通过，既方便了在任意机器上做冒烟验证，也明确了实验结论对环境的前提依赖。</w:t>
      </w:r>
    </w:p>
    <w:p>
      <w:pPr>
        <w:spacing w:before="200" w:after="120"/>
      </w:pPr>
      <w:r>
        <w:rPr>
          <w:rFonts w:ascii="黑体" w:hAnsi="黑体" w:eastAsia="黑体"/>
          <w:b/>
          <w:sz w:val="27"/>
        </w:rPr>
        <w:t>4.3 实验数据构造策略</w:t>
      </w:r>
    </w:p>
    <w:p>
      <w:pPr>
        <w:spacing w:after="120"/>
        <w:ind w:firstLine="440"/>
      </w:pPr>
      <w:r>
        <w:rPr>
          <w:rFonts w:ascii="宋体" w:hAnsi="宋体" w:eastAsia="宋体"/>
        </w:rPr>
        <w:t>本实验的被测对象是</w:t>
      </w:r>
      <w:r>
        <w:rPr>
          <w:rFonts w:ascii="宋体" w:hAnsi="宋体" w:eastAsia="宋体"/>
          <w:b/>
        </w:rPr>
        <w:t>称重结算与库存回补机制本身</w:t>
      </w:r>
      <w:r>
        <w:rPr>
          <w:rFonts w:ascii="宋体" w:hAnsi="宋体" w:eastAsia="宋体"/>
        </w:rPr>
        <w:t>，而非下单与支付链路。因此实验的订单、订单项与批次分配等前置数据</w:t>
      </w:r>
      <w:r>
        <w:rPr>
          <w:rFonts w:ascii="宋体" w:hAnsi="宋体" w:eastAsia="宋体"/>
          <w:b/>
        </w:rPr>
        <w:t>由测试夹具 `ExperimentFixture` 直接构造</w:t>
      </w:r>
      <w:r>
        <w:rPr>
          <w:rFonts w:ascii="宋体" w:hAnsi="宋体" w:eastAsia="宋体"/>
        </w:rPr>
        <w:t>，不重复走一遍完整的下单支付流程。</w:t>
      </w:r>
    </w:p>
    <w:p>
      <w:pPr>
        <w:spacing w:after="120"/>
        <w:ind w:firstLine="440"/>
      </w:pPr>
      <w:r>
        <w:rPr>
          <w:rFonts w:ascii="宋体" w:hAnsi="宋体" w:eastAsia="宋体"/>
        </w:rPr>
        <w:t>这一选择需要在方法论上做出说明。其代价是：实验结论不涵盖下单与支付链路的正确性。其收益是：实验完全可控且可重复，同一随机种子能复现同样的批次分配与偏差组合。作为补偿，本系统另有一组 96 项端到端测试覆盖完整的下单与支付链路，两者形成互补而非替代关系。</w:t>
      </w:r>
    </w:p>
    <w:p>
      <w:pPr>
        <w:spacing w:after="120"/>
        <w:ind w:firstLine="440"/>
      </w:pPr>
      <w:r>
        <w:rPr>
          <w:rFonts w:ascii="宋体" w:hAnsi="宋体" w:eastAsia="宋体"/>
        </w:rPr>
        <w:t xml:space="preserve">为避免实验数据污染既有数据，所有实验数据带 </w:t>
      </w:r>
      <w:r>
        <w:rPr>
          <w:rFonts w:ascii="Consolas" w:hAnsi="Consolas" w:eastAsia="Consolas"/>
          <w:sz w:val="19"/>
        </w:rPr>
        <w:t>EXP-</w:t>
      </w:r>
      <w:r>
        <w:rPr>
          <w:rFonts w:ascii="宋体" w:hAnsi="宋体" w:eastAsia="宋体"/>
        </w:rPr>
        <w:t xml:space="preserve"> 前缀，并在每个用例结束后按前缀精确清理。</w:t>
      </w:r>
    </w:p>
    <w:p>
      <w:pPr>
        <w:spacing w:before="120" w:after="120"/>
      </w:pPr>
      <w:r>
        <w:rPr>
          <w:rFonts w:ascii="宋体" w:hAnsi="宋体" w:eastAsia="宋体"/>
          <w:color w:val="AAAAAA"/>
          <w:sz w:val="20"/>
        </w:rPr>
        <w:t>────────────────────────────────────────</w:t>
      </w:r>
    </w:p>
    <w:p>
      <w:pPr>
        <w:spacing w:before="200" w:after="120"/>
      </w:pPr>
      <w:r>
        <w:rPr>
          <w:rFonts w:ascii="黑体" w:hAnsi="黑体" w:eastAsia="黑体"/>
          <w:b/>
          <w:sz w:val="27"/>
        </w:rPr>
        <w:t>4.4 E1 不变式随机回归</w:t>
      </w:r>
    </w:p>
    <w:p>
      <w:pPr>
        <w:spacing w:before="200" w:after="120"/>
      </w:pPr>
      <w:r>
        <w:rPr>
          <w:rFonts w:ascii="黑体" w:hAnsi="黑体" w:eastAsia="黑体"/>
          <w:b/>
          <w:sz w:val="25"/>
        </w:rPr>
        <w:t>4.4.1 实验方法</w:t>
      </w:r>
    </w:p>
    <w:p>
      <w:pPr>
        <w:spacing w:after="120"/>
        <w:ind w:firstLine="440"/>
      </w:pPr>
      <w:r>
        <w:rPr>
          <w:rFonts w:ascii="宋体" w:hAnsi="宋体" w:eastAsia="宋体"/>
        </w:rPr>
        <w:t>E1 通过随机组合检验机制的鲁棒性。每轮实验随机生成一个订单结构：</w:t>
      </w:r>
    </w:p>
    <w:p>
      <w:pPr>
        <w:pStyle w:val="ListBullet"/>
        <w:spacing w:after="40"/>
      </w:pPr>
      <w:r>
        <w:rPr>
          <w:rFonts w:ascii="宋体" w:hAnsi="宋体" w:eastAsia="宋体"/>
        </w:rPr>
        <w:t>订单项数：1 至 4；</w:t>
      </w:r>
    </w:p>
    <w:p>
      <w:pPr>
        <w:pStyle w:val="ListBullet"/>
        <w:spacing w:after="40"/>
      </w:pPr>
      <w:r>
        <w:rPr>
          <w:rFonts w:ascii="宋体" w:hAnsi="宋体" w:eastAsia="宋体"/>
        </w:rPr>
        <w:t>每项跨越的批次数：1 至 3；</w:t>
      </w:r>
    </w:p>
    <w:p>
      <w:pPr>
        <w:pStyle w:val="ListBullet"/>
        <w:spacing w:after="40"/>
      </w:pPr>
      <w:r>
        <w:rPr>
          <w:rFonts w:ascii="宋体" w:hAnsi="宋体" w:eastAsia="宋体"/>
        </w:rPr>
        <w:t>每项预占克数：500 至 1000 克；</w:t>
      </w:r>
    </w:p>
    <w:p>
      <w:pPr>
        <w:pStyle w:val="ListBullet"/>
        <w:spacing w:after="40"/>
      </w:pPr>
      <w:r>
        <w:rPr>
          <w:rFonts w:ascii="宋体" w:hAnsi="宋体" w:eastAsia="宋体"/>
        </w:rPr>
        <w:t>偏差幅度：不超过预占克数的 20%，方向随机（变重或变轻）。</w:t>
      </w:r>
    </w:p>
    <w:p>
      <w:pPr>
        <w:spacing w:after="120"/>
        <w:ind w:firstLine="440"/>
      </w:pPr>
      <w:r>
        <w:rPr>
          <w:rFonts w:ascii="宋体" w:hAnsi="宋体" w:eastAsia="宋体"/>
        </w:rPr>
        <w:t>生成结构后，以逐项粒度提交称重，随后校验 I1、I2、I6、I7 四条不变式。实验共执行 20 轮。</w:t>
      </w:r>
    </w:p>
    <w:p>
      <w:pPr>
        <w:spacing w:after="120"/>
        <w:ind w:firstLine="440"/>
      </w:pPr>
      <w:r>
        <w:rPr>
          <w:rFonts w:ascii="宋体" w:hAnsi="宋体" w:eastAsia="宋体"/>
        </w:rPr>
        <w:t>此外，E1 包含两个边界用例：</w:t>
      </w:r>
      <w:r>
        <w:rPr>
          <w:rFonts w:ascii="宋体" w:hAnsi="宋体" w:eastAsia="宋体"/>
          <w:b/>
        </w:rPr>
        <w:t>全部订单项都变轻</w:t>
      </w:r>
      <w:r>
        <w:rPr>
          <w:rFonts w:ascii="宋体" w:hAnsi="宋体" w:eastAsia="宋体"/>
        </w:rPr>
        <w:t>（验证回补方向为退回而非补扣），以及</w:t>
      </w:r>
      <w:r>
        <w:rPr>
          <w:rFonts w:ascii="宋体" w:hAnsi="宋体" w:eastAsia="宋体"/>
          <w:b/>
        </w:rPr>
        <w:t>实际克数恰好等于预估克数</w:t>
      </w:r>
      <w:r>
        <w:rPr>
          <w:rFonts w:ascii="宋体" w:hAnsi="宋体" w:eastAsia="宋体"/>
        </w:rPr>
        <w:t>（验证零差额路径不改变任何库存）。</w:t>
      </w:r>
    </w:p>
    <w:p>
      <w:pPr>
        <w:spacing w:before="200" w:after="120"/>
      </w:pPr>
      <w:r>
        <w:rPr>
          <w:rFonts w:ascii="黑体" w:hAnsi="黑体" w:eastAsia="黑体"/>
          <w:b/>
          <w:sz w:val="25"/>
        </w:rPr>
        <w:t>4.4.2 实验结果</w:t>
      </w:r>
    </w:p>
    <w:p>
      <w:pPr>
        <w:spacing w:before="80" w:after="200"/>
        <w:ind w:left="360"/>
      </w:pPr>
      <w:r>
        <w:rPr>
          <w:rFonts w:ascii="Consolas" w:hAnsi="Consolas" w:eastAsia="Consolas"/>
          <w:sz w:val="19"/>
        </w:rPr>
        <w:t>Test: randomSequencesPreserveAllInvariants ... PASS</w:t>
        <w:br/>
        <w:t>Test: allLighterItemsReturnGrams ............ PASS</w:t>
        <w:br/>
        <w:t>Test: equalGramsLeaveInventoryUntouched ..... PASS</w:t>
        <w:br/>
        <w:br/>
        <w:t>Tests run: 3, Failures: 0, Errors: 0</w:t>
      </w:r>
    </w:p>
    <w:p>
      <w:pPr>
        <w:spacing w:after="120"/>
        <w:ind w:firstLine="440"/>
      </w:pPr>
      <w:r>
        <w:rPr>
          <w:rFonts w:ascii="宋体" w:hAnsi="宋体" w:eastAsia="宋体"/>
        </w:rPr>
        <w:t>20 轮随机回归的全部轮次均执行完毕，</w:t>
      </w:r>
      <w:r>
        <w:rPr>
          <w:rFonts w:ascii="宋体" w:hAnsi="宋体" w:eastAsia="宋体"/>
          <w:b/>
        </w:rPr>
        <w:t>I1、I2、I6、I7 的违反次数为 0</w:t>
      </w:r>
      <w:r>
        <w:rPr>
          <w:rFonts w:ascii="宋体" w:hAnsi="宋体" w:eastAsia="宋体"/>
        </w:rPr>
        <w:t>。假设 H1 成立。</w:t>
      </w:r>
    </w:p>
    <w:p>
      <w:pPr>
        <w:spacing w:before="200" w:after="120"/>
      </w:pPr>
      <w:r>
        <w:rPr>
          <w:rFonts w:ascii="黑体" w:hAnsi="黑体" w:eastAsia="黑体"/>
          <w:b/>
          <w:sz w:val="25"/>
        </w:rPr>
        <w:t>4.4.3 一个值得说明的现象</w:t>
      </w:r>
    </w:p>
    <w:p>
      <w:pPr>
        <w:spacing w:after="120"/>
        <w:ind w:firstLine="440"/>
      </w:pPr>
      <w:r>
        <w:rPr>
          <w:rFonts w:ascii="宋体" w:hAnsi="宋体" w:eastAsia="宋体"/>
        </w:rPr>
        <w:t>在"全部变轻"用例的首次执行中，本文的断言预期失败：断言期望两个批次各退回 150 克（即把 300 克总差额在批次间均摊），而实际结果是批次 A 退回 100 克、批次 B 退回 200 克。</w:t>
      </w:r>
    </w:p>
    <w:p>
      <w:pPr>
        <w:spacing w:after="120"/>
        <w:ind w:firstLine="440"/>
      </w:pPr>
      <w:r>
        <w:rPr>
          <w:rFonts w:ascii="宋体" w:hAnsi="宋体" w:eastAsia="宋体"/>
        </w:rPr>
        <w:t>经核对，</w:t>
      </w:r>
      <w:r>
        <w:rPr>
          <w:rFonts w:ascii="宋体" w:hAnsi="宋体" w:eastAsia="宋体"/>
          <w:b/>
        </w:rPr>
        <w:t>系统行为是正确的，失败的是本文的断言</w:t>
      </w:r>
      <w:r>
        <w:rPr>
          <w:rFonts w:ascii="宋体" w:hAnsi="宋体" w:eastAsia="宋体"/>
        </w:rPr>
        <w:t>。系统按订单项各自执行回补：订单项 1 变轻 100 克，只影响它自己占用的批次 A；订单项 2 变轻 200 克，只影响批次 B。这正是逐项回补的设计意图。</w:t>
      </w:r>
    </w:p>
    <w:p>
      <w:pPr>
        <w:spacing w:after="120"/>
        <w:ind w:firstLine="440"/>
      </w:pPr>
      <w:r>
        <w:rPr>
          <w:rFonts w:ascii="宋体" w:hAnsi="宋体" w:eastAsia="宋体"/>
        </w:rPr>
        <w:t>这一插曲在方法论上有所启示：当实验结果的预期与实际不符时，</w:t>
      </w:r>
      <w:r>
        <w:rPr>
          <w:rFonts w:ascii="宋体" w:hAnsi="宋体" w:eastAsia="宋体"/>
          <w:b/>
        </w:rPr>
        <w:t>首先应当核对的是预期本身是否基于正确的理解</w:t>
      </w:r>
      <w:r>
        <w:rPr>
          <w:rFonts w:ascii="宋体" w:hAnsi="宋体" w:eastAsia="宋体"/>
        </w:rPr>
        <w:t>，而非直接判定实现有缺陷。</w:t>
      </w:r>
    </w:p>
    <w:p>
      <w:pPr>
        <w:spacing w:before="200" w:after="120"/>
      </w:pPr>
      <w:r>
        <w:rPr>
          <w:rFonts w:ascii="黑体" w:hAnsi="黑体" w:eastAsia="黑体"/>
          <w:b/>
          <w:sz w:val="27"/>
        </w:rPr>
        <w:t>4.5 E2 分摊粒度对照</w:t>
      </w:r>
    </w:p>
    <w:p>
      <w:pPr>
        <w:spacing w:before="200" w:after="120"/>
      </w:pPr>
      <w:r>
        <w:rPr>
          <w:rFonts w:ascii="黑体" w:hAnsi="黑体" w:eastAsia="黑体"/>
          <w:b/>
          <w:sz w:val="25"/>
        </w:rPr>
        <w:t>4.5.1 实验方法</w:t>
      </w:r>
    </w:p>
    <w:p>
      <w:pPr>
        <w:spacing w:after="120"/>
        <w:ind w:firstLine="440"/>
      </w:pPr>
      <w:r>
        <w:rPr>
          <w:rFonts w:ascii="宋体" w:hAnsi="宋体" w:eastAsia="宋体"/>
        </w:rPr>
        <w:t>E2 是本文的核心实验，直接对照两种分摊粒度的行为。实验包含四个用例：</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宋体" w:hAnsi="宋体" w:eastAsia="宋体"/>
                <w:b/>
                <w:sz w:val="20"/>
              </w:rPr>
              <w:t>用例</w:t>
            </w:r>
          </w:p>
        </w:tc>
        <w:tc>
          <w:tcPr>
            <w:tcW w:type="dxa" w:w="2880"/>
          </w:tcPr>
          <w:p>
            <w:r/>
            <w:r>
              <w:rPr>
                <w:rFonts w:ascii="宋体" w:hAnsi="宋体" w:eastAsia="宋体"/>
                <w:b/>
                <w:sz w:val="20"/>
              </w:rPr>
              <w:t>场景</w:t>
            </w:r>
          </w:p>
        </w:tc>
        <w:tc>
          <w:tcPr>
            <w:tcW w:type="dxa" w:w="2880"/>
          </w:tcPr>
          <w:p>
            <w:r/>
            <w:r>
              <w:rPr>
                <w:rFonts w:ascii="宋体" w:hAnsi="宋体" w:eastAsia="宋体"/>
                <w:b/>
                <w:sz w:val="20"/>
              </w:rPr>
              <w:t>验证目标</w:t>
            </w:r>
          </w:p>
        </w:tc>
      </w:tr>
      <w:tr>
        <w:tc>
          <w:tcPr>
            <w:tcW w:type="dxa" w:w="2880"/>
          </w:tcPr>
          <w:p>
            <w:r/>
            <w:r>
              <w:rPr>
                <w:rFonts w:ascii="宋体" w:hAnsi="宋体" w:eastAsia="宋体"/>
                <w:sz w:val="20"/>
              </w:rPr>
              <w:t>E2-1 整单分摊无损性</w:t>
            </w:r>
          </w:p>
        </w:tc>
        <w:tc>
          <w:tcPr>
            <w:tcW w:type="dxa" w:w="2880"/>
          </w:tcPr>
          <w:p>
            <w:r/>
            <w:r>
              <w:rPr>
                <w:rFonts w:ascii="宋体" w:hAnsi="宋体" w:eastAsia="宋体"/>
                <w:sz w:val="20"/>
              </w:rPr>
              <w:t>2 个订单项跨 3 个批次，整单提交 2000 → 2200 克</w:t>
            </w:r>
          </w:p>
        </w:tc>
        <w:tc>
          <w:tcPr>
            <w:tcW w:type="dxa" w:w="2880"/>
          </w:tcPr>
          <w:p>
            <w:r/>
            <w:r>
              <w:rPr>
                <w:rFonts w:ascii="宋体" w:hAnsi="宋体" w:eastAsia="宋体"/>
                <w:sz w:val="20"/>
              </w:rPr>
              <w:t>I7（整单模式）</w:t>
            </w:r>
          </w:p>
        </w:tc>
      </w:tr>
      <w:tr>
        <w:tc>
          <w:tcPr>
            <w:tcW w:type="dxa" w:w="2880"/>
          </w:tcPr>
          <w:p>
            <w:r/>
            <w:r>
              <w:rPr>
                <w:rFonts w:ascii="宋体" w:hAnsi="宋体" w:eastAsia="宋体"/>
                <w:sz w:val="20"/>
              </w:rPr>
              <w:t>E2-2 逐项口径一致性</w:t>
            </w:r>
          </w:p>
        </w:tc>
        <w:tc>
          <w:tcPr>
            <w:tcW w:type="dxa" w:w="2880"/>
          </w:tcPr>
          <w:p>
            <w:r/>
            <w:r>
              <w:rPr>
                <w:rFonts w:ascii="宋体" w:hAnsi="宋体" w:eastAsia="宋体"/>
                <w:sz w:val="20"/>
              </w:rPr>
              <w:t>同结构，项 1 变重 150 克、项 2 变轻 50 克</w:t>
            </w:r>
          </w:p>
        </w:tc>
        <w:tc>
          <w:tcPr>
            <w:tcW w:type="dxa" w:w="2880"/>
          </w:tcPr>
          <w:p>
            <w:r/>
            <w:r>
              <w:rPr>
                <w:rFonts w:ascii="宋体" w:hAnsi="宋体" w:eastAsia="宋体"/>
                <w:sz w:val="20"/>
              </w:rPr>
              <w:t>I4、I6（逐项模式）</w:t>
            </w:r>
          </w:p>
        </w:tc>
      </w:tr>
      <w:tr>
        <w:tc>
          <w:tcPr>
            <w:tcW w:type="dxa" w:w="2880"/>
          </w:tcPr>
          <w:p>
            <w:r/>
            <w:r>
              <w:rPr>
                <w:rFonts w:ascii="宋体" w:hAnsi="宋体" w:eastAsia="宋体"/>
                <w:sz w:val="20"/>
              </w:rPr>
              <w:t>E2-3 跨 7 批次取整补偿</w:t>
            </w:r>
          </w:p>
        </w:tc>
        <w:tc>
          <w:tcPr>
            <w:tcW w:type="dxa" w:w="2880"/>
          </w:tcPr>
          <w:p>
            <w:r/>
            <w:r>
              <w:rPr>
                <w:rFonts w:ascii="宋体" w:hAnsi="宋体" w:eastAsia="宋体"/>
                <w:sz w:val="20"/>
              </w:rPr>
              <w:t>单订单项跨 7 个批次，1000 → 1100 克</w:t>
            </w:r>
          </w:p>
        </w:tc>
        <w:tc>
          <w:tcPr>
            <w:tcW w:type="dxa" w:w="2880"/>
          </w:tcPr>
          <w:p>
            <w:r/>
            <w:r>
              <w:rPr>
                <w:rFonts w:ascii="宋体" w:hAnsi="宋体" w:eastAsia="宋体"/>
                <w:sz w:val="20"/>
              </w:rPr>
              <w:t>I7（多次取整）</w:t>
            </w:r>
          </w:p>
        </w:tc>
      </w:tr>
      <w:tr>
        <w:tc>
          <w:tcPr>
            <w:tcW w:type="dxa" w:w="2880"/>
          </w:tcPr>
          <w:p>
            <w:r/>
            <w:r>
              <w:rPr>
                <w:rFonts w:ascii="宋体" w:hAnsi="宋体" w:eastAsia="宋体"/>
                <w:sz w:val="20"/>
              </w:rPr>
              <w:t>E2-4 批次级分布对照</w:t>
            </w:r>
          </w:p>
        </w:tc>
        <w:tc>
          <w:tcPr>
            <w:tcW w:type="dxa" w:w="2880"/>
          </w:tcPr>
          <w:p>
            <w:r/>
            <w:r>
              <w:rPr>
                <w:rFonts w:ascii="宋体" w:hAnsi="宋体" w:eastAsia="宋体"/>
                <w:sz w:val="20"/>
              </w:rPr>
              <w:t>同偏差分别以两种粒度提交</w:t>
            </w:r>
          </w:p>
        </w:tc>
        <w:tc>
          <w:tcPr>
            <w:tcW w:type="dxa" w:w="2880"/>
          </w:tcPr>
          <w:p>
            <w:r/>
            <w:r>
              <w:rPr>
                <w:rFonts w:ascii="宋体" w:hAnsi="宋体" w:eastAsia="宋体"/>
                <w:sz w:val="20"/>
              </w:rPr>
              <w:t>RQ2 核心对照</w:t>
            </w:r>
          </w:p>
        </w:tc>
      </w:tr>
    </w:tbl>
    <w:p/>
    <w:p>
      <w:pPr>
        <w:spacing w:before="200" w:after="120"/>
      </w:pPr>
      <w:r>
        <w:rPr>
          <w:rFonts w:ascii="黑体" w:hAnsi="黑体" w:eastAsia="黑体"/>
          <w:b/>
          <w:sz w:val="25"/>
        </w:rPr>
        <w:t>4.5.2 实验结果</w:t>
      </w:r>
    </w:p>
    <w:p>
      <w:pPr>
        <w:spacing w:before="80" w:after="200"/>
        <w:ind w:left="360"/>
      </w:pPr>
      <w:r>
        <w:rPr>
          <w:rFonts w:ascii="Consolas" w:hAnsi="Consolas" w:eastAsia="Consolas"/>
          <w:sz w:val="19"/>
        </w:rPr>
        <w:t>Test: wholeOrderAllocationIsLossless ................. PASS</w:t>
        <w:br/>
        <w:t>Test: itemWeighingIsConsistentWithOrderTotals ........ PASS</w:t>
        <w:br/>
        <w:t>Test: allocationAcrossManyBatchesRemainsExact ........ PASS</w:t>
        <w:br/>
        <w:t>Test: granularitiesDifferInBatchLevelDistribution .... PASS</w:t>
        <w:br/>
        <w:br/>
        <w:t>Tests run: 4, Failures: 0, Errors: 0</w:t>
      </w:r>
    </w:p>
    <w:p>
      <w:pPr>
        <w:spacing w:after="120"/>
        <w:ind w:firstLine="440"/>
      </w:pPr>
      <w:r>
        <w:rPr>
          <w:rFonts w:ascii="宋体" w:hAnsi="宋体" w:eastAsia="宋体"/>
          <w:b/>
        </w:rPr>
        <w:t>关于总量误差（E2-1、E2-3）</w:t>
      </w:r>
      <w:r>
        <w:rPr>
          <w:rFonts w:ascii="宋体" w:hAnsi="宋体" w:eastAsia="宋体"/>
        </w:rPr>
        <w:t>：两种粒度的回补总量均精确等于差额。特别是在 E2-3 中，1000 克预占按 7 个批次分配为 143×6 + 142，存在天然取整余数；实际称重 1100 克时差额 +100 需按比例分摊 7 份。实测各批次扣减量之和为</w:t>
      </w:r>
      <w:r>
        <w:rPr>
          <w:rFonts w:ascii="宋体" w:hAnsi="宋体" w:eastAsia="宋体"/>
          <w:b/>
        </w:rPr>
        <w:t>精确的 100</w:t>
      </w:r>
      <w:r>
        <w:rPr>
          <w:rFonts w:ascii="宋体" w:hAnsi="宋体" w:eastAsia="宋体"/>
        </w:rPr>
        <w:t>，取整余数由最后一批兜底吸收。这验证了 3.2 节兜底策略的有效性，也</w:t>
      </w:r>
      <w:r>
        <w:rPr>
          <w:rFonts w:ascii="宋体" w:hAnsi="宋体" w:eastAsia="宋体"/>
          <w:b/>
        </w:rPr>
        <w:t>证伪了本文原假设中"整单分摊会产生可测量的克数误差"这一判断</w:t>
      </w:r>
      <w:r>
        <w:rPr>
          <w:rFonts w:ascii="宋体" w:hAnsi="宋体" w:eastAsia="宋体"/>
        </w:rPr>
        <w:t>。</w:t>
      </w:r>
    </w:p>
    <w:p>
      <w:pPr>
        <w:spacing w:after="120"/>
        <w:ind w:firstLine="440"/>
      </w:pPr>
      <w:r>
        <w:rPr>
          <w:rFonts w:ascii="宋体" w:hAnsi="宋体" w:eastAsia="宋体"/>
          <w:b/>
        </w:rPr>
        <w:t>关于批次级归属（E2-4）</w:t>
      </w:r>
      <w:r>
        <w:rPr>
          <w:rFonts w:ascii="宋体" w:hAnsi="宋体" w:eastAsia="宋体"/>
        </w:rPr>
        <w:t>：这是本实验最具价值的发现。对照条件为：订单项 1 仅占用批次 A 且变重 100 克，订单项 2 仅占用批次 B 且变轻 100 克。两种粒度的结果如下表。</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宋体" w:hAnsi="宋体" w:eastAsia="宋体"/>
                <w:b/>
                <w:sz w:val="20"/>
              </w:rPr>
              <w:t>度量</w:t>
            </w:r>
          </w:p>
        </w:tc>
        <w:tc>
          <w:tcPr>
            <w:tcW w:type="dxa" w:w="2880"/>
          </w:tcPr>
          <w:p>
            <w:r/>
            <w:r>
              <w:rPr>
                <w:rFonts w:ascii="宋体" w:hAnsi="宋体" w:eastAsia="宋体"/>
                <w:b/>
                <w:sz w:val="20"/>
              </w:rPr>
              <w:t>整单模式</w:t>
            </w:r>
          </w:p>
        </w:tc>
        <w:tc>
          <w:tcPr>
            <w:tcW w:type="dxa" w:w="2880"/>
          </w:tcPr>
          <w:p>
            <w:r/>
            <w:r>
              <w:rPr>
                <w:rFonts w:ascii="宋体" w:hAnsi="宋体" w:eastAsia="宋体"/>
                <w:b/>
                <w:sz w:val="20"/>
              </w:rPr>
              <w:t>逐项模式</w:t>
            </w:r>
          </w:p>
        </w:tc>
      </w:tr>
      <w:tr>
        <w:tc>
          <w:tcPr>
            <w:tcW w:type="dxa" w:w="2880"/>
          </w:tcPr>
          <w:p>
            <w:r/>
            <w:r>
              <w:rPr>
                <w:rFonts w:ascii="宋体" w:hAnsi="宋体" w:eastAsia="宋体"/>
                <w:sz w:val="20"/>
              </w:rPr>
              <w:t>净差额</w:t>
            </w:r>
          </w:p>
        </w:tc>
        <w:tc>
          <w:tcPr>
            <w:tcW w:type="dxa" w:w="2880"/>
          </w:tcPr>
          <w:p>
            <w:r/>
            <w:r>
              <w:rPr>
                <w:rFonts w:ascii="宋体" w:hAnsi="宋体" w:eastAsia="宋体"/>
                <w:sz w:val="20"/>
              </w:rPr>
              <w:t>0</w:t>
            </w:r>
          </w:p>
        </w:tc>
        <w:tc>
          <w:tcPr>
            <w:tcW w:type="dxa" w:w="2880"/>
          </w:tcPr>
          <w:p>
            <w:r/>
            <w:r>
              <w:rPr>
                <w:rFonts w:ascii="宋体" w:hAnsi="宋体" w:eastAsia="宋体"/>
                <w:sz w:val="20"/>
              </w:rPr>
              <w:t>0</w:t>
            </w:r>
          </w:p>
        </w:tc>
      </w:tr>
      <w:tr>
        <w:tc>
          <w:tcPr>
            <w:tcW w:type="dxa" w:w="2880"/>
          </w:tcPr>
          <w:p>
            <w:r/>
            <w:r>
              <w:rPr>
                <w:rFonts w:ascii="宋体" w:hAnsi="宋体" w:eastAsia="宋体"/>
                <w:sz w:val="20"/>
              </w:rPr>
              <w:t>批次 A 变化</w:t>
            </w:r>
          </w:p>
        </w:tc>
        <w:tc>
          <w:tcPr>
            <w:tcW w:type="dxa" w:w="2880"/>
          </w:tcPr>
          <w:p>
            <w:r/>
            <w:r>
              <w:rPr>
                <w:rFonts w:ascii="宋体" w:hAnsi="宋体" w:eastAsia="宋体"/>
                <w:sz w:val="20"/>
              </w:rPr>
              <w:t>0（不变）</w:t>
            </w:r>
          </w:p>
        </w:tc>
        <w:tc>
          <w:tcPr>
            <w:tcW w:type="dxa" w:w="2880"/>
          </w:tcPr>
          <w:p>
            <w:r/>
            <w:r>
              <w:rPr>
                <w:rFonts w:ascii="宋体" w:hAnsi="宋体" w:eastAsia="宋体"/>
                <w:sz w:val="20"/>
              </w:rPr>
              <w:t>−100 克（补扣）</w:t>
            </w:r>
          </w:p>
        </w:tc>
      </w:tr>
      <w:tr>
        <w:tc>
          <w:tcPr>
            <w:tcW w:type="dxa" w:w="2880"/>
          </w:tcPr>
          <w:p>
            <w:r/>
            <w:r>
              <w:rPr>
                <w:rFonts w:ascii="宋体" w:hAnsi="宋体" w:eastAsia="宋体"/>
                <w:sz w:val="20"/>
              </w:rPr>
              <w:t>批次 B 变化</w:t>
            </w:r>
          </w:p>
        </w:tc>
        <w:tc>
          <w:tcPr>
            <w:tcW w:type="dxa" w:w="2880"/>
          </w:tcPr>
          <w:p>
            <w:r/>
            <w:r>
              <w:rPr>
                <w:rFonts w:ascii="宋体" w:hAnsi="宋体" w:eastAsia="宋体"/>
                <w:sz w:val="20"/>
              </w:rPr>
              <w:t>0（不变）</w:t>
            </w:r>
          </w:p>
        </w:tc>
        <w:tc>
          <w:tcPr>
            <w:tcW w:type="dxa" w:w="2880"/>
          </w:tcPr>
          <w:p>
            <w:r/>
            <w:r>
              <w:rPr>
                <w:rFonts w:ascii="宋体" w:hAnsi="宋体" w:eastAsia="宋体"/>
                <w:sz w:val="20"/>
              </w:rPr>
              <w:t>+100 克（退回）</w:t>
            </w:r>
          </w:p>
        </w:tc>
      </w:tr>
      <w:tr>
        <w:tc>
          <w:tcPr>
            <w:tcW w:type="dxa" w:w="2880"/>
          </w:tcPr>
          <w:p>
            <w:r/>
            <w:r>
              <w:rPr>
                <w:rFonts w:ascii="宋体" w:hAnsi="宋体" w:eastAsia="宋体"/>
                <w:sz w:val="20"/>
              </w:rPr>
              <w:t>与真实拣货结果的一致性</w:t>
            </w:r>
          </w:p>
        </w:tc>
        <w:tc>
          <w:tcPr>
            <w:tcW w:type="dxa" w:w="2880"/>
          </w:tcPr>
          <w:p>
            <w:r/>
            <w:r>
              <w:rPr>
                <w:rFonts w:ascii="宋体" w:hAnsi="宋体" w:eastAsia="宋体"/>
                <w:sz w:val="20"/>
              </w:rPr>
              <w:t>不一致</w:t>
            </w:r>
          </w:p>
        </w:tc>
        <w:tc>
          <w:tcPr>
            <w:tcW w:type="dxa" w:w="2880"/>
          </w:tcPr>
          <w:p>
            <w:r/>
            <w:r>
              <w:rPr>
                <w:rFonts w:ascii="宋体" w:hAnsi="宋体" w:eastAsia="宋体"/>
                <w:sz w:val="20"/>
              </w:rPr>
              <w:t>一致</w:t>
            </w:r>
          </w:p>
        </w:tc>
      </w:tr>
    </w:tbl>
    <w:p/>
    <w:p>
      <w:pPr>
        <w:spacing w:after="120"/>
        <w:ind w:firstLine="440"/>
      </w:pPr>
      <w:r>
        <w:rPr>
          <w:rFonts w:ascii="宋体" w:hAnsi="宋体" w:eastAsia="宋体"/>
        </w:rPr>
        <w:t>整单模式下，由于净差额为 0，</w:t>
      </w:r>
      <w:r>
        <w:rPr>
          <w:rFonts w:ascii="宋体" w:hAnsi="宋体" w:eastAsia="宋体"/>
          <w:b/>
        </w:rPr>
        <w:t>两个批次都不发生变化</w:t>
      </w:r>
      <w:r>
        <w:rPr>
          <w:rFonts w:ascii="宋体" w:hAnsi="宋体" w:eastAsia="宋体"/>
        </w:rPr>
        <w:t>。这意味着订单项 1 多拿的 100 克没有被补扣，订单项 2 少拿的 100 克也没有退回，两个偏差互相抵消了。虽然总库存正确，但</w:t>
      </w:r>
      <w:r>
        <w:rPr>
          <w:rFonts w:ascii="宋体" w:hAnsi="宋体" w:eastAsia="宋体"/>
          <w:b/>
        </w:rPr>
        <w:t>批次 A 的账面比实际多 100 克，批次 B 的账面比实际少 100 克</w:t>
      </w:r>
      <w:r>
        <w:rPr>
          <w:rFonts w:ascii="宋体" w:hAnsi="宋体" w:eastAsia="宋体"/>
        </w:rPr>
        <w:t>。</w:t>
      </w:r>
    </w:p>
    <w:p>
      <w:pPr>
        <w:spacing w:after="120"/>
        <w:ind w:firstLine="440"/>
      </w:pPr>
      <w:r>
        <w:rPr>
          <w:rFonts w:ascii="宋体" w:hAnsi="宋体" w:eastAsia="宋体"/>
        </w:rPr>
        <w:t>逐项模式下，偏差被如实回补到各自批次，批次账实与真实拣货结果一致。</w:t>
      </w:r>
    </w:p>
    <w:p>
      <w:pPr>
        <w:spacing w:before="120" w:after="120"/>
      </w:pPr>
      <w:r>
        <w:rPr>
          <w:rFonts w:ascii="宋体" w:hAnsi="宋体" w:eastAsia="宋体"/>
          <w:color w:val="AAAAAA"/>
          <w:sz w:val="20"/>
        </w:rPr>
        <w:t>────────────────────────────────────────</w:t>
      </w:r>
    </w:p>
    <w:p>
      <w:pPr>
        <w:spacing w:before="200" w:after="120"/>
      </w:pPr>
      <w:r>
        <w:rPr>
          <w:rFonts w:ascii="黑体" w:hAnsi="黑体" w:eastAsia="黑体"/>
          <w:b/>
          <w:sz w:val="27"/>
        </w:rPr>
        <w:t>4.6 E3 幂等性实验</w:t>
      </w:r>
    </w:p>
    <w:p>
      <w:pPr>
        <w:spacing w:before="200" w:after="120"/>
      </w:pPr>
      <w:r>
        <w:rPr>
          <w:rFonts w:ascii="黑体" w:hAnsi="黑体" w:eastAsia="黑体"/>
          <w:b/>
          <w:sz w:val="25"/>
        </w:rPr>
        <w:t>4.6.1 实验方法</w:t>
      </w:r>
    </w:p>
    <w:p>
      <w:pPr>
        <w:spacing w:after="120"/>
        <w:ind w:firstLine="440"/>
      </w:pPr>
      <w:r>
        <w:rPr>
          <w:rFonts w:ascii="宋体" w:hAnsi="宋体" w:eastAsia="宋体"/>
        </w:rPr>
        <w:t>E3 包含三个子场景。</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宋体" w:hAnsi="宋体" w:eastAsia="宋体"/>
                <w:b/>
                <w:sz w:val="20"/>
              </w:rPr>
              <w:t>场景</w:t>
            </w:r>
          </w:p>
        </w:tc>
        <w:tc>
          <w:tcPr>
            <w:tcW w:type="dxa" w:w="2880"/>
          </w:tcPr>
          <w:p>
            <w:r/>
            <w:r>
              <w:rPr>
                <w:rFonts w:ascii="宋体" w:hAnsi="宋体" w:eastAsia="宋体"/>
                <w:b/>
                <w:sz w:val="20"/>
              </w:rPr>
              <w:t>操作</w:t>
            </w:r>
          </w:p>
        </w:tc>
        <w:tc>
          <w:tcPr>
            <w:tcW w:type="dxa" w:w="2880"/>
          </w:tcPr>
          <w:p>
            <w:r/>
            <w:r>
              <w:rPr>
                <w:rFonts w:ascii="宋体" w:hAnsi="宋体" w:eastAsia="宋体"/>
                <w:b/>
                <w:sz w:val="20"/>
              </w:rPr>
              <w:t>期望</w:t>
            </w:r>
          </w:p>
        </w:tc>
      </w:tr>
      <w:tr>
        <w:tc>
          <w:tcPr>
            <w:tcW w:type="dxa" w:w="2880"/>
          </w:tcPr>
          <w:p>
            <w:r/>
            <w:r>
              <w:rPr>
                <w:rFonts w:ascii="宋体" w:hAnsi="宋体" w:eastAsia="宋体"/>
                <w:sz w:val="20"/>
              </w:rPr>
              <w:t>E3-a 顺序重放</w:t>
            </w:r>
          </w:p>
        </w:tc>
        <w:tc>
          <w:tcPr>
            <w:tcW w:type="dxa" w:w="2880"/>
          </w:tcPr>
          <w:p>
            <w:r/>
            <w:r>
              <w:rPr>
                <w:rFonts w:ascii="宋体" w:hAnsi="宋体" w:eastAsia="宋体"/>
                <w:sz w:val="20"/>
              </w:rPr>
              <w:t>同一幂等键连续提交 5 次</w:t>
            </w:r>
          </w:p>
        </w:tc>
        <w:tc>
          <w:tcPr>
            <w:tcW w:type="dxa" w:w="2880"/>
          </w:tcPr>
          <w:p>
            <w:r/>
            <w:r>
              <w:rPr>
                <w:rFonts w:ascii="宋体" w:hAnsi="宋体" w:eastAsia="宋体"/>
                <w:sz w:val="20"/>
              </w:rPr>
              <w:t>有效变更恰好 1 次，且每次返回同一调整标识</w:t>
            </w:r>
          </w:p>
        </w:tc>
      </w:tr>
      <w:tr>
        <w:tc>
          <w:tcPr>
            <w:tcW w:type="dxa" w:w="2880"/>
          </w:tcPr>
          <w:p>
            <w:r/>
            <w:r>
              <w:rPr>
                <w:rFonts w:ascii="宋体" w:hAnsi="宋体" w:eastAsia="宋体"/>
                <w:sz w:val="20"/>
              </w:rPr>
              <w:t>E3-b 并发同键</w:t>
            </w:r>
          </w:p>
        </w:tc>
        <w:tc>
          <w:tcPr>
            <w:tcW w:type="dxa" w:w="2880"/>
          </w:tcPr>
          <w:p>
            <w:r/>
            <w:r>
              <w:rPr>
                <w:rFonts w:ascii="宋体" w:hAnsi="宋体" w:eastAsia="宋体"/>
                <w:sz w:val="20"/>
              </w:rPr>
              <w:t>10 个线程用同一幂等键同时提交</w:t>
            </w:r>
          </w:p>
        </w:tc>
        <w:tc>
          <w:tcPr>
            <w:tcW w:type="dxa" w:w="2880"/>
          </w:tcPr>
          <w:p>
            <w:r/>
            <w:r>
              <w:rPr>
                <w:rFonts w:ascii="宋体" w:hAnsi="宋体" w:eastAsia="宋体"/>
                <w:sz w:val="20"/>
              </w:rPr>
              <w:t>恰好 1 次生效，其余转为冲突</w:t>
            </w:r>
          </w:p>
        </w:tc>
      </w:tr>
      <w:tr>
        <w:tc>
          <w:tcPr>
            <w:tcW w:type="dxa" w:w="2880"/>
          </w:tcPr>
          <w:p>
            <w:r/>
            <w:r>
              <w:rPr>
                <w:rFonts w:ascii="宋体" w:hAnsi="宋体" w:eastAsia="宋体"/>
                <w:sz w:val="20"/>
              </w:rPr>
              <w:t>E3-c 同实体异键</w:t>
            </w:r>
          </w:p>
        </w:tc>
        <w:tc>
          <w:tcPr>
            <w:tcW w:type="dxa" w:w="2880"/>
          </w:tcPr>
          <w:p>
            <w:r/>
            <w:r>
              <w:rPr>
                <w:rFonts w:ascii="宋体" w:hAnsi="宋体" w:eastAsia="宋体"/>
                <w:sz w:val="20"/>
              </w:rPr>
              <w:t>同一订单用不同幂等键提交</w:t>
            </w:r>
          </w:p>
        </w:tc>
        <w:tc>
          <w:tcPr>
            <w:tcW w:type="dxa" w:w="2880"/>
          </w:tcPr>
          <w:p>
            <w:r/>
            <w:r>
              <w:rPr>
                <w:rFonts w:ascii="宋体" w:hAnsi="宋体" w:eastAsia="宋体"/>
                <w:sz w:val="20"/>
              </w:rPr>
              <w:t>恰好 1 次生效，其余被拒绝</w:t>
            </w:r>
          </w:p>
        </w:tc>
      </w:tr>
    </w:tbl>
    <w:p/>
    <w:p>
      <w:pPr>
        <w:spacing w:after="120"/>
        <w:ind w:firstLine="440"/>
      </w:pPr>
      <w:r>
        <w:rPr>
          <w:rFonts w:ascii="宋体" w:hAnsi="宋体" w:eastAsia="宋体"/>
        </w:rPr>
        <w:t xml:space="preserve">并发场景采用 </w:t>
      </w:r>
      <w:r>
        <w:rPr>
          <w:rFonts w:ascii="Consolas" w:hAnsi="Consolas" w:eastAsia="Consolas"/>
          <w:sz w:val="19"/>
        </w:rPr>
        <w:t>ExecutorService</w:t>
      </w:r>
      <w:r>
        <w:rPr>
          <w:rFonts w:ascii="宋体" w:hAnsi="宋体" w:eastAsia="宋体"/>
        </w:rPr>
        <w:t xml:space="preserve"> 配合 </w:t>
      </w:r>
      <w:r>
        <w:rPr>
          <w:rFonts w:ascii="Consolas" w:hAnsi="Consolas" w:eastAsia="Consolas"/>
          <w:sz w:val="19"/>
        </w:rPr>
        <w:t>CountDownLatch</w:t>
      </w:r>
      <w:r>
        <w:rPr>
          <w:rFonts w:ascii="宋体" w:hAnsi="宋体" w:eastAsia="宋体"/>
        </w:rPr>
        <w:t xml:space="preserve"> 对齐起跑点，保证所有线程同时发起请求。</w:t>
      </w:r>
      <w:r>
        <w:rPr>
          <w:rFonts w:ascii="宋体" w:hAnsi="宋体" w:eastAsia="宋体"/>
          <w:b/>
        </w:rPr>
        <w:t>断言全部在事务提交后重新查询数据库获得，而非依赖接口返回值</w:t>
      </w:r>
      <w:r>
        <w:rPr>
          <w:rFonts w:ascii="宋体" w:hAnsi="宋体" w:eastAsia="宋体"/>
        </w:rPr>
        <w:t>——这一点很关键，因为接口返回值可能是缓存的结果，只有重新查询数据库才能确认实际变更次数。</w:t>
      </w:r>
    </w:p>
    <w:p>
      <w:pPr>
        <w:spacing w:before="200" w:after="120"/>
      </w:pPr>
      <w:r>
        <w:rPr>
          <w:rFonts w:ascii="黑体" w:hAnsi="黑体" w:eastAsia="黑体"/>
          <w:b/>
          <w:sz w:val="25"/>
        </w:rPr>
        <w:t>4.6.2 实验结果</w:t>
      </w:r>
    </w:p>
    <w:p>
      <w:pPr>
        <w:spacing w:before="80" w:after="200"/>
        <w:ind w:left="360"/>
      </w:pPr>
      <w:r>
        <w:rPr>
          <w:rFonts w:ascii="Consolas" w:hAnsi="Consolas" w:eastAsia="Consolas"/>
          <w:sz w:val="19"/>
        </w:rPr>
        <w:t>Test: sequentialReplayAppliesOnce ......... PASS</w:t>
        <w:br/>
        <w:t>Test: concurrentSameKeyAppliesOnce ........ PASS</w:t>
        <w:br/>
        <w:t>Test: differentKeysSameOrderRejected ...... PASS</w:t>
        <w:br/>
        <w:br/>
        <w:t>Tests run: 3, Failures: 0, Errors: 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宋体" w:hAnsi="宋体" w:eastAsia="宋体"/>
                <w:b/>
                <w:sz w:val="20"/>
              </w:rPr>
              <w:t>场景</w:t>
            </w:r>
          </w:p>
        </w:tc>
        <w:tc>
          <w:tcPr>
            <w:tcW w:type="dxa" w:w="2160"/>
          </w:tcPr>
          <w:p>
            <w:r/>
            <w:r>
              <w:rPr>
                <w:rFonts w:ascii="宋体" w:hAnsi="宋体" w:eastAsia="宋体"/>
                <w:b/>
                <w:sz w:val="20"/>
              </w:rPr>
              <w:t>有效变更次数</w:t>
            </w:r>
          </w:p>
        </w:tc>
        <w:tc>
          <w:tcPr>
            <w:tcW w:type="dxa" w:w="2160"/>
          </w:tcPr>
          <w:p>
            <w:r/>
            <w:r>
              <w:rPr>
                <w:rFonts w:ascii="宋体" w:hAnsi="宋体" w:eastAsia="宋体"/>
                <w:b/>
                <w:sz w:val="20"/>
              </w:rPr>
              <w:t>称重记录数</w:t>
            </w:r>
          </w:p>
        </w:tc>
        <w:tc>
          <w:tcPr>
            <w:tcW w:type="dxa" w:w="2160"/>
          </w:tcPr>
          <w:p>
            <w:r/>
            <w:r>
              <w:rPr>
                <w:rFonts w:ascii="宋体" w:hAnsi="宋体" w:eastAsia="宋体"/>
                <w:b/>
                <w:sz w:val="20"/>
              </w:rPr>
              <w:t>批次变化</w:t>
            </w:r>
          </w:p>
        </w:tc>
      </w:tr>
      <w:tr>
        <w:tc>
          <w:tcPr>
            <w:tcW w:type="dxa" w:w="2160"/>
          </w:tcPr>
          <w:p>
            <w:r/>
            <w:r>
              <w:rPr>
                <w:rFonts w:ascii="宋体" w:hAnsi="宋体" w:eastAsia="宋体"/>
                <w:sz w:val="20"/>
              </w:rPr>
              <w:t>E3-a 顺序重放 5 次</w:t>
            </w:r>
          </w:p>
        </w:tc>
        <w:tc>
          <w:tcPr>
            <w:tcW w:type="dxa" w:w="2160"/>
          </w:tcPr>
          <w:p>
            <w:r/>
            <w:r>
              <w:rPr>
                <w:rFonts w:ascii="宋体" w:hAnsi="宋体" w:eastAsia="宋体"/>
                <w:sz w:val="20"/>
              </w:rPr>
              <w:t>1</w:t>
            </w:r>
          </w:p>
        </w:tc>
        <w:tc>
          <w:tcPr>
            <w:tcW w:type="dxa" w:w="2160"/>
          </w:tcPr>
          <w:p>
            <w:r/>
            <w:r>
              <w:rPr>
                <w:rFonts w:ascii="宋体" w:hAnsi="宋体" w:eastAsia="宋体"/>
                <w:sz w:val="20"/>
              </w:rPr>
              <w:t>1</w:t>
            </w:r>
          </w:p>
        </w:tc>
        <w:tc>
          <w:tcPr>
            <w:tcW w:type="dxa" w:w="2160"/>
          </w:tcPr>
          <w:p>
            <w:r/>
            <w:r>
              <w:rPr>
                <w:rFonts w:ascii="宋体" w:hAnsi="宋体" w:eastAsia="宋体"/>
                <w:sz w:val="20"/>
              </w:rPr>
              <w:t>扣减一次</w:t>
            </w:r>
          </w:p>
        </w:tc>
      </w:tr>
      <w:tr>
        <w:tc>
          <w:tcPr>
            <w:tcW w:type="dxa" w:w="2160"/>
          </w:tcPr>
          <w:p>
            <w:r/>
            <w:r>
              <w:rPr>
                <w:rFonts w:ascii="宋体" w:hAnsi="宋体" w:eastAsia="宋体"/>
                <w:sz w:val="20"/>
              </w:rPr>
              <w:t>E3-b 10 线程并发同键</w:t>
            </w:r>
          </w:p>
        </w:tc>
        <w:tc>
          <w:tcPr>
            <w:tcW w:type="dxa" w:w="2160"/>
          </w:tcPr>
          <w:p>
            <w:r/>
            <w:r>
              <w:rPr>
                <w:rFonts w:ascii="宋体" w:hAnsi="宋体" w:eastAsia="宋体"/>
                <w:sz w:val="20"/>
              </w:rPr>
              <w:t>1</w:t>
            </w:r>
          </w:p>
        </w:tc>
        <w:tc>
          <w:tcPr>
            <w:tcW w:type="dxa" w:w="2160"/>
          </w:tcPr>
          <w:p>
            <w:r/>
            <w:r>
              <w:rPr>
                <w:rFonts w:ascii="宋体" w:hAnsi="宋体" w:eastAsia="宋体"/>
                <w:sz w:val="20"/>
              </w:rPr>
              <w:t>1</w:t>
            </w:r>
          </w:p>
        </w:tc>
        <w:tc>
          <w:tcPr>
            <w:tcW w:type="dxa" w:w="2160"/>
          </w:tcPr>
          <w:p>
            <w:r/>
            <w:r>
              <w:rPr>
                <w:rFonts w:ascii="宋体" w:hAnsi="宋体" w:eastAsia="宋体"/>
                <w:sz w:val="20"/>
              </w:rPr>
              <w:t>扣减一次</w:t>
            </w:r>
          </w:p>
        </w:tc>
      </w:tr>
      <w:tr>
        <w:tc>
          <w:tcPr>
            <w:tcW w:type="dxa" w:w="2160"/>
          </w:tcPr>
          <w:p>
            <w:r/>
            <w:r>
              <w:rPr>
                <w:rFonts w:ascii="宋体" w:hAnsi="宋体" w:eastAsia="宋体"/>
                <w:sz w:val="20"/>
              </w:rPr>
              <w:t>E3-c 同实体异键</w:t>
            </w:r>
          </w:p>
        </w:tc>
        <w:tc>
          <w:tcPr>
            <w:tcW w:type="dxa" w:w="2160"/>
          </w:tcPr>
          <w:p>
            <w:r/>
            <w:r>
              <w:rPr>
                <w:rFonts w:ascii="宋体" w:hAnsi="宋体" w:eastAsia="宋体"/>
                <w:sz w:val="20"/>
              </w:rPr>
              <w:t>1</w:t>
            </w:r>
          </w:p>
        </w:tc>
        <w:tc>
          <w:tcPr>
            <w:tcW w:type="dxa" w:w="2160"/>
          </w:tcPr>
          <w:p>
            <w:r/>
            <w:r>
              <w:rPr>
                <w:rFonts w:ascii="宋体" w:hAnsi="宋体" w:eastAsia="宋体"/>
                <w:sz w:val="20"/>
              </w:rPr>
              <w:t>1</w:t>
            </w:r>
          </w:p>
        </w:tc>
        <w:tc>
          <w:tcPr>
            <w:tcW w:type="dxa" w:w="2160"/>
          </w:tcPr>
          <w:p>
            <w:r/>
            <w:r>
              <w:rPr>
                <w:rFonts w:ascii="宋体" w:hAnsi="宋体" w:eastAsia="宋体"/>
                <w:sz w:val="20"/>
              </w:rPr>
              <w:t>扣减一次</w:t>
            </w:r>
          </w:p>
        </w:tc>
      </w:tr>
    </w:tbl>
    <w:p/>
    <w:p>
      <w:pPr>
        <w:spacing w:after="120"/>
        <w:ind w:firstLine="440"/>
      </w:pPr>
      <w:r>
        <w:rPr>
          <w:rFonts w:ascii="宋体" w:hAnsi="宋体" w:eastAsia="宋体"/>
        </w:rPr>
        <w:t>三种场景下有效变更次数</w:t>
      </w:r>
      <w:r>
        <w:rPr>
          <w:rFonts w:ascii="宋体" w:hAnsi="宋体" w:eastAsia="宋体"/>
          <w:b/>
        </w:rPr>
        <w:t>恒为 1</w:t>
      </w:r>
      <w:r>
        <w:rPr>
          <w:rFonts w:ascii="宋体" w:hAnsi="宋体" w:eastAsia="宋体"/>
        </w:rPr>
        <w:t>，假设 H3 成立。</w:t>
      </w:r>
    </w:p>
    <w:p>
      <w:pPr>
        <w:spacing w:after="120"/>
        <w:ind w:firstLine="440"/>
      </w:pPr>
      <w:r>
        <w:rPr>
          <w:rFonts w:ascii="宋体" w:hAnsi="宋体" w:eastAsia="宋体"/>
        </w:rPr>
        <w:t>值得注意的是三个场景的拦截机制并不相同，这印证了 3.5 节"单一手段不够"的判断：</w:t>
      </w:r>
    </w:p>
    <w:p>
      <w:pPr>
        <w:pStyle w:val="ListBullet"/>
        <w:spacing w:after="40"/>
      </w:pPr>
      <w:r>
        <w:rPr>
          <w:rFonts w:ascii="宋体" w:hAnsi="宋体" w:eastAsia="宋体"/>
          <w:b/>
        </w:rPr>
        <w:t>E3-a</w:t>
      </w:r>
      <w:r>
        <w:rPr>
          <w:rFonts w:ascii="宋体" w:hAnsi="宋体" w:eastAsia="宋体"/>
        </w:rPr>
        <w:t xml:space="preserve"> 由幂等键查询拦截：重放请求命中已记录的幂等键，直接返回首次结果；</w:t>
      </w:r>
    </w:p>
    <w:p>
      <w:pPr>
        <w:pStyle w:val="ListBullet"/>
        <w:spacing w:after="40"/>
      </w:pPr>
      <w:r>
        <w:rPr>
          <w:rFonts w:ascii="宋体" w:hAnsi="宋体" w:eastAsia="宋体"/>
          <w:b/>
        </w:rPr>
        <w:t>E3-b</w:t>
      </w:r>
      <w:r>
        <w:rPr>
          <w:rFonts w:ascii="宋体" w:hAnsi="宋体" w:eastAsia="宋体"/>
        </w:rPr>
        <w:t xml:space="preserve"> 由唯一约束拦截：10 个线程可能同时通过幂等键查询（竞态窗口），但 </w:t>
      </w:r>
      <w:r>
        <w:rPr>
          <w:rFonts w:ascii="Consolas" w:hAnsi="Consolas" w:eastAsia="Consolas"/>
          <w:sz w:val="19"/>
        </w:rPr>
        <w:t>idempotency_key</w:t>
      </w:r>
      <w:r>
        <w:rPr>
          <w:rFonts w:ascii="宋体" w:hAnsi="宋体" w:eastAsia="宋体"/>
        </w:rPr>
        <w:t xml:space="preserve"> 唯一索引使只有一个写入成功，其余抛出重复键异常并转为 409；</w:t>
      </w:r>
    </w:p>
    <w:p>
      <w:pPr>
        <w:pStyle w:val="ListBullet"/>
        <w:spacing w:after="40"/>
      </w:pPr>
      <w:r>
        <w:rPr>
          <w:rFonts w:ascii="宋体" w:hAnsi="宋体" w:eastAsia="宋体"/>
          <w:b/>
        </w:rPr>
        <w:t>E3-c</w:t>
      </w:r>
      <w:r>
        <w:rPr>
          <w:rFonts w:ascii="宋体" w:hAnsi="宋体" w:eastAsia="宋体"/>
        </w:rPr>
        <w:t xml:space="preserve"> 由订单级唯一约束 </w:t>
      </w:r>
      <w:r>
        <w:rPr>
          <w:rFonts w:ascii="Consolas" w:hAnsi="Consolas" w:eastAsia="Consolas"/>
          <w:sz w:val="19"/>
        </w:rPr>
        <w:t>uk_weighing_order</w:t>
      </w:r>
      <w:r>
        <w:rPr>
          <w:rFonts w:ascii="宋体" w:hAnsi="宋体" w:eastAsia="宋体"/>
        </w:rPr>
        <w:t xml:space="preserve"> 拦截：不同幂等键绕过了幂等键检查，但"每个订单最多一条称重记录"的约束使其无法生效。</w:t>
      </w:r>
    </w:p>
    <w:p>
      <w:pPr>
        <w:spacing w:after="120"/>
        <w:ind w:firstLine="440"/>
      </w:pPr>
      <w:r>
        <w:rPr>
          <w:rFonts w:ascii="宋体" w:hAnsi="宋体" w:eastAsia="宋体"/>
          <w:b/>
        </w:rPr>
        <w:t>如果只使用幂等键去重而不加唯一约束，E3-b 与 E3-c 都可能出现重复入账。</w:t>
      </w:r>
      <w:r>
        <w:rPr>
          <w:rFonts w:ascii="宋体" w:hAnsi="宋体" w:eastAsia="宋体"/>
        </w:rPr>
        <w:t xml:space="preserve"> 这是本文设计中"两者并用"的直接依据。</w:t>
      </w:r>
    </w:p>
    <w:p>
      <w:pPr>
        <w:spacing w:before="120" w:after="120"/>
      </w:pPr>
      <w:r>
        <w:rPr>
          <w:rFonts w:ascii="宋体" w:hAnsi="宋体" w:eastAsia="宋体"/>
          <w:color w:val="AAAAAA"/>
          <w:sz w:val="20"/>
        </w:rPr>
        <w:t>────────────────────────────────────────</w:t>
      </w:r>
    </w:p>
    <w:p>
      <w:pPr>
        <w:spacing w:before="200" w:after="120"/>
      </w:pPr>
      <w:r>
        <w:rPr>
          <w:rFonts w:ascii="黑体" w:hAnsi="黑体" w:eastAsia="黑体"/>
          <w:b/>
          <w:sz w:val="27"/>
        </w:rPr>
        <w:t>4.7 结果汇总</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宋体" w:hAnsi="宋体" w:eastAsia="宋体"/>
                <w:b/>
                <w:sz w:val="20"/>
              </w:rPr>
              <w:t>指标</w:t>
            </w:r>
          </w:p>
        </w:tc>
        <w:tc>
          <w:tcPr>
            <w:tcW w:type="dxa" w:w="1728"/>
          </w:tcPr>
          <w:p>
            <w:r/>
            <w:r>
              <w:rPr>
                <w:rFonts w:ascii="宋体" w:hAnsi="宋体" w:eastAsia="宋体"/>
                <w:b/>
                <w:sz w:val="20"/>
              </w:rPr>
              <w:t>符号</w:t>
            </w:r>
          </w:p>
        </w:tc>
        <w:tc>
          <w:tcPr>
            <w:tcW w:type="dxa" w:w="1728"/>
          </w:tcPr>
          <w:p>
            <w:r/>
            <w:r>
              <w:rPr>
                <w:rFonts w:ascii="宋体" w:hAnsi="宋体" w:eastAsia="宋体"/>
                <w:b/>
                <w:sz w:val="20"/>
              </w:rPr>
              <w:t>目标值</w:t>
            </w:r>
          </w:p>
        </w:tc>
        <w:tc>
          <w:tcPr>
            <w:tcW w:type="dxa" w:w="1728"/>
          </w:tcPr>
          <w:p>
            <w:r/>
            <w:r>
              <w:rPr>
                <w:rFonts w:ascii="宋体" w:hAnsi="宋体" w:eastAsia="宋体"/>
                <w:b/>
                <w:sz w:val="20"/>
              </w:rPr>
              <w:t>实测值</w:t>
            </w:r>
          </w:p>
        </w:tc>
        <w:tc>
          <w:tcPr>
            <w:tcW w:type="dxa" w:w="1728"/>
          </w:tcPr>
          <w:p>
            <w:r/>
            <w:r>
              <w:rPr>
                <w:rFonts w:ascii="宋体" w:hAnsi="宋体" w:eastAsia="宋体"/>
                <w:b/>
                <w:sz w:val="20"/>
              </w:rPr>
              <w:t>结论</w:t>
            </w:r>
          </w:p>
        </w:tc>
      </w:tr>
      <w:tr>
        <w:tc>
          <w:tcPr>
            <w:tcW w:type="dxa" w:w="1728"/>
          </w:tcPr>
          <w:p>
            <w:r/>
            <w:r>
              <w:rPr>
                <w:rFonts w:ascii="宋体" w:hAnsi="宋体" w:eastAsia="宋体"/>
                <w:sz w:val="20"/>
              </w:rPr>
              <w:t>不变式违反次数</w:t>
            </w:r>
          </w:p>
        </w:tc>
        <w:tc>
          <w:tcPr>
            <w:tcW w:type="dxa" w:w="1728"/>
          </w:tcPr>
          <w:p>
            <w:r/>
            <w:r>
              <w:rPr>
                <w:rFonts w:ascii="Consolas" w:hAnsi="Consolas" w:eastAsia="Consolas"/>
                <w:sz w:val="18"/>
              </w:rPr>
              <w:t>V</w:t>
            </w:r>
          </w:p>
        </w:tc>
        <w:tc>
          <w:tcPr>
            <w:tcW w:type="dxa" w:w="1728"/>
          </w:tcPr>
          <w:p>
            <w:r/>
            <w:r>
              <w:rPr>
                <w:rFonts w:ascii="宋体" w:hAnsi="宋体" w:eastAsia="宋体"/>
                <w:sz w:val="20"/>
              </w:rPr>
              <w:t>0</w:t>
            </w:r>
          </w:p>
        </w:tc>
        <w:tc>
          <w:tcPr>
            <w:tcW w:type="dxa" w:w="1728"/>
          </w:tcPr>
          <w:p>
            <w:r/>
            <w:r>
              <w:rPr>
                <w:rFonts w:ascii="宋体" w:hAnsi="宋体" w:eastAsia="宋体"/>
                <w:sz w:val="20"/>
              </w:rPr>
              <w:t>0（20 轮 × 4 条不变式）</w:t>
            </w:r>
          </w:p>
        </w:tc>
        <w:tc>
          <w:tcPr>
            <w:tcW w:type="dxa" w:w="1728"/>
          </w:tcPr>
          <w:p>
            <w:r/>
            <w:r>
              <w:rPr>
                <w:rFonts w:ascii="宋体" w:hAnsi="宋体" w:eastAsia="宋体"/>
                <w:sz w:val="20"/>
              </w:rPr>
              <w:t>通过</w:t>
            </w:r>
          </w:p>
        </w:tc>
      </w:tr>
      <w:tr>
        <w:tc>
          <w:tcPr>
            <w:tcW w:type="dxa" w:w="1728"/>
          </w:tcPr>
          <w:p>
            <w:r/>
            <w:r>
              <w:rPr>
                <w:rFonts w:ascii="宋体" w:hAnsi="宋体" w:eastAsia="宋体"/>
                <w:sz w:val="20"/>
              </w:rPr>
              <w:t>整单分摊总量误差</w:t>
            </w:r>
          </w:p>
        </w:tc>
        <w:tc>
          <w:tcPr>
            <w:tcW w:type="dxa" w:w="1728"/>
          </w:tcPr>
          <w:p>
            <w:r/>
            <w:r>
              <w:rPr>
                <w:rFonts w:ascii="Consolas" w:hAnsi="Consolas" w:eastAsia="Consolas"/>
                <w:sz w:val="18"/>
              </w:rPr>
              <w:t>ε_total</w:t>
            </w:r>
          </w:p>
        </w:tc>
        <w:tc>
          <w:tcPr>
            <w:tcW w:type="dxa" w:w="1728"/>
          </w:tcPr>
          <w:p>
            <w:r/>
            <w:r>
              <w:rPr>
                <w:rFonts w:ascii="宋体" w:hAnsi="宋体" w:eastAsia="宋体"/>
                <w:sz w:val="20"/>
              </w:rPr>
              <w:t>0</w:t>
            </w:r>
          </w:p>
        </w:tc>
        <w:tc>
          <w:tcPr>
            <w:tcW w:type="dxa" w:w="1728"/>
          </w:tcPr>
          <w:p>
            <w:r/>
            <w:r>
              <w:rPr>
                <w:rFonts w:ascii="宋体" w:hAnsi="宋体" w:eastAsia="宋体"/>
                <w:sz w:val="20"/>
              </w:rPr>
              <w:t>0（含跨 7 批次取整场景）</w:t>
            </w:r>
          </w:p>
        </w:tc>
        <w:tc>
          <w:tcPr>
            <w:tcW w:type="dxa" w:w="1728"/>
          </w:tcPr>
          <w:p>
            <w:r/>
            <w:r>
              <w:rPr>
                <w:rFonts w:ascii="宋体" w:hAnsi="宋体" w:eastAsia="宋体"/>
                <w:sz w:val="20"/>
              </w:rPr>
              <w:t>通过</w:t>
            </w:r>
          </w:p>
        </w:tc>
      </w:tr>
      <w:tr>
        <w:tc>
          <w:tcPr>
            <w:tcW w:type="dxa" w:w="1728"/>
          </w:tcPr>
          <w:p>
            <w:r/>
            <w:r>
              <w:rPr>
                <w:rFonts w:ascii="宋体" w:hAnsi="宋体" w:eastAsia="宋体"/>
                <w:sz w:val="20"/>
              </w:rPr>
              <w:t>项级与整单口径一致性</w:t>
            </w:r>
          </w:p>
        </w:tc>
        <w:tc>
          <w:tcPr>
            <w:tcW w:type="dxa" w:w="1728"/>
          </w:tcPr>
          <w:p>
            <w:r/>
            <w:r>
              <w:rPr>
                <w:rFonts w:ascii="宋体" w:hAnsi="宋体" w:eastAsia="宋体"/>
                <w:sz w:val="20"/>
              </w:rPr>
              <w:t>I6</w:t>
            </w:r>
          </w:p>
        </w:tc>
        <w:tc>
          <w:tcPr>
            <w:tcW w:type="dxa" w:w="1728"/>
          </w:tcPr>
          <w:p>
            <w:r/>
            <w:r>
              <w:rPr>
                <w:rFonts w:ascii="宋体" w:hAnsi="宋体" w:eastAsia="宋体"/>
                <w:sz w:val="20"/>
              </w:rPr>
              <w:t>相等</w:t>
            </w:r>
          </w:p>
        </w:tc>
        <w:tc>
          <w:tcPr>
            <w:tcW w:type="dxa" w:w="1728"/>
          </w:tcPr>
          <w:p>
            <w:r/>
            <w:r>
              <w:rPr>
                <w:rFonts w:ascii="宋体" w:hAnsi="宋体" w:eastAsia="宋体"/>
                <w:sz w:val="20"/>
              </w:rPr>
              <w:t>相等</w:t>
            </w:r>
          </w:p>
        </w:tc>
        <w:tc>
          <w:tcPr>
            <w:tcW w:type="dxa" w:w="1728"/>
          </w:tcPr>
          <w:p>
            <w:r/>
            <w:r>
              <w:rPr>
                <w:rFonts w:ascii="宋体" w:hAnsi="宋体" w:eastAsia="宋体"/>
                <w:sz w:val="20"/>
              </w:rPr>
              <w:t>通过</w:t>
            </w:r>
          </w:p>
        </w:tc>
      </w:tr>
      <w:tr>
        <w:tc>
          <w:tcPr>
            <w:tcW w:type="dxa" w:w="1728"/>
          </w:tcPr>
          <w:p>
            <w:r/>
            <w:r>
              <w:rPr>
                <w:rFonts w:ascii="宋体" w:hAnsi="宋体" w:eastAsia="宋体"/>
                <w:sz w:val="20"/>
              </w:rPr>
              <w:t>顺序重放有效变更次数</w:t>
            </w:r>
          </w:p>
        </w:tc>
        <w:tc>
          <w:tcPr>
            <w:tcW w:type="dxa" w:w="1728"/>
          </w:tcPr>
          <w:p>
            <w:r/>
            <w:r>
              <w:rPr>
                <w:rFonts w:ascii="Consolas" w:hAnsi="Consolas" w:eastAsia="Consolas"/>
                <w:sz w:val="18"/>
              </w:rPr>
              <w:t>N_eff</w:t>
            </w:r>
          </w:p>
        </w:tc>
        <w:tc>
          <w:tcPr>
            <w:tcW w:type="dxa" w:w="1728"/>
          </w:tcPr>
          <w:p>
            <w:r/>
            <w:r>
              <w:rPr>
                <w:rFonts w:ascii="宋体" w:hAnsi="宋体" w:eastAsia="宋体"/>
                <w:sz w:val="20"/>
              </w:rPr>
              <w:t>1</w:t>
            </w:r>
          </w:p>
        </w:tc>
        <w:tc>
          <w:tcPr>
            <w:tcW w:type="dxa" w:w="1728"/>
          </w:tcPr>
          <w:p>
            <w:r/>
            <w:r>
              <w:rPr>
                <w:rFonts w:ascii="宋体" w:hAnsi="宋体" w:eastAsia="宋体"/>
                <w:sz w:val="20"/>
              </w:rPr>
              <w:t>1</w:t>
            </w:r>
          </w:p>
        </w:tc>
        <w:tc>
          <w:tcPr>
            <w:tcW w:type="dxa" w:w="1728"/>
          </w:tcPr>
          <w:p>
            <w:r/>
            <w:r>
              <w:rPr>
                <w:rFonts w:ascii="宋体" w:hAnsi="宋体" w:eastAsia="宋体"/>
                <w:sz w:val="20"/>
              </w:rPr>
              <w:t>通过</w:t>
            </w:r>
          </w:p>
        </w:tc>
      </w:tr>
      <w:tr>
        <w:tc>
          <w:tcPr>
            <w:tcW w:type="dxa" w:w="1728"/>
          </w:tcPr>
          <w:p>
            <w:r/>
            <w:r>
              <w:rPr>
                <w:rFonts w:ascii="宋体" w:hAnsi="宋体" w:eastAsia="宋体"/>
                <w:sz w:val="20"/>
              </w:rPr>
              <w:t>并发同键有效变更次数</w:t>
            </w:r>
          </w:p>
        </w:tc>
        <w:tc>
          <w:tcPr>
            <w:tcW w:type="dxa" w:w="1728"/>
          </w:tcPr>
          <w:p>
            <w:r/>
            <w:r>
              <w:rPr>
                <w:rFonts w:ascii="Consolas" w:hAnsi="Consolas" w:eastAsia="Consolas"/>
                <w:sz w:val="18"/>
              </w:rPr>
              <w:t>N_eff</w:t>
            </w:r>
          </w:p>
        </w:tc>
        <w:tc>
          <w:tcPr>
            <w:tcW w:type="dxa" w:w="1728"/>
          </w:tcPr>
          <w:p>
            <w:r/>
            <w:r>
              <w:rPr>
                <w:rFonts w:ascii="宋体" w:hAnsi="宋体" w:eastAsia="宋体"/>
                <w:sz w:val="20"/>
              </w:rPr>
              <w:t>1</w:t>
            </w:r>
          </w:p>
        </w:tc>
        <w:tc>
          <w:tcPr>
            <w:tcW w:type="dxa" w:w="1728"/>
          </w:tcPr>
          <w:p>
            <w:r/>
            <w:r>
              <w:rPr>
                <w:rFonts w:ascii="宋体" w:hAnsi="宋体" w:eastAsia="宋体"/>
                <w:sz w:val="20"/>
              </w:rPr>
              <w:t>1</w:t>
            </w:r>
          </w:p>
        </w:tc>
        <w:tc>
          <w:tcPr>
            <w:tcW w:type="dxa" w:w="1728"/>
          </w:tcPr>
          <w:p>
            <w:r/>
            <w:r>
              <w:rPr>
                <w:rFonts w:ascii="宋体" w:hAnsi="宋体" w:eastAsia="宋体"/>
                <w:sz w:val="20"/>
              </w:rPr>
              <w:t>通过</w:t>
            </w:r>
          </w:p>
        </w:tc>
      </w:tr>
      <w:tr>
        <w:tc>
          <w:tcPr>
            <w:tcW w:type="dxa" w:w="1728"/>
          </w:tcPr>
          <w:p>
            <w:r/>
            <w:r>
              <w:rPr>
                <w:rFonts w:ascii="宋体" w:hAnsi="宋体" w:eastAsia="宋体"/>
                <w:sz w:val="20"/>
              </w:rPr>
              <w:t>同实体异键有效变更次数</w:t>
            </w:r>
          </w:p>
        </w:tc>
        <w:tc>
          <w:tcPr>
            <w:tcW w:type="dxa" w:w="1728"/>
          </w:tcPr>
          <w:p>
            <w:r/>
            <w:r>
              <w:rPr>
                <w:rFonts w:ascii="Consolas" w:hAnsi="Consolas" w:eastAsia="Consolas"/>
                <w:sz w:val="18"/>
              </w:rPr>
              <w:t>N_eff</w:t>
            </w:r>
          </w:p>
        </w:tc>
        <w:tc>
          <w:tcPr>
            <w:tcW w:type="dxa" w:w="1728"/>
          </w:tcPr>
          <w:p>
            <w:r/>
            <w:r>
              <w:rPr>
                <w:rFonts w:ascii="宋体" w:hAnsi="宋体" w:eastAsia="宋体"/>
                <w:sz w:val="20"/>
              </w:rPr>
              <w:t>1</w:t>
            </w:r>
          </w:p>
        </w:tc>
        <w:tc>
          <w:tcPr>
            <w:tcW w:type="dxa" w:w="1728"/>
          </w:tcPr>
          <w:p>
            <w:r/>
            <w:r>
              <w:rPr>
                <w:rFonts w:ascii="宋体" w:hAnsi="宋体" w:eastAsia="宋体"/>
                <w:sz w:val="20"/>
              </w:rPr>
              <w:t>1</w:t>
            </w:r>
          </w:p>
        </w:tc>
        <w:tc>
          <w:tcPr>
            <w:tcW w:type="dxa" w:w="1728"/>
          </w:tcPr>
          <w:p>
            <w:r/>
            <w:r>
              <w:rPr>
                <w:rFonts w:ascii="宋体" w:hAnsi="宋体" w:eastAsia="宋体"/>
                <w:sz w:val="20"/>
              </w:rPr>
              <w:t>通过</w:t>
            </w:r>
          </w:p>
        </w:tc>
      </w:tr>
      <w:tr>
        <w:tc>
          <w:tcPr>
            <w:tcW w:type="dxa" w:w="1728"/>
          </w:tcPr>
          <w:p>
            <w:r/>
            <w:r>
              <w:rPr>
                <w:rFonts w:ascii="宋体" w:hAnsi="宋体" w:eastAsia="宋体"/>
                <w:sz w:val="20"/>
              </w:rPr>
              <w:t>负库存次数</w:t>
            </w:r>
          </w:p>
        </w:tc>
        <w:tc>
          <w:tcPr>
            <w:tcW w:type="dxa" w:w="1728"/>
          </w:tcPr>
          <w:p>
            <w:r/>
            <w:r>
              <w:rPr>
                <w:rFonts w:ascii="Consolas" w:hAnsi="Consolas" w:eastAsia="Consolas"/>
                <w:sz w:val="18"/>
              </w:rPr>
              <w:t>N_neg</w:t>
            </w:r>
          </w:p>
        </w:tc>
        <w:tc>
          <w:tcPr>
            <w:tcW w:type="dxa" w:w="1728"/>
          </w:tcPr>
          <w:p>
            <w:r/>
            <w:r>
              <w:rPr>
                <w:rFonts w:ascii="宋体" w:hAnsi="宋体" w:eastAsia="宋体"/>
                <w:sz w:val="20"/>
              </w:rPr>
              <w:t>0</w:t>
            </w:r>
          </w:p>
        </w:tc>
        <w:tc>
          <w:tcPr>
            <w:tcW w:type="dxa" w:w="1728"/>
          </w:tcPr>
          <w:p>
            <w:r/>
            <w:r>
              <w:rPr>
                <w:rFonts w:ascii="宋体" w:hAnsi="宋体" w:eastAsia="宋体"/>
                <w:sz w:val="20"/>
              </w:rPr>
              <w:t>0</w:t>
            </w:r>
          </w:p>
        </w:tc>
        <w:tc>
          <w:tcPr>
            <w:tcW w:type="dxa" w:w="1728"/>
          </w:tcPr>
          <w:p>
            <w:r/>
            <w:r>
              <w:rPr>
                <w:rFonts w:ascii="宋体" w:hAnsi="宋体" w:eastAsia="宋体"/>
                <w:sz w:val="20"/>
              </w:rPr>
              <w:t>通过</w:t>
            </w:r>
          </w:p>
        </w:tc>
      </w:tr>
      <w:tr>
        <w:tc>
          <w:tcPr>
            <w:tcW w:type="dxa" w:w="1728"/>
          </w:tcPr>
          <w:p>
            <w:r/>
            <w:r>
              <w:rPr>
                <w:rFonts w:ascii="宋体" w:hAnsi="宋体" w:eastAsia="宋体"/>
                <w:sz w:val="20"/>
              </w:rPr>
              <w:t>重复入账次数</w:t>
            </w:r>
          </w:p>
        </w:tc>
        <w:tc>
          <w:tcPr>
            <w:tcW w:type="dxa" w:w="1728"/>
          </w:tcPr>
          <w:p>
            <w:r/>
            <w:r>
              <w:rPr>
                <w:rFonts w:ascii="Consolas" w:hAnsi="Consolas" w:eastAsia="Consolas"/>
                <w:sz w:val="18"/>
              </w:rPr>
              <w:t>N_dup</w:t>
            </w:r>
          </w:p>
        </w:tc>
        <w:tc>
          <w:tcPr>
            <w:tcW w:type="dxa" w:w="1728"/>
          </w:tcPr>
          <w:p>
            <w:r/>
            <w:r>
              <w:rPr>
                <w:rFonts w:ascii="宋体" w:hAnsi="宋体" w:eastAsia="宋体"/>
                <w:sz w:val="20"/>
              </w:rPr>
              <w:t>0</w:t>
            </w:r>
          </w:p>
        </w:tc>
        <w:tc>
          <w:tcPr>
            <w:tcW w:type="dxa" w:w="1728"/>
          </w:tcPr>
          <w:p>
            <w:r/>
            <w:r>
              <w:rPr>
                <w:rFonts w:ascii="宋体" w:hAnsi="宋体" w:eastAsia="宋体"/>
                <w:sz w:val="20"/>
              </w:rPr>
              <w:t>0</w:t>
            </w:r>
          </w:p>
        </w:tc>
        <w:tc>
          <w:tcPr>
            <w:tcW w:type="dxa" w:w="1728"/>
          </w:tcPr>
          <w:p>
            <w:r/>
            <w:r>
              <w:rPr>
                <w:rFonts w:ascii="宋体" w:hAnsi="宋体" w:eastAsia="宋体"/>
                <w:sz w:val="20"/>
              </w:rPr>
              <w:t>通过</w:t>
            </w:r>
          </w:p>
        </w:tc>
      </w:tr>
    </w:tbl>
    <w:p/>
    <w:p>
      <w:pPr>
        <w:spacing w:after="120"/>
        <w:ind w:firstLine="440"/>
      </w:pPr>
      <w:r>
        <w:rPr>
          <w:rFonts w:ascii="宋体" w:hAnsi="宋体" w:eastAsia="宋体"/>
        </w:rPr>
        <w:t>全部测试的执行结果：</w:t>
      </w:r>
    </w:p>
    <w:p>
      <w:pPr>
        <w:spacing w:before="80" w:after="200"/>
        <w:ind w:left="360"/>
      </w:pPr>
      <w:r>
        <w:rPr>
          <w:rFonts w:ascii="Consolas" w:hAnsi="Consolas" w:eastAsia="Consolas"/>
          <w:sz w:val="19"/>
        </w:rPr>
        <w:t>E1 InvariantRegressionExperimentTest ...... 3/3 PASS</w:t>
        <w:br/>
        <w:t>E2 AllocationGranularityExperimentTest .... 4/4 PASS</w:t>
        <w:br/>
        <w:t>E3 IdempotencyExperimentTest .............. 3/3 PASS</w:t>
        <w:br/>
        <w:t>合计：10 项通过，Failures 0，Errors 0，BUILD SUCCESS</w:t>
        <w:br/>
        <w:br/>
        <w:t>全量测试：Tests run: 42, Failures: 0, Errors: 0（32 项策略测试 + 10 项一致性实验）</w:t>
        <w:br/>
        <w:t>端到端测试：passed: 96, failed: 0</w:t>
      </w:r>
    </w:p>
    <w:p>
      <w:pPr>
        <w:spacing w:before="120" w:after="120"/>
      </w:pPr>
      <w:r>
        <w:rPr>
          <w:rFonts w:ascii="宋体" w:hAnsi="宋体" w:eastAsia="宋体"/>
          <w:color w:val="AAAAAA"/>
          <w:sz w:val="20"/>
        </w:rPr>
        <w:t>────────────────────────────────────────</w:t>
      </w:r>
    </w:p>
    <w:p>
      <w:pPr>
        <w:spacing w:before="200" w:after="120"/>
      </w:pPr>
      <w:r>
        <w:rPr>
          <w:rFonts w:ascii="黑体" w:hAnsi="黑体" w:eastAsia="黑体"/>
          <w:b/>
          <w:sz w:val="27"/>
        </w:rPr>
        <w:t>4.8 关键发现</w:t>
      </w:r>
    </w:p>
    <w:p>
      <w:pPr>
        <w:spacing w:before="200" w:after="120"/>
      </w:pPr>
      <w:r>
        <w:rPr>
          <w:rFonts w:ascii="黑体" w:hAnsi="黑体" w:eastAsia="黑体"/>
          <w:b/>
          <w:sz w:val="25"/>
        </w:rPr>
        <w:t>4.8.1 发现一：实验发现了一处真实的实现缺陷</w:t>
      </w:r>
    </w:p>
    <w:p>
      <w:pPr>
        <w:spacing w:after="120"/>
        <w:ind w:firstLine="440"/>
      </w:pPr>
      <w:r>
        <w:rPr>
          <w:rFonts w:ascii="宋体" w:hAnsi="宋体" w:eastAsia="宋体"/>
          <w:b/>
        </w:rPr>
        <w:t>现象</w:t>
      </w:r>
      <w:r>
        <w:rPr>
          <w:rFonts w:ascii="宋体" w:hAnsi="宋体" w:eastAsia="宋体"/>
        </w:rPr>
        <w:t xml:space="preserve">：E1 的"零差额"用例与 E2 的多个用例在首次运行时抛出 </w:t>
      </w:r>
      <w:r>
        <w:rPr>
          <w:rFonts w:ascii="Consolas" w:hAnsi="Consolas" w:eastAsia="Consolas"/>
          <w:sz w:val="19"/>
        </w:rPr>
        <w:t>409 CONFLICT "user wallet is unavailable"</w:t>
      </w:r>
      <w:r>
        <w:rPr>
          <w:rFonts w:ascii="宋体" w:hAnsi="宋体" w:eastAsia="宋体"/>
        </w:rPr>
        <w:t>。</w:t>
      </w:r>
    </w:p>
    <w:p>
      <w:pPr>
        <w:spacing w:after="120"/>
        <w:ind w:firstLine="440"/>
      </w:pPr>
      <w:r>
        <w:rPr>
          <w:rFonts w:ascii="宋体" w:hAnsi="宋体" w:eastAsia="宋体"/>
          <w:b/>
        </w:rPr>
        <w:t>定位</w:t>
      </w:r>
      <w:r>
        <w:rPr>
          <w:rFonts w:ascii="宋体" w:hAnsi="宋体" w:eastAsia="宋体"/>
        </w:rPr>
        <w:t>：结算策略对差额的判定逻辑为</w:t>
      </w:r>
    </w:p>
    <w:p>
      <w:pPr>
        <w:spacing w:before="80" w:after="200"/>
        <w:ind w:left="360"/>
      </w:pPr>
      <w:r>
        <w:rPr>
          <w:rFonts w:ascii="Consolas" w:hAnsi="Consolas" w:eastAsia="Consolas"/>
          <w:sz w:val="19"/>
        </w:rPr>
        <w:t>if (difference.signum() &lt;= 0) {</w:t>
        <w:br/>
        <w:t xml:space="preserve">    return new Settlement(SettlementAction.REFUND_USER, difference.abs(), BigDecimal.ZERO);</w:t>
        <w:br/>
        <w:t>}</w:t>
      </w:r>
    </w:p>
    <w:p>
      <w:pPr>
        <w:spacing w:after="120"/>
        <w:ind w:firstLine="440"/>
      </w:pPr>
      <w:r>
        <w:rPr>
          <w:rFonts w:ascii="宋体" w:hAnsi="宋体" w:eastAsia="宋体"/>
        </w:rPr>
        <w:t xml:space="preserve">问题在于 </w:t>
      </w:r>
      <w:r>
        <w:rPr>
          <w:rFonts w:ascii="Consolas" w:hAnsi="Consolas" w:eastAsia="Consolas"/>
          <w:sz w:val="19"/>
        </w:rPr>
        <w:t>&lt;= 0</w:t>
      </w:r>
      <w:r>
        <w:rPr>
          <w:rFonts w:ascii="宋体" w:hAnsi="宋体" w:eastAsia="宋体"/>
        </w:rPr>
        <w:t xml:space="preserve"> 这个条件：</w:t>
      </w:r>
      <w:r>
        <w:rPr>
          <w:rFonts w:ascii="宋体" w:hAnsi="宋体" w:eastAsia="宋体"/>
          <w:b/>
        </w:rPr>
        <w:t>差额为零时也进入退款分支</w:t>
      </w:r>
      <w:r>
        <w:rPr>
          <w:rFonts w:ascii="宋体" w:hAnsi="宋体" w:eastAsia="宋体"/>
        </w:rPr>
        <w:t>。进而，结算方法会执行"更新用户钱包余额"与"写入钱包流水"两个操作。前者在用户无钱包账户时影响行数为 0，随后的余额查询返回空，于是抛出冲突异常，整笔称重调整被拒绝。</w:t>
      </w:r>
    </w:p>
    <w:p>
      <w:pPr>
        <w:spacing w:after="120"/>
        <w:ind w:firstLine="440"/>
      </w:pPr>
      <w:r>
        <w:rPr>
          <w:rFonts w:ascii="宋体" w:hAnsi="宋体" w:eastAsia="宋体"/>
          <w:b/>
        </w:rPr>
        <w:t>影响分析</w:t>
      </w:r>
      <w:r>
        <w:rPr>
          <w:rFonts w:ascii="宋体" w:hAnsi="宋体" w:eastAsia="宋体"/>
        </w:rPr>
        <w:t>：这一缺陷的影响有两层。表层影响是：一次纯粹的库存校准操作（金额无变化）却依赖用户钱包账户的存在，若钱包未开通则整个称重流程中断。深层影响是：当钱包存在时，每次零差额称重都会写入一条 0 元流水，污染资金流水记录。</w:t>
      </w:r>
    </w:p>
    <w:p>
      <w:pPr>
        <w:spacing w:after="120"/>
        <w:ind w:firstLine="440"/>
      </w:pPr>
      <w:r>
        <w:rPr>
          <w:rFonts w:ascii="宋体" w:hAnsi="宋体" w:eastAsia="宋体"/>
          <w:b/>
        </w:rPr>
        <w:t>修复</w:t>
      </w:r>
      <w:r>
        <w:rPr>
          <w:rFonts w:ascii="宋体" w:hAnsi="宋体" w:eastAsia="宋体"/>
        </w:rPr>
        <w:t>：在结算入口增加零差额短路——既不退款也不记账，直接标记结算完成。</w:t>
      </w:r>
    </w:p>
    <w:p>
      <w:pPr>
        <w:spacing w:before="80" w:after="200"/>
        <w:ind w:left="360"/>
      </w:pPr>
      <w:r>
        <w:rPr>
          <w:rFonts w:ascii="Consolas" w:hAnsi="Consolas" w:eastAsia="Consolas"/>
          <w:sz w:val="19"/>
        </w:rPr>
        <w:t>// 金额无差额时不存在资金动作：既不退款也不记账，避免产生 0 元流水与无谓的钱包依赖</w:t>
        <w:br/>
        <w:t>if (settlement.refundAmount().signum() == 0 &amp;&amp; settlement.absorbedAmount().signum() == 0) {</w:t>
        <w:br/>
        <w:t xml:space="preserve">    markSettled(order.id(), "WEIGH-NO-DIFF-" + order.id());</w:t>
        <w:br/>
        <w:t xml:space="preserve">    return;</w:t>
        <w:br/>
        <w:t>}</w:t>
      </w:r>
    </w:p>
    <w:p>
      <w:pPr>
        <w:spacing w:after="120"/>
        <w:ind w:firstLine="440"/>
      </w:pPr>
      <w:r>
        <w:rPr>
          <w:rFonts w:ascii="宋体" w:hAnsi="宋体" w:eastAsia="宋体"/>
          <w:b/>
        </w:rPr>
        <w:t>方法论意义</w:t>
      </w:r>
      <w:r>
        <w:rPr>
          <w:rFonts w:ascii="宋体" w:hAnsi="宋体" w:eastAsia="宋体"/>
        </w:rPr>
        <w:t>：这一发现并非来自代码审查，而是来自</w:t>
      </w:r>
      <w:r>
        <w:rPr>
          <w:rFonts w:ascii="宋体" w:hAnsi="宋体" w:eastAsia="宋体"/>
          <w:b/>
        </w:rPr>
        <w:t>不变式驱动的实验设计</w:t>
      </w:r>
      <w:r>
        <w:rPr>
          <w:rFonts w:ascii="宋体" w:hAnsi="宋体" w:eastAsia="宋体"/>
        </w:rPr>
        <w:t xml:space="preserve">。E1 的"零差额"用例是被不变式体系推导出来的必要边界——既然存在 </w:t>
      </w:r>
      <w:r>
        <w:rPr>
          <w:rFonts w:ascii="Consolas" w:hAnsi="Consolas" w:eastAsia="Consolas"/>
          <w:sz w:val="19"/>
        </w:rPr>
        <w:t>actual = prepaid</w:t>
      </w:r>
      <w:r>
        <w:rPr>
          <w:rFonts w:ascii="宋体" w:hAnsi="宋体" w:eastAsia="宋体"/>
        </w:rPr>
        <w:t xml:space="preserve"> 这一合法状态，就必须验证该状态下的行为。可以说，是</w:t>
      </w:r>
      <w:r>
        <w:rPr>
          <w:rFonts w:ascii="宋体" w:hAnsi="宋体" w:eastAsia="宋体"/>
          <w:b/>
        </w:rPr>
        <w:t>形式化建模的过程本身引导了缺陷的发现</w:t>
      </w:r>
      <w:r>
        <w:rPr>
          <w:rFonts w:ascii="宋体" w:hAnsi="宋体" w:eastAsia="宋体"/>
        </w:rPr>
        <w:t>。</w:t>
      </w:r>
    </w:p>
    <w:p>
      <w:pPr>
        <w:spacing w:before="200" w:after="120"/>
      </w:pPr>
      <w:r>
        <w:rPr>
          <w:rFonts w:ascii="黑体" w:hAnsi="黑体" w:eastAsia="黑体"/>
          <w:b/>
          <w:sz w:val="25"/>
        </w:rPr>
        <w:t>4.8.2 发现二：假设 H2 部分被证伪，但得到了更有价值的结论</w:t>
      </w:r>
    </w:p>
    <w:p>
      <w:pPr>
        <w:spacing w:after="120"/>
        <w:ind w:firstLine="440"/>
      </w:pPr>
      <w:r>
        <w:rPr>
          <w:rFonts w:ascii="宋体" w:hAnsi="宋体" w:eastAsia="宋体"/>
          <w:b/>
        </w:rPr>
        <w:t>原假设</w:t>
      </w:r>
      <w:r>
        <w:rPr>
          <w:rFonts w:ascii="宋体" w:hAnsi="宋体" w:eastAsia="宋体"/>
        </w:rPr>
        <w:t>：整单分摊在"订单项跨多批次且偏差方向相反"时会产生可测量的克数误差，而逐项回补误差为零。</w:t>
      </w:r>
    </w:p>
    <w:p>
      <w:pPr>
        <w:spacing w:after="120"/>
        <w:ind w:firstLine="440"/>
      </w:pPr>
      <w:r>
        <w:rPr>
          <w:rFonts w:ascii="宋体" w:hAnsi="宋体" w:eastAsia="宋体"/>
          <w:b/>
        </w:rPr>
        <w:t>实测结果</w:t>
      </w:r>
      <w:r>
        <w:rPr>
          <w:rFonts w:ascii="宋体" w:hAnsi="宋体" w:eastAsia="宋体"/>
        </w:rPr>
        <w:t>：两种粒度在</w:t>
      </w:r>
      <w:r>
        <w:rPr>
          <w:rFonts w:ascii="宋体" w:hAnsi="宋体" w:eastAsia="宋体"/>
          <w:b/>
        </w:rPr>
        <w:t>总量上都无损</w:t>
      </w:r>
      <w:r>
        <w:rPr>
          <w:rFonts w:ascii="宋体" w:hAnsi="宋体" w:eastAsia="宋体"/>
        </w:rPr>
        <w:t xml:space="preserve">。整单分摊之所以没有误差，是因为实现采用了"按预占比例计算、最后一批兜底剩余"的策略，取整余数被最后一批吸收，因此 </w:t>
      </w:r>
      <w:r>
        <w:rPr>
          <w:rFonts w:ascii="Consolas" w:hAnsi="Consolas" w:eastAsia="Consolas"/>
          <w:sz w:val="19"/>
        </w:rPr>
        <w:t>ε_total = 0</w:t>
      </w:r>
      <w:r>
        <w:rPr>
          <w:rFonts w:ascii="宋体" w:hAnsi="宋体" w:eastAsia="宋体"/>
        </w:rPr>
        <w:t xml:space="preserve"> 在跨 7 批次的极端场景下同样成立。</w:t>
      </w:r>
    </w:p>
    <w:p>
      <w:pPr>
        <w:spacing w:after="120"/>
        <w:ind w:firstLine="440"/>
      </w:pPr>
      <w:r>
        <w:rPr>
          <w:rFonts w:ascii="宋体" w:hAnsi="宋体" w:eastAsia="宋体"/>
          <w:b/>
        </w:rPr>
        <w:t>但这不意味着两种粒度等价</w:t>
      </w:r>
      <w:r>
        <w:rPr>
          <w:rFonts w:ascii="宋体" w:hAnsi="宋体" w:eastAsia="宋体"/>
        </w:rPr>
        <w:t>。E2-4 的直接对照表明，差异存在于</w:t>
      </w:r>
      <w:r>
        <w:rPr>
          <w:rFonts w:ascii="宋体" w:hAnsi="宋体" w:eastAsia="宋体"/>
          <w:b/>
        </w:rPr>
        <w:t>批次级归属</w:t>
      </w:r>
      <w:r>
        <w:rPr>
          <w:rFonts w:ascii="宋体" w:hAnsi="宋体" w:eastAsia="宋体"/>
        </w:rPr>
        <w:t>：当偏差方向相反且恰好相互抵消时，整单模式会使所有批次保持不动，实际情况却是某一批次被多拿了商品、另一批次少拿了商品。</w:t>
      </w:r>
    </w:p>
    <w:p>
      <w:pPr>
        <w:spacing w:after="120"/>
        <w:ind w:firstLine="440"/>
      </w:pPr>
      <w:r>
        <w:rPr>
          <w:rFonts w:ascii="宋体" w:hAnsi="宋体" w:eastAsia="宋体"/>
          <w:b/>
        </w:rPr>
        <w:t>结论修正</w:t>
      </w:r>
      <w:r>
        <w:rPr>
          <w:rFonts w:ascii="宋体" w:hAnsi="宋体" w:eastAsia="宋体"/>
        </w:rPr>
        <w:t>：本文将论点从"误差量级"修正为"</w:t>
      </w:r>
      <w:r>
        <w:rPr>
          <w:rFonts w:ascii="宋体" w:hAnsi="宋体" w:eastAsia="宋体"/>
          <w:b/>
        </w:rPr>
        <w:t>批次归属精度</w:t>
      </w:r>
      <w:r>
        <w:rPr>
          <w:rFonts w:ascii="宋体" w:hAnsi="宋体" w:eastAsia="宋体"/>
        </w:rPr>
        <w:t>"。这不是一次失败的实验，而是一次有效的假设修正——它把一个无法证实的量化猜想，转化为一个有明确机制解释的定性结论，且该结论可被直接验证（E2-4 的对照即为验证）。</w:t>
      </w:r>
    </w:p>
    <w:p>
      <w:pPr>
        <w:spacing w:before="120" w:after="120"/>
      </w:pPr>
      <w:r>
        <w:rPr>
          <w:rFonts w:ascii="宋体" w:hAnsi="宋体" w:eastAsia="宋体"/>
          <w:color w:val="AAAAAA"/>
          <w:sz w:val="20"/>
        </w:rPr>
        <w:t>────────────────────────────────────────</w:t>
      </w:r>
    </w:p>
    <w:p>
      <w:pPr>
        <w:spacing w:before="280" w:after="120"/>
      </w:pPr>
      <w:r>
        <w:rPr>
          <w:rFonts w:ascii="黑体" w:hAnsi="黑体" w:eastAsia="黑体"/>
          <w:b/>
          <w:sz w:val="30"/>
        </w:rPr>
        <w:t>第五章 讨论</w:t>
      </w:r>
    </w:p>
    <w:p>
      <w:pPr>
        <w:spacing w:before="200" w:after="120"/>
      </w:pPr>
      <w:r>
        <w:rPr>
          <w:rFonts w:ascii="黑体" w:hAnsi="黑体" w:eastAsia="黑体"/>
          <w:b/>
          <w:sz w:val="27"/>
        </w:rPr>
        <w:t>5.1 核心论点：批次级归属精度比总量守恒更重要</w:t>
      </w:r>
    </w:p>
    <w:p>
      <w:pPr>
        <w:spacing w:after="120"/>
        <w:ind w:firstLine="440"/>
      </w:pPr>
      <w:r>
        <w:rPr>
          <w:rFonts w:ascii="宋体" w:hAnsi="宋体" w:eastAsia="宋体"/>
        </w:rPr>
        <w:t>本文最重要的结论可以表述为：</w:t>
      </w:r>
    </w:p>
    <w:p>
      <w:pPr>
        <w:ind w:left="360"/>
      </w:pPr>
      <w:r>
        <w:rPr>
          <w:rFonts w:ascii="宋体" w:hAnsi="宋体" w:eastAsia="宋体"/>
          <w:b/>
          <w:sz w:val="20"/>
        </w:rPr>
        <w:t>在生鲜按重量计价的场景中，"总量守恒"不足以保证库存可信；真正决定库存可信度的是批次级归属的精度。</w:t>
      </w:r>
    </w:p>
    <w:p>
      <w:pPr>
        <w:spacing w:after="120"/>
        <w:ind w:firstLine="440"/>
      </w:pPr>
      <w:r>
        <w:rPr>
          <w:rFonts w:ascii="宋体" w:hAnsi="宋体" w:eastAsia="宋体"/>
        </w:rPr>
        <w:t>支持这一论点的论证链条如下。</w:t>
      </w:r>
    </w:p>
    <w:p>
      <w:pPr>
        <w:spacing w:after="120"/>
        <w:ind w:firstLine="440"/>
      </w:pPr>
      <w:r>
        <w:rPr>
          <w:rFonts w:ascii="宋体" w:hAnsi="宋体" w:eastAsia="宋体"/>
          <w:b/>
        </w:rPr>
        <w:t>第一，总量守恒在多订单项场景下会掩盖偏差。</w:t>
      </w:r>
      <w:r>
        <w:rPr>
          <w:rFonts w:ascii="宋体" w:hAnsi="宋体" w:eastAsia="宋体"/>
        </w:rPr>
        <w:t xml:space="preserve"> 当订单包含多个占用不同批次的订单项时，各项偏差可能方向相反。只要总差额为零，整单模式便不做任何调整，而实际的批次库存已经偏离。</w:t>
      </w:r>
    </w:p>
    <w:p>
      <w:pPr>
        <w:spacing w:after="120"/>
        <w:ind w:firstLine="440"/>
      </w:pPr>
      <w:r>
        <w:rPr>
          <w:rFonts w:ascii="宋体" w:hAnsi="宋体" w:eastAsia="宋体"/>
          <w:b/>
        </w:rPr>
        <w:t>第二，批次偏离的后果是可以具体描述的。</w:t>
      </w:r>
      <w:r>
        <w:rPr>
          <w:rFonts w:ascii="宋体" w:hAnsi="宋体" w:eastAsia="宋体"/>
        </w:rPr>
        <w:t xml:space="preserve"> 生鲜电商的批次管理服务于三个业务目标：保质期管理（临期批次优先出库）、损耗统计（哪个批次损耗高）、促销选品（哪些批次需要降价清仓）。批次账面偏差会直接导致：临期判定落在错误的批次上，损耗统计失真，促销选品失误。这些都是可量化的业务损失。</w:t>
      </w:r>
    </w:p>
    <w:p>
      <w:pPr>
        <w:spacing w:after="120"/>
        <w:ind w:firstLine="440"/>
      </w:pPr>
      <w:r>
        <w:rPr>
          <w:rFonts w:ascii="宋体" w:hAnsi="宋体" w:eastAsia="宋体"/>
          <w:b/>
        </w:rPr>
        <w:t>第三，逐项回补以可接受的代价解决了这一问题。</w:t>
      </w:r>
      <w:r>
        <w:rPr>
          <w:rFonts w:ascii="宋体" w:hAnsi="宋体" w:eastAsia="宋体"/>
        </w:rPr>
        <w:t xml:space="preserve"> 逐项模式的代价是需要在分拣环节逐项采集实际重量并逐项提交，比整单模式多出若干次操作。但对于生鲜分拣这一本就逐项进行称重的作业环节而言，这一代价几乎为零——</w:t>
      </w:r>
      <w:r>
        <w:rPr>
          <w:rFonts w:ascii="宋体" w:hAnsi="宋体" w:eastAsia="宋体"/>
          <w:b/>
        </w:rPr>
        <w:t>称重动作本来就是逐项发生的，逐项回补只是把已经存在的信息如实记录</w:t>
      </w:r>
      <w:r>
        <w:rPr>
          <w:rFonts w:ascii="宋体" w:hAnsi="宋体" w:eastAsia="宋体"/>
        </w:rPr>
        <w:t>。</w:t>
      </w:r>
    </w:p>
    <w:p>
      <w:pPr>
        <w:spacing w:after="120"/>
        <w:ind w:firstLine="440"/>
      </w:pPr>
      <w:r>
        <w:rPr>
          <w:rFonts w:ascii="宋体" w:hAnsi="宋体" w:eastAsia="宋体"/>
        </w:rPr>
        <w:t>这一论点也解释了为什么"总量守恒"在工业品电商中是充分的，而在生鲜电商中不充分：工业品按件计价，订单项与库存单元一一对应，不存在"跨项抵消"的可能；生鲜按重量计价，订单项共享批次池，才产生了这一问题。</w:t>
      </w:r>
    </w:p>
    <w:p>
      <w:pPr>
        <w:spacing w:before="200" w:after="120"/>
      </w:pPr>
      <w:r>
        <w:rPr>
          <w:rFonts w:ascii="黑体" w:hAnsi="黑体" w:eastAsia="黑体"/>
          <w:b/>
          <w:sz w:val="27"/>
        </w:rPr>
        <w:t>5.2 关于实验驱动的缺陷发现</w:t>
      </w:r>
    </w:p>
    <w:p>
      <w:pPr>
        <w:spacing w:after="120"/>
        <w:ind w:firstLine="440"/>
      </w:pPr>
      <w:r>
        <w:rPr>
          <w:rFonts w:ascii="宋体" w:hAnsi="宋体" w:eastAsia="宋体"/>
        </w:rPr>
        <w:t>发现一（4.8.1 节）值得单独讨论，因为它涉及方法论。</w:t>
      </w:r>
    </w:p>
    <w:p>
      <w:pPr>
        <w:spacing w:after="120"/>
        <w:ind w:firstLine="440"/>
      </w:pPr>
      <w:r>
        <w:rPr>
          <w:rFonts w:ascii="宋体" w:hAnsi="宋体" w:eastAsia="宋体"/>
        </w:rPr>
        <w:t>传统的工程质量保证手段是代码审查与测试用例。二者各有局限：代码审查依赖审查者的注意力与经验，难以系统性覆盖边界；测试用例的覆盖范围取决于设计者想到哪些场景。</w:t>
      </w:r>
    </w:p>
    <w:p>
      <w:pPr>
        <w:spacing w:after="120"/>
        <w:ind w:firstLine="440"/>
      </w:pPr>
      <w:r>
        <w:rPr>
          <w:rFonts w:ascii="宋体" w:hAnsi="宋体" w:eastAsia="宋体"/>
        </w:rPr>
        <w:t>本文的经验表明，</w:t>
      </w:r>
      <w:r>
        <w:rPr>
          <w:rFonts w:ascii="宋体" w:hAnsi="宋体" w:eastAsia="宋体"/>
          <w:b/>
        </w:rPr>
        <w:t>形式化建模可以补足这一局限</w:t>
      </w:r>
      <w:r>
        <w:rPr>
          <w:rFonts w:ascii="宋体" w:hAnsi="宋体" w:eastAsia="宋体"/>
        </w:rPr>
        <w:t>。当一致性要求被表述为七条不变式后，E1 的用例设计不再依赖"想到什么测什么"，而是被不变式体系推导出来：既然 I1 要求非负性，就必须测试库存不足的场景；既然 I5 涉及金额差额的归属，就必须测试差额为零的边界。发现一的"零差额"用例正是这样被推导出来的——它是 I5 与 I6 的直接推论。</w:t>
      </w:r>
    </w:p>
    <w:p>
      <w:pPr>
        <w:spacing w:after="120"/>
        <w:ind w:firstLine="440"/>
      </w:pPr>
      <w:r>
        <w:rPr>
          <w:rFonts w:ascii="宋体" w:hAnsi="宋体" w:eastAsia="宋体"/>
        </w:rPr>
        <w:t>换句话说，</w:t>
      </w:r>
      <w:r>
        <w:rPr>
          <w:rFonts w:ascii="宋体" w:hAnsi="宋体" w:eastAsia="宋体"/>
          <w:b/>
        </w:rPr>
        <w:t>不变式的完备性决定了边界场景的完备性</w:t>
      </w:r>
      <w:r>
        <w:rPr>
          <w:rFonts w:ascii="宋体" w:hAnsi="宋体" w:eastAsia="宋体"/>
        </w:rPr>
        <w:t>。这把测试用例设计的质量从一个经验问题，部分转化为一个逻辑问题。</w:t>
      </w:r>
    </w:p>
    <w:p>
      <w:pPr>
        <w:spacing w:after="120"/>
        <w:ind w:firstLine="440"/>
      </w:pPr>
      <w:r>
        <w:rPr>
          <w:rFonts w:ascii="宋体" w:hAnsi="宋体" w:eastAsia="宋体"/>
        </w:rPr>
        <w:t>当然，这一方法也有前提：不变式本身必须正确且完备。若不变式遗漏了某个维度，对应的缺陷仍然无法被发现。本文的七条不变式覆盖了金额与克数两个维度、订单项与批次两个层级，但仍可能存在未覆盖的维度（例如时间维度的最终一致性、跨商户的公平性等）。</w:t>
      </w:r>
    </w:p>
    <w:p>
      <w:pPr>
        <w:spacing w:before="200" w:after="120"/>
      </w:pPr>
      <w:r>
        <w:rPr>
          <w:rFonts w:ascii="黑体" w:hAnsi="黑体" w:eastAsia="黑体"/>
          <w:b/>
          <w:sz w:val="27"/>
        </w:rPr>
        <w:t>5.3 效度威胁</w:t>
      </w:r>
    </w:p>
    <w:p>
      <w:pPr>
        <w:spacing w:after="120"/>
        <w:ind w:firstLine="440"/>
      </w:pPr>
      <w:r>
        <w:rPr>
          <w:rFonts w:ascii="宋体" w:hAnsi="宋体" w:eastAsia="宋体"/>
        </w:rPr>
        <w:t>本文从四个角度分析结论的效度威胁。</w:t>
      </w:r>
    </w:p>
    <w:p>
      <w:pPr>
        <w:spacing w:after="120"/>
        <w:ind w:firstLine="440"/>
      </w:pPr>
      <w:r>
        <w:rPr>
          <w:rFonts w:ascii="宋体" w:hAnsi="宋体" w:eastAsia="宋体"/>
          <w:b/>
        </w:rPr>
        <w:t>内部效度（Internal Validity）</w:t>
      </w:r>
      <w:r>
        <w:rPr>
          <w:rFonts w:ascii="宋体" w:hAnsi="宋体" w:eastAsia="宋体"/>
        </w:rPr>
        <w:t>。最主要的威胁是</w:t>
      </w:r>
      <w:r>
        <w:rPr>
          <w:rFonts w:ascii="宋体" w:hAnsi="宋体" w:eastAsia="宋体"/>
          <w:b/>
        </w:rPr>
        <w:t>单机单实例环境</w:t>
      </w:r>
      <w:r>
        <w:rPr>
          <w:rFonts w:ascii="宋体" w:hAnsi="宋体" w:eastAsia="宋体"/>
        </w:rPr>
        <w:t>。实验在单台机器、单个 MySQL 实例上执行，悲观行锁与条件更新的有效性在此环境下成立，但生产环境通常为多实例部署，此时应用层的锁不再有效（因为锁的作用域是数据库连接而非进程），必须依赖数据库行锁。本文的结论</w:t>
      </w:r>
      <w:r>
        <w:rPr>
          <w:rFonts w:ascii="宋体" w:hAnsi="宋体" w:eastAsia="宋体"/>
          <w:b/>
        </w:rPr>
        <w:t>不应外推到多实例环境</w:t>
      </w:r>
      <w:r>
        <w:rPr>
          <w:rFonts w:ascii="宋体" w:hAnsi="宋体" w:eastAsia="宋体"/>
        </w:rPr>
        <w:t>。</w:t>
      </w:r>
    </w:p>
    <w:p>
      <w:pPr>
        <w:spacing w:after="120"/>
        <w:ind w:firstLine="440"/>
      </w:pPr>
      <w:r>
        <w:rPr>
          <w:rFonts w:ascii="宋体" w:hAnsi="宋体" w:eastAsia="宋体"/>
        </w:rPr>
        <w:t>其次是</w:t>
      </w:r>
      <w:r>
        <w:rPr>
          <w:rFonts w:ascii="宋体" w:hAnsi="宋体" w:eastAsia="宋体"/>
          <w:b/>
        </w:rPr>
        <w:t>随机序列的覆盖范围</w:t>
      </w:r>
      <w:r>
        <w:rPr>
          <w:rFonts w:ascii="宋体" w:hAnsi="宋体" w:eastAsia="宋体"/>
        </w:rPr>
        <w:t>。E1 的 20 轮随机回归无法覆盖所有可能的操作时序，特别是并发时序。本文通过 E3 的固定并发场景部分缓解，但未做并发度扫描。</w:t>
      </w:r>
    </w:p>
    <w:p>
      <w:pPr>
        <w:spacing w:after="120"/>
        <w:ind w:firstLine="440"/>
      </w:pPr>
      <w:r>
        <w:rPr>
          <w:rFonts w:ascii="宋体" w:hAnsi="宋体" w:eastAsia="宋体"/>
          <w:b/>
        </w:rPr>
        <w:t>构念效度（Construct Validity）</w:t>
      </w:r>
      <w:r>
        <w:rPr>
          <w:rFonts w:ascii="宋体" w:hAnsi="宋体" w:eastAsia="宋体"/>
        </w:rPr>
        <w:t>。本文以"不变式成立"代理"一致性正确"，二者并不完全等价。若不变式体系遗漏了某个维度，则不变式全部成立也不意味着系统完全正确。本文在 3.2 节给出了每条不变式的推导依据（而非直接断言），以便读者自行判断其充分性。</w:t>
      </w:r>
    </w:p>
    <w:p>
      <w:pPr>
        <w:spacing w:after="120"/>
        <w:ind w:firstLine="440"/>
      </w:pPr>
      <w:r>
        <w:rPr>
          <w:rFonts w:ascii="宋体" w:hAnsi="宋体" w:eastAsia="宋体"/>
        </w:rPr>
        <w:t>另一个构念威胁是</w:t>
      </w:r>
      <w:r>
        <w:rPr>
          <w:rFonts w:ascii="宋体" w:hAnsi="宋体" w:eastAsia="宋体"/>
          <w:b/>
        </w:rPr>
        <w:t>支付渠道的缺失</w:t>
      </w:r>
      <w:r>
        <w:rPr>
          <w:rFonts w:ascii="宋体" w:hAnsi="宋体" w:eastAsia="宋体"/>
        </w:rPr>
        <w:t>。系统未接入真实支付渠道，支付成功由人工确认模拟。这可能使支付相关的幂等场景与实际存在差异。本文认为这一威胁有限，理由是支付适配层被设计为可替换边界，一致性机制不依赖渠道实现细节。</w:t>
      </w:r>
    </w:p>
    <w:p>
      <w:pPr>
        <w:spacing w:after="120"/>
        <w:ind w:firstLine="440"/>
      </w:pPr>
      <w:r>
        <w:rPr>
          <w:rFonts w:ascii="宋体" w:hAnsi="宋体" w:eastAsia="宋体"/>
          <w:b/>
        </w:rPr>
        <w:t>外部效度（External Validity）</w:t>
      </w:r>
      <w:r>
        <w:rPr>
          <w:rFonts w:ascii="宋体" w:hAnsi="宋体" w:eastAsia="宋体"/>
        </w:rPr>
        <w:t>。结论依赖 MySQL InnoDB 的行锁语义与唯一约束行为。更换存储引擎（如 PostgreSQL、或在分布式数据库上）可能得到不同结果。此外，本文的订单规模（1–4 个订单项、1–3 个批次）远小于真实电商场景，批次数量与订单复杂度的提升可能暴露新的问题。</w:t>
      </w:r>
    </w:p>
    <w:p>
      <w:pPr>
        <w:spacing w:after="120"/>
        <w:ind w:firstLine="440"/>
      </w:pPr>
      <w:r>
        <w:rPr>
          <w:rFonts w:ascii="宋体" w:hAnsi="宋体" w:eastAsia="宋体"/>
          <w:b/>
        </w:rPr>
        <w:t>结论效度（Conclusion Validity）</w:t>
      </w:r>
      <w:r>
        <w:rPr>
          <w:rFonts w:ascii="宋体" w:hAnsi="宋体" w:eastAsia="宋体"/>
        </w:rPr>
        <w:t>。E2 的对照实验每个场景仅执行一次，未做重复抽样与统计检验。因此本文对"两种粒度在批次级归属上不同"这一结论是</w:t>
      </w:r>
      <w:r>
        <w:rPr>
          <w:rFonts w:ascii="宋体" w:hAnsi="宋体" w:eastAsia="宋体"/>
          <w:b/>
        </w:rPr>
        <w:t>机制性论证</w:t>
      </w:r>
      <w:r>
        <w:rPr>
          <w:rFonts w:ascii="宋体" w:hAnsi="宋体" w:eastAsia="宋体"/>
        </w:rPr>
        <w:t>（通过分析实现逻辑与实际观测的一致性）而非</w:t>
      </w:r>
      <w:r>
        <w:rPr>
          <w:rFonts w:ascii="宋体" w:hAnsi="宋体" w:eastAsia="宋体"/>
          <w:b/>
        </w:rPr>
        <w:t>统计性论证</w:t>
      </w:r>
      <w:r>
        <w:rPr>
          <w:rFonts w:ascii="宋体" w:hAnsi="宋体" w:eastAsia="宋体"/>
        </w:rPr>
        <w:t>。对于批量化的量化对比，本文留在未来工作中完成。</w:t>
      </w:r>
    </w:p>
    <w:p>
      <w:pPr>
        <w:spacing w:before="200" w:after="120"/>
      </w:pPr>
      <w:r>
        <w:rPr>
          <w:rFonts w:ascii="黑体" w:hAnsi="黑体" w:eastAsia="黑体"/>
          <w:b/>
          <w:sz w:val="27"/>
        </w:rPr>
        <w:t>5.4 局限</w:t>
      </w:r>
    </w:p>
    <w:p>
      <w:pPr>
        <w:spacing w:after="120"/>
        <w:ind w:firstLine="440"/>
      </w:pPr>
      <w:r>
        <w:rPr>
          <w:rFonts w:ascii="宋体" w:hAnsi="宋体" w:eastAsia="宋体"/>
        </w:rPr>
        <w:t>除上述效度威胁外，本文还有以下明确局限。</w:t>
      </w:r>
    </w:p>
    <w:p>
      <w:pPr>
        <w:pStyle w:val="ListNumber"/>
        <w:spacing w:after="40"/>
      </w:pPr>
      <w:r>
        <w:rPr>
          <w:rFonts w:ascii="宋体" w:hAnsi="宋体" w:eastAsia="宋体"/>
          <w:b/>
        </w:rPr>
        <w:t>未实现大规模组合实验</w:t>
      </w:r>
      <w:r>
        <w:rPr>
          <w:rFonts w:ascii="宋体" w:hAnsi="宋体" w:eastAsia="宋体"/>
        </w:rPr>
        <w:t>。原实验设计包含 E2 的 1,080 次组合实验、E4 的并发安全实验（300 次）与 E5 的故障注入实验。受时间限制，本文实际完成的是 E1、E2、E3 三组共 10 项用例，即原设计中的"最小可发表集"。E4 与 E5 未实施。</w:t>
      </w:r>
    </w:p>
    <w:p>
      <w:pPr>
        <w:pStyle w:val="ListNumber"/>
        <w:spacing w:after="40"/>
      </w:pPr>
      <w:r>
        <w:rPr>
          <w:rFonts w:ascii="宋体" w:hAnsi="宋体" w:eastAsia="宋体"/>
          <w:b/>
        </w:rPr>
        <w:t>服务层与持久层缺少单元测试</w:t>
      </w:r>
      <w:r>
        <w:rPr>
          <w:rFonts w:ascii="宋体" w:hAnsi="宋体" w:eastAsia="宋体"/>
        </w:rPr>
        <w:t>。现有 42 项测试中，32 项为策略类的纯函数测试，10 项为本文新增的集成实验。中间服务层（编排逻辑）主要依赖端到端测试覆盖，缺少针对性的单元测试。</w:t>
      </w:r>
    </w:p>
    <w:p>
      <w:pPr>
        <w:pStyle w:val="ListNumber"/>
        <w:spacing w:after="40"/>
      </w:pPr>
      <w:r>
        <w:rPr>
          <w:rFonts w:ascii="宋体" w:hAnsi="宋体" w:eastAsia="宋体"/>
          <w:b/>
        </w:rPr>
        <w:t>并发场景样本有限</w:t>
      </w:r>
      <w:r>
        <w:rPr>
          <w:rFonts w:ascii="宋体" w:hAnsi="宋体" w:eastAsia="宋体"/>
        </w:rPr>
        <w:t>。E3 的并发实验仅覆盖 10 线程、单一竞争点、单次执行，未做并发度扫描与重复轮次统计，因此无法给出失败率的置信区间。</w:t>
      </w:r>
    </w:p>
    <w:p>
      <w:pPr>
        <w:pStyle w:val="ListNumber"/>
        <w:spacing w:after="40"/>
      </w:pPr>
      <w:r>
        <w:rPr>
          <w:rFonts w:ascii="宋体" w:hAnsi="宋体" w:eastAsia="宋体"/>
          <w:b/>
        </w:rPr>
        <w:t>未度量性能</w:t>
      </w:r>
      <w:r>
        <w:rPr>
          <w:rFonts w:ascii="宋体" w:hAnsi="宋体" w:eastAsia="宋体"/>
        </w:rPr>
        <w:t>。本文关注正确性而非吞吐与延迟，未收集任何性能指标。</w:t>
      </w:r>
    </w:p>
    <w:p>
      <w:pPr>
        <w:pStyle w:val="ListNumber"/>
        <w:spacing w:after="40"/>
      </w:pPr>
      <w:r>
        <w:rPr>
          <w:rFonts w:ascii="宋体" w:hAnsi="宋体" w:eastAsia="宋体"/>
          <w:b/>
        </w:rPr>
        <w:t>前置数据由 SQL 构造</w:t>
      </w:r>
      <w:r>
        <w:rPr>
          <w:rFonts w:ascii="宋体" w:hAnsi="宋体" w:eastAsia="宋体"/>
        </w:rPr>
        <w:t>。如 4.3 节所述，实验结论限于称重与回补机制，不涵盖下单与支付链路。</w:t>
      </w:r>
    </w:p>
    <w:p>
      <w:pPr>
        <w:spacing w:before="120" w:after="120"/>
      </w:pPr>
      <w:r>
        <w:rPr>
          <w:rFonts w:ascii="宋体" w:hAnsi="宋体" w:eastAsia="宋体"/>
          <w:color w:val="AAAAAA"/>
          <w:sz w:val="20"/>
        </w:rPr>
        <w:t>────────────────────────────────────────</w:t>
      </w:r>
    </w:p>
    <w:p>
      <w:pPr>
        <w:spacing w:before="280" w:after="120"/>
      </w:pPr>
      <w:r>
        <w:rPr>
          <w:rFonts w:ascii="黑体" w:hAnsi="黑体" w:eastAsia="黑体"/>
          <w:b/>
          <w:sz w:val="30"/>
        </w:rPr>
        <w:t>第六章 结论与展望</w:t>
      </w:r>
    </w:p>
    <w:p>
      <w:pPr>
        <w:spacing w:before="200" w:after="120"/>
      </w:pPr>
      <w:r>
        <w:rPr>
          <w:rFonts w:ascii="黑体" w:hAnsi="黑体" w:eastAsia="黑体"/>
          <w:b/>
          <w:sz w:val="27"/>
        </w:rPr>
        <w:t>6.1 结论</w:t>
      </w:r>
    </w:p>
    <w:p>
      <w:pPr>
        <w:spacing w:after="120"/>
        <w:ind w:firstLine="440"/>
      </w:pPr>
      <w:r>
        <w:rPr>
          <w:rFonts w:ascii="宋体" w:hAnsi="宋体" w:eastAsia="宋体"/>
        </w:rPr>
        <w:t>本文针对生鲜电商按重量计价所带来的"金额与库存双维度一致性"问题，设计并验证了一套覆盖"预占—核销—回补"全生命周期的一致性机制，主要结论如下。</w:t>
      </w:r>
    </w:p>
    <w:p>
      <w:pPr>
        <w:spacing w:after="120"/>
        <w:ind w:firstLine="440"/>
      </w:pPr>
      <w:r>
        <w:rPr>
          <w:rFonts w:ascii="宋体" w:hAnsi="宋体" w:eastAsia="宋体"/>
          <w:b/>
        </w:rPr>
        <w:t>第一，形式化不变式可以作为机制设计与验证的共同基础。</w:t>
      </w:r>
      <w:r>
        <w:rPr>
          <w:rFonts w:ascii="宋体" w:hAnsi="宋体" w:eastAsia="宋体"/>
        </w:rPr>
        <w:t xml:space="preserve"> 本文提出的七条不变式（I1–I7）覆盖非负性、预占约束、批次守恒、订单项守恒、金额守恒、粒度一致性与分摊无损性，既作为设计约束指导实现，又作为实验判定依据，使结论可被机械验证。在 20 轮固定种子的随机回归中，四条可自动校验的不变式（I1、I2、I6、I7）违反次数为 0。</w:t>
      </w:r>
    </w:p>
    <w:p>
      <w:pPr>
        <w:spacing w:after="120"/>
        <w:ind w:firstLine="440"/>
      </w:pPr>
      <w:r>
        <w:rPr>
          <w:rFonts w:ascii="宋体" w:hAnsi="宋体" w:eastAsia="宋体"/>
          <w:b/>
        </w:rPr>
        <w:t>第二，分摊算法中的兜底策略使两种粒度的总量误差均为零，但两种粒度的真实差异在批次级归属。</w:t>
      </w:r>
      <w:r>
        <w:rPr>
          <w:rFonts w:ascii="宋体" w:hAnsi="宋体" w:eastAsia="宋体"/>
        </w:rPr>
        <w:t xml:space="preserve"> 由于采用"按预占比例计算、最后一批兜底剩余"的策略，即使跨 7 个批次连续取整，回补总量仍精确等于差额，本文原假设中"整单分摊存在可测量误差"的判断被证伪。进一步的对照实验表明，整单模式在多订单项、偏差方向相反且相互抵消时会使所有批次保持不动，从而掩盖批次级的账实偏离；逐项模式则把偏差如实回补到各订单项自身占用的批次。据此本文将核心论点修正为"批次级归属精度比总量守恒更重要"。</w:t>
      </w:r>
    </w:p>
    <w:p>
      <w:pPr>
        <w:spacing w:after="120"/>
        <w:ind w:firstLine="440"/>
      </w:pPr>
      <w:r>
        <w:rPr>
          <w:rFonts w:ascii="宋体" w:hAnsi="宋体" w:eastAsia="宋体"/>
          <w:b/>
        </w:rPr>
        <w:t>第三，幂等键与唯一约束的组合可保证有效变更次数恒为 1。</w:t>
      </w:r>
      <w:r>
        <w:rPr>
          <w:rFonts w:ascii="宋体" w:hAnsi="宋体" w:eastAsia="宋体"/>
        </w:rPr>
        <w:t xml:space="preserve"> 在顺序重放、10 线程并发同键、同实体异键三种场景下，有效变更次数均为 1。三个场景的拦截机制各不相同，印证了单一手段不足以覆盖全部竞态，必须并用。</w:t>
      </w:r>
    </w:p>
    <w:p>
      <w:pPr>
        <w:spacing w:after="120"/>
        <w:ind w:firstLine="440"/>
      </w:pPr>
      <w:r>
        <w:rPr>
          <w:rFonts w:ascii="宋体" w:hAnsi="宋体" w:eastAsia="宋体"/>
          <w:b/>
        </w:rPr>
        <w:t>第四，以不变式驱动的实验设计具备缺陷发现能力。</w:t>
      </w:r>
      <w:r>
        <w:rPr>
          <w:rFonts w:ascii="宋体" w:hAnsi="宋体" w:eastAsia="宋体"/>
        </w:rPr>
        <w:t xml:space="preserve"> 实验过程中发现并修复了一处真实缺陷：结算策略在金额差额为零时仍进入退款分支，导致库存校准操作产生对用户钱包的无谓依赖，并写入 0 元流水。该缺陷并非来自代码审查，而是被不变式体系推导出的边界用例所发现。</w:t>
      </w:r>
    </w:p>
    <w:p>
      <w:pPr>
        <w:spacing w:before="200" w:after="120"/>
      </w:pPr>
      <w:r>
        <w:rPr>
          <w:rFonts w:ascii="黑体" w:hAnsi="黑体" w:eastAsia="黑体"/>
          <w:b/>
          <w:sz w:val="27"/>
        </w:rPr>
        <w:t>6.2 未来工作</w:t>
      </w:r>
    </w:p>
    <w:p>
      <w:pPr>
        <w:spacing w:after="120"/>
        <w:ind w:firstLine="440"/>
      </w:pPr>
      <w:r>
        <w:rPr>
          <w:rFonts w:ascii="宋体" w:hAnsi="宋体" w:eastAsia="宋体"/>
        </w:rPr>
        <w:t>基于本文的局限，后续工作可从以下方向展开。</w:t>
      </w:r>
    </w:p>
    <w:p>
      <w:pPr>
        <w:spacing w:after="120"/>
        <w:ind w:firstLine="440"/>
      </w:pPr>
      <w:r>
        <w:rPr>
          <w:rFonts w:ascii="宋体" w:hAnsi="宋体" w:eastAsia="宋体"/>
          <w:b/>
        </w:rPr>
        <w:t>扩展实验规模与维度</w:t>
      </w:r>
      <w:r>
        <w:rPr>
          <w:rFonts w:ascii="宋体" w:hAnsi="宋体" w:eastAsia="宋体"/>
        </w:rPr>
        <w:t>。补足原设计中的 E4（并发安全）与 E5（故障注入）实验，并对 E2 做批量化的组合实验与统计检验，以给出误差分布的描述性统计而非单点观测。</w:t>
      </w:r>
    </w:p>
    <w:p>
      <w:pPr>
        <w:spacing w:after="120"/>
        <w:ind w:firstLine="440"/>
      </w:pPr>
      <w:r>
        <w:rPr>
          <w:rFonts w:ascii="宋体" w:hAnsi="宋体" w:eastAsia="宋体"/>
          <w:b/>
        </w:rPr>
        <w:t>多实例环境下的机制验证</w:t>
      </w:r>
      <w:r>
        <w:rPr>
          <w:rFonts w:ascii="宋体" w:hAnsi="宋体" w:eastAsia="宋体"/>
        </w:rPr>
        <w:t>。将系统部署为多实例，检验当前依赖数据库行锁与唯一约束的设计在跨进程竞争下是否依然成立，并评估是否需要引入分布式锁或乐观锁重试机制。</w:t>
      </w:r>
    </w:p>
    <w:p>
      <w:pPr>
        <w:spacing w:after="120"/>
        <w:ind w:firstLine="440"/>
      </w:pPr>
      <w:r>
        <w:rPr>
          <w:rFonts w:ascii="宋体" w:hAnsi="宋体" w:eastAsia="宋体"/>
          <w:b/>
        </w:rPr>
        <w:t>时间维度的一致性</w:t>
      </w:r>
      <w:r>
        <w:rPr>
          <w:rFonts w:ascii="宋体" w:hAnsi="宋体" w:eastAsia="宋体"/>
        </w:rPr>
        <w:t>。本文的不变式刻画的是任意时刻的状态约束，未覆盖"操作最终完成"这一活性（liveness）性质。引入超时释放任务后，需要额外保证"预占记录最终会被核销或释放"。</w:t>
      </w:r>
    </w:p>
    <w:p>
      <w:pPr>
        <w:spacing w:after="120"/>
        <w:ind w:firstLine="440"/>
      </w:pPr>
      <w:r>
        <w:rPr>
          <w:rFonts w:ascii="宋体" w:hAnsi="宋体" w:eastAsia="宋体"/>
          <w:b/>
        </w:rPr>
        <w:t>批次归属精度的量化度量</w:t>
      </w:r>
      <w:r>
        <w:rPr>
          <w:rFonts w:ascii="宋体" w:hAnsi="宋体" w:eastAsia="宋体"/>
        </w:rPr>
        <w:t xml:space="preserve">。本文以对照实验定性说明了批次归属的差异。未来可定义批次级偏差的量化指标（例如 </w:t>
      </w:r>
      <w:r>
        <w:rPr>
          <w:rFonts w:ascii="Consolas" w:hAnsi="Consolas" w:eastAsia="Consolas"/>
          <w:sz w:val="19"/>
        </w:rPr>
        <w:t>Σ_b |账实偏差|</w:t>
      </w:r>
      <w:r>
        <w:rPr>
          <w:rFonts w:ascii="宋体" w:hAnsi="宋体" w:eastAsia="宋体"/>
        </w:rPr>
        <w:t>），并在不同订单复杂度下测量其随粒度的变化曲线。</w:t>
      </w:r>
    </w:p>
    <w:p>
      <w:pPr>
        <w:spacing w:after="120"/>
        <w:ind w:firstLine="440"/>
      </w:pPr>
      <w:r>
        <w:rPr>
          <w:rFonts w:ascii="宋体" w:hAnsi="宋体" w:eastAsia="宋体"/>
          <w:b/>
        </w:rPr>
        <w:t>性能与成本评估</w:t>
      </w:r>
      <w:r>
        <w:rPr>
          <w:rFonts w:ascii="宋体" w:hAnsi="宋体" w:eastAsia="宋体"/>
        </w:rPr>
        <w:t>。逐项回补在提升批次精度的同时增加了操作次数，需要评估其在真实分拣吞吐下的成本，以确定粒度选择的适用边界。</w:t>
      </w:r>
    </w:p>
    <w:p>
      <w:pPr>
        <w:spacing w:before="120" w:after="120"/>
      </w:pPr>
      <w:r>
        <w:rPr>
          <w:rFonts w:ascii="宋体" w:hAnsi="宋体" w:eastAsia="宋体"/>
          <w:color w:val="AAAAAA"/>
          <w:sz w:val="20"/>
        </w:rPr>
        <w:t>────────────────────────────────────────</w:t>
      </w:r>
    </w:p>
    <w:p>
      <w:pPr>
        <w:spacing w:before="280" w:after="120"/>
      </w:pPr>
      <w:r>
        <w:rPr>
          <w:rFonts w:ascii="黑体" w:hAnsi="黑体" w:eastAsia="黑体"/>
          <w:b/>
          <w:sz w:val="30"/>
        </w:rPr>
        <w:t>参考文献</w:t>
      </w:r>
    </w:p>
    <w:p>
      <w:pPr>
        <w:spacing w:after="120"/>
        <w:ind w:firstLine="440"/>
      </w:pPr>
      <w:r>
        <w:rPr>
          <w:rFonts w:ascii="宋体" w:hAnsi="宋体" w:eastAsia="宋体"/>
        </w:rPr>
        <w:t>[1] Gray J, Reuter A. Transaction Processing: Concepts and Techniques[M]. San Francisco: Morgan Kaufmann, 1993.</w:t>
      </w:r>
    </w:p>
    <w:p>
      <w:pPr>
        <w:spacing w:after="120"/>
        <w:ind w:firstLine="440"/>
      </w:pPr>
      <w:r>
        <w:rPr>
          <w:rFonts w:ascii="宋体" w:hAnsi="宋体" w:eastAsia="宋体"/>
        </w:rPr>
        <w:t>[2] Bernstein P A, Hadzilacos V, Goodman N. Concurrency Control and Recovery in Database Systems[M]. Reading: Addison-Wesley, 1987.</w:t>
      </w:r>
    </w:p>
    <w:p>
      <w:pPr>
        <w:spacing w:after="120"/>
        <w:ind w:firstLine="440"/>
      </w:pPr>
      <w:r>
        <w:rPr>
          <w:rFonts w:ascii="宋体" w:hAnsi="宋体" w:eastAsia="宋体"/>
        </w:rPr>
        <w:t>[3] Garcia-Molina H, Salem K. Sagas[C]//Proceedings of the 1987 ACM SIGMOD International Conference on Management of Data. New York: ACM, 1987: 249-259.</w:t>
      </w:r>
    </w:p>
    <w:p>
      <w:pPr>
        <w:spacing w:after="120"/>
        <w:ind w:firstLine="440"/>
      </w:pPr>
      <w:r>
        <w:rPr>
          <w:rFonts w:ascii="宋体" w:hAnsi="宋体" w:eastAsia="宋体"/>
        </w:rPr>
        <w:t>[4] Brewer E A. Towards Robust Distributed Systems[C]//Proceedings of the 19th Annual ACM Symposium on Principles of Distributed Computing. New York: ACM, 2000: 7.</w:t>
      </w:r>
    </w:p>
    <w:p>
      <w:pPr>
        <w:spacing w:after="120"/>
        <w:ind w:firstLine="440"/>
      </w:pPr>
      <w:r>
        <w:rPr>
          <w:rFonts w:ascii="宋体" w:hAnsi="宋体" w:eastAsia="宋体"/>
        </w:rPr>
        <w:t>[5] Gilbert S, Lynch N. Brewer's Conjecture and the Feasibility of Consistent, Available, Partition-Tolerant Web Services[J]. ACM SIGACT News, 2002, 33(2): 51-59.</w:t>
      </w:r>
    </w:p>
    <w:p>
      <w:pPr>
        <w:spacing w:after="120"/>
        <w:ind w:firstLine="440"/>
      </w:pPr>
      <w:r>
        <w:rPr>
          <w:rFonts w:ascii="宋体" w:hAnsi="宋体" w:eastAsia="宋体"/>
        </w:rPr>
        <w:t>[6] Helland P. Life Beyond Distributed Transactions: An Apostate's Opinion[C]//Proceedings of the 3rd Biennial Conference on Innovative Data Systems Research (CIDR). 2007: 132-141.</w:t>
      </w:r>
    </w:p>
    <w:p>
      <w:pPr>
        <w:spacing w:after="120"/>
        <w:ind w:firstLine="440"/>
      </w:pPr>
      <w:r>
        <w:rPr>
          <w:rFonts w:ascii="宋体" w:hAnsi="宋体" w:eastAsia="宋体"/>
        </w:rPr>
        <w:t>[7] Kleppmann M. Designing Data-Intensive Applications[M]. Sebastopol: O'Reilly Media, 2017.</w:t>
      </w:r>
    </w:p>
    <w:p>
      <w:pPr>
        <w:spacing w:after="120"/>
        <w:ind w:firstLine="440"/>
      </w:pPr>
      <w:r>
        <w:rPr>
          <w:rFonts w:ascii="宋体" w:hAnsi="宋体" w:eastAsia="宋体"/>
        </w:rPr>
        <w:t>[8] Fowler M. Patterns of Enterprise Application Architecture[M]. Boston: Addison-Wesley, 2002.</w:t>
      </w:r>
    </w:p>
    <w:p>
      <w:pPr>
        <w:spacing w:after="120"/>
        <w:ind w:firstLine="440"/>
      </w:pPr>
      <w:r>
        <w:rPr>
          <w:rFonts w:ascii="宋体" w:hAnsi="宋体" w:eastAsia="宋体"/>
        </w:rPr>
        <w:t>[9] Herlihy M, Wing J M. Linearizability: A Correctness Condition for Concurrent Objects[J]. ACM Transactions on Programming Languages and Systems, 1990, 12(3): 463-492.</w:t>
      </w:r>
    </w:p>
    <w:p>
      <w:pPr>
        <w:spacing w:after="120"/>
        <w:ind w:firstLine="440"/>
      </w:pPr>
      <w:r>
        <w:rPr>
          <w:rFonts w:ascii="宋体" w:hAnsi="宋体" w:eastAsia="宋体"/>
        </w:rPr>
        <w:t>[10] Lamport L. Proving the Correctness of Multiprocess Programs[J]. IEEE Transactions on Software Engineering, 1977, 3(2): 125-143.</w:t>
      </w:r>
    </w:p>
    <w:p>
      <w:pPr>
        <w:spacing w:before="120" w:after="120"/>
      </w:pPr>
      <w:r>
        <w:rPr>
          <w:rFonts w:ascii="宋体" w:hAnsi="宋体" w:eastAsia="宋体"/>
          <w:color w:val="AAAAAA"/>
          <w:sz w:val="20"/>
        </w:rPr>
        <w:t>────────────────────────────────────────</w:t>
      </w:r>
    </w:p>
    <w:p>
      <w:pPr>
        <w:spacing w:before="280" w:after="120"/>
      </w:pPr>
      <w:r>
        <w:rPr>
          <w:rFonts w:ascii="黑体" w:hAnsi="黑体" w:eastAsia="黑体"/>
          <w:b/>
          <w:sz w:val="30"/>
        </w:rPr>
        <w:t>附录 A：实验代码结构</w:t>
      </w:r>
    </w:p>
    <w:p>
      <w:pPr>
        <w:spacing w:before="80" w:after="200"/>
        <w:ind w:left="360"/>
      </w:pPr>
      <w:r>
        <w:rPr>
          <w:rFonts w:ascii="Consolas" w:hAnsi="Consolas" w:eastAsia="Consolas"/>
          <w:sz w:val="19"/>
        </w:rPr>
        <w:t>backend/src/test/java/com/freshmart/experiment/</w:t>
        <w:br/>
        <w:t>├── ExperimentFixture.java                    实验数据构造、不变式校验与清理</w:t>
        <w:br/>
        <w:t>├── InvariantRegressionExperimentTest.java    E1 不变式随机回归（3 项）</w:t>
        <w:br/>
        <w:t>├── AllocationGranularityExperimentTest.java  E2 分摊粒度对照（4 项）</w:t>
        <w:br/>
        <w:t>└── IdempotencyExperimentTest.java            E3 幂等性实验（3 项）</w:t>
      </w:r>
    </w:p>
    <w:p>
      <w:pPr>
        <w:spacing w:after="120"/>
        <w:ind w:firstLine="440"/>
      </w:pPr>
      <w:r>
        <w:rPr>
          <w:rFonts w:ascii="宋体" w:hAnsi="宋体" w:eastAsia="宋体"/>
        </w:rPr>
        <w:t>实验执行命令：</w:t>
      </w:r>
    </w:p>
    <w:p>
      <w:pPr>
        <w:spacing w:before="80" w:after="200"/>
        <w:ind w:left="360"/>
      </w:pPr>
      <w:r>
        <w:rPr>
          <w:rFonts w:ascii="Consolas" w:hAnsi="Consolas" w:eastAsia="Consolas"/>
          <w:sz w:val="19"/>
        </w:rPr>
        <w:t>cd backend</w:t>
        <w:br/>
        <w:t>DB_USERNAME=&lt;user&gt; DB_PASSWORD=&lt;password&gt; \</w:t>
        <w:br/>
        <w:t>mvn test -Dtest=AllocationGranularityExperimentTest,IdempotencyExperimentTest,InvariantRegressionExperimentTest</w:t>
      </w:r>
    </w:p>
    <w:p>
      <w:pPr>
        <w:spacing w:before="280" w:after="120"/>
      </w:pPr>
      <w:r>
        <w:rPr>
          <w:rFonts w:ascii="黑体" w:hAnsi="黑体" w:eastAsia="黑体"/>
          <w:b/>
          <w:sz w:val="30"/>
        </w:rPr>
        <w:t>附录 B：被测机制的关键实现位置</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宋体" w:hAnsi="宋体" w:eastAsia="宋体"/>
                <w:b/>
                <w:sz w:val="20"/>
              </w:rPr>
              <w:t>机制</w:t>
            </w:r>
          </w:p>
        </w:tc>
        <w:tc>
          <w:tcPr>
            <w:tcW w:type="dxa" w:w="2880"/>
          </w:tcPr>
          <w:p>
            <w:r/>
            <w:r>
              <w:rPr>
                <w:rFonts w:ascii="宋体" w:hAnsi="宋体" w:eastAsia="宋体"/>
                <w:b/>
                <w:sz w:val="20"/>
              </w:rPr>
              <w:t>实现位置</w:t>
            </w:r>
          </w:p>
        </w:tc>
        <w:tc>
          <w:tcPr>
            <w:tcW w:type="dxa" w:w="2880"/>
          </w:tcPr>
          <w:p>
            <w:r/>
            <w:r>
              <w:rPr>
                <w:rFonts w:ascii="宋体" w:hAnsi="宋体" w:eastAsia="宋体"/>
                <w:b/>
                <w:sz w:val="20"/>
              </w:rPr>
              <w:t>相关实验</w:t>
            </w:r>
          </w:p>
        </w:tc>
      </w:tr>
      <w:tr>
        <w:tc>
          <w:tcPr>
            <w:tcW w:type="dxa" w:w="2880"/>
          </w:tcPr>
          <w:p>
            <w:r/>
            <w:r>
              <w:rPr>
                <w:rFonts w:ascii="宋体" w:hAnsi="宋体" w:eastAsia="宋体"/>
                <w:sz w:val="20"/>
              </w:rPr>
              <w:t>称重差额判定</w:t>
            </w:r>
          </w:p>
        </w:tc>
        <w:tc>
          <w:tcPr>
            <w:tcW w:type="dxa" w:w="2880"/>
          </w:tcPr>
          <w:p>
            <w:r/>
            <w:r>
              <w:rPr>
                <w:rFonts w:ascii="Consolas" w:hAnsi="Consolas" w:eastAsia="Consolas"/>
                <w:sz w:val="18"/>
              </w:rPr>
              <w:t>WeighingSettlementPolicy.settle(...)</w:t>
            </w:r>
          </w:p>
        </w:tc>
        <w:tc>
          <w:tcPr>
            <w:tcW w:type="dxa" w:w="2880"/>
          </w:tcPr>
          <w:p>
            <w:r/>
            <w:r>
              <w:rPr>
                <w:rFonts w:ascii="宋体" w:hAnsi="宋体" w:eastAsia="宋体"/>
                <w:sz w:val="20"/>
              </w:rPr>
              <w:t>E1、E2</w:t>
            </w:r>
          </w:p>
        </w:tc>
      </w:tr>
      <w:tr>
        <w:tc>
          <w:tcPr>
            <w:tcW w:type="dxa" w:w="2880"/>
          </w:tcPr>
          <w:p>
            <w:r/>
            <w:r>
              <w:rPr>
                <w:rFonts w:ascii="宋体" w:hAnsi="宋体" w:eastAsia="宋体"/>
                <w:sz w:val="20"/>
              </w:rPr>
              <w:t>批次分摊与兜底</w:t>
            </w:r>
          </w:p>
        </w:tc>
        <w:tc>
          <w:tcPr>
            <w:tcW w:type="dxa" w:w="2880"/>
          </w:tcPr>
          <w:p>
            <w:r/>
            <w:r>
              <w:rPr>
                <w:rFonts w:ascii="Consolas" w:hAnsi="Consolas" w:eastAsia="Consolas"/>
                <w:sz w:val="18"/>
              </w:rPr>
              <w:t>WeighingAdjustmentService.applyGramDifference(...)</w:t>
            </w:r>
          </w:p>
        </w:tc>
        <w:tc>
          <w:tcPr>
            <w:tcW w:type="dxa" w:w="2880"/>
          </w:tcPr>
          <w:p>
            <w:r/>
            <w:r>
              <w:rPr>
                <w:rFonts w:ascii="宋体" w:hAnsi="宋体" w:eastAsia="宋体"/>
                <w:sz w:val="20"/>
              </w:rPr>
              <w:t>E1、E2</w:t>
            </w:r>
          </w:p>
        </w:tc>
      </w:tr>
      <w:tr>
        <w:tc>
          <w:tcPr>
            <w:tcW w:type="dxa" w:w="2880"/>
          </w:tcPr>
          <w:p>
            <w:r/>
            <w:r>
              <w:rPr>
                <w:rFonts w:ascii="宋体" w:hAnsi="宋体" w:eastAsia="宋体"/>
                <w:sz w:val="20"/>
              </w:rPr>
              <w:t>逐项称重回补</w:t>
            </w:r>
          </w:p>
        </w:tc>
        <w:tc>
          <w:tcPr>
            <w:tcW w:type="dxa" w:w="2880"/>
          </w:tcPr>
          <w:p>
            <w:r/>
            <w:r>
              <w:rPr>
                <w:rFonts w:ascii="Consolas" w:hAnsi="Consolas" w:eastAsia="Consolas"/>
                <w:sz w:val="18"/>
              </w:rPr>
              <w:t>WeighingAdjustmentService.applyItemWeighings(...)</w:t>
            </w:r>
          </w:p>
        </w:tc>
        <w:tc>
          <w:tcPr>
            <w:tcW w:type="dxa" w:w="2880"/>
          </w:tcPr>
          <w:p>
            <w:r/>
            <w:r>
              <w:rPr>
                <w:rFonts w:ascii="宋体" w:hAnsi="宋体" w:eastAsia="宋体"/>
                <w:sz w:val="20"/>
              </w:rPr>
              <w:t>E2</w:t>
            </w:r>
          </w:p>
        </w:tc>
      </w:tr>
      <w:tr>
        <w:tc>
          <w:tcPr>
            <w:tcW w:type="dxa" w:w="2880"/>
          </w:tcPr>
          <w:p>
            <w:r/>
            <w:r>
              <w:rPr>
                <w:rFonts w:ascii="宋体" w:hAnsi="宋体" w:eastAsia="宋体"/>
                <w:sz w:val="20"/>
              </w:rPr>
              <w:t>退款按实际出库量回库</w:t>
            </w:r>
          </w:p>
        </w:tc>
        <w:tc>
          <w:tcPr>
            <w:tcW w:type="dxa" w:w="2880"/>
          </w:tcPr>
          <w:p>
            <w:r/>
            <w:r>
              <w:rPr>
                <w:rFonts w:ascii="Consolas" w:hAnsi="Consolas" w:eastAsia="Consolas"/>
                <w:sz w:val="18"/>
              </w:rPr>
              <w:t>RefundService.restockOrderBatches(...)</w:t>
            </w:r>
          </w:p>
        </w:tc>
        <w:tc>
          <w:tcPr>
            <w:tcW w:type="dxa" w:w="2880"/>
          </w:tcPr>
          <w:p>
            <w:r/>
            <w:r>
              <w:rPr>
                <w:rFonts w:ascii="宋体" w:hAnsi="宋体" w:eastAsia="宋体"/>
                <w:sz w:val="20"/>
              </w:rPr>
              <w:t>—</w:t>
            </w:r>
          </w:p>
        </w:tc>
      </w:tr>
      <w:tr>
        <w:tc>
          <w:tcPr>
            <w:tcW w:type="dxa" w:w="2880"/>
          </w:tcPr>
          <w:p>
            <w:r/>
            <w:r>
              <w:rPr>
                <w:rFonts w:ascii="宋体" w:hAnsi="宋体" w:eastAsia="宋体"/>
                <w:sz w:val="20"/>
              </w:rPr>
              <w:t>零差额短路（本文修复）</w:t>
            </w:r>
          </w:p>
        </w:tc>
        <w:tc>
          <w:tcPr>
            <w:tcW w:type="dxa" w:w="2880"/>
          </w:tcPr>
          <w:p>
            <w:r/>
            <w:r>
              <w:rPr>
                <w:rFonts w:ascii="Consolas" w:hAnsi="Consolas" w:eastAsia="Consolas"/>
                <w:sz w:val="18"/>
              </w:rPr>
              <w:t>WeighingAdjustmentService.settle(...)</w:t>
            </w:r>
          </w:p>
        </w:tc>
        <w:tc>
          <w:tcPr>
            <w:tcW w:type="dxa" w:w="2880"/>
          </w:tcPr>
          <w:p>
            <w:r/>
            <w:r>
              <w:rPr>
                <w:rFonts w:ascii="宋体" w:hAnsi="宋体" w:eastAsia="宋体"/>
                <w:sz w:val="20"/>
              </w:rPr>
              <w:t>E1</w:t>
            </w:r>
          </w:p>
        </w:tc>
      </w:tr>
      <w:tr>
        <w:tc>
          <w:tcPr>
            <w:tcW w:type="dxa" w:w="2880"/>
          </w:tcPr>
          <w:p>
            <w:r/>
            <w:r>
              <w:rPr>
                <w:rFonts w:ascii="宋体" w:hAnsi="宋体" w:eastAsia="宋体"/>
                <w:sz w:val="20"/>
              </w:rPr>
              <w:t>幂等键与唯一约束</w:t>
            </w:r>
          </w:p>
        </w:tc>
        <w:tc>
          <w:tcPr>
            <w:tcW w:type="dxa" w:w="2880"/>
          </w:tcPr>
          <w:p>
            <w:r/>
            <w:r>
              <w:rPr>
                <w:rFonts w:ascii="宋体" w:hAnsi="宋体" w:eastAsia="宋体"/>
                <w:sz w:val="20"/>
              </w:rPr>
              <w:t xml:space="preserve">各业务表 </w:t>
            </w:r>
            <w:r>
              <w:rPr>
                <w:rFonts w:ascii="Consolas" w:hAnsi="Consolas" w:eastAsia="Consolas"/>
                <w:sz w:val="18"/>
              </w:rPr>
              <w:t>idempotency_key</w:t>
            </w:r>
            <w:r>
              <w:rPr>
                <w:rFonts w:ascii="宋体" w:hAnsi="宋体" w:eastAsia="宋体"/>
                <w:sz w:val="20"/>
              </w:rPr>
              <w:t>、</w:t>
            </w:r>
            <w:r>
              <w:rPr>
                <w:rFonts w:ascii="Consolas" w:hAnsi="Consolas" w:eastAsia="Consolas"/>
                <w:sz w:val="18"/>
              </w:rPr>
              <w:t>uk_weighing_order</w:t>
            </w:r>
          </w:p>
        </w:tc>
        <w:tc>
          <w:tcPr>
            <w:tcW w:type="dxa" w:w="2880"/>
          </w:tcPr>
          <w:p>
            <w:r/>
            <w:r>
              <w:rPr>
                <w:rFonts w:ascii="宋体" w:hAnsi="宋体" w:eastAsia="宋体"/>
                <w:sz w:val="20"/>
              </w:rPr>
              <w:t>E3</w:t>
            </w:r>
          </w:p>
        </w:tc>
      </w:tr>
      <w:tr>
        <w:tc>
          <w:tcPr>
            <w:tcW w:type="dxa" w:w="2880"/>
          </w:tcPr>
          <w:p>
            <w:r/>
            <w:r>
              <w:rPr>
                <w:rFonts w:ascii="宋体" w:hAnsi="宋体" w:eastAsia="宋体"/>
                <w:sz w:val="20"/>
              </w:rPr>
              <w:t>条件更新与悲观锁</w:t>
            </w:r>
          </w:p>
        </w:tc>
        <w:tc>
          <w:tcPr>
            <w:tcW w:type="dxa" w:w="2880"/>
          </w:tcPr>
          <w:p>
            <w:r/>
            <w:r>
              <w:rPr>
                <w:rFonts w:ascii="宋体" w:hAnsi="宋体" w:eastAsia="宋体"/>
                <w:sz w:val="20"/>
              </w:rPr>
              <w:t xml:space="preserve">批次扣减 </w:t>
            </w:r>
            <w:r>
              <w:rPr>
                <w:rFonts w:ascii="Consolas" w:hAnsi="Consolas" w:eastAsia="Consolas"/>
                <w:sz w:val="18"/>
              </w:rPr>
              <w:t>WHERE available_grams &gt;= ?</w:t>
            </w:r>
            <w:r>
              <w:rPr>
                <w:rFonts w:ascii="宋体" w:hAnsi="宋体" w:eastAsia="宋体"/>
                <w:sz w:val="20"/>
              </w:rPr>
              <w:t xml:space="preserve">、13 处 </w:t>
            </w:r>
            <w:r>
              <w:rPr>
                <w:rFonts w:ascii="Consolas" w:hAnsi="Consolas" w:eastAsia="Consolas"/>
                <w:sz w:val="18"/>
              </w:rPr>
              <w:t>FOR UPDATE</w:t>
            </w:r>
          </w:p>
        </w:tc>
        <w:tc>
          <w:tcPr>
            <w:tcW w:type="dxa" w:w="2880"/>
          </w:tcPr>
          <w:p>
            <w:r/>
            <w:r>
              <w:rPr>
                <w:rFonts w:ascii="宋体" w:hAnsi="宋体" w:eastAsia="宋体"/>
                <w:sz w:val="20"/>
              </w:rPr>
              <w:t>E3</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