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1"/>
        <w:gridCol w:w="3570"/>
        <w:gridCol w:w="255"/>
        <w:gridCol w:w="165"/>
        <w:gridCol w:w="3375"/>
        <w:gridCol w:w="1830"/>
        <w:tblGridChange w:id="0">
          <w:tblGrid>
            <w:gridCol w:w="3021"/>
            <w:gridCol w:w="3570"/>
            <w:gridCol w:w="255"/>
            <w:gridCol w:w="165"/>
            <w:gridCol w:w="3375"/>
            <w:gridCol w:w="1830"/>
          </w:tblGrid>
        </w:tblGridChange>
      </w:tblGrid>
      <w:tr>
        <w:trPr>
          <w:cantSplit w:val="0"/>
          <w:trHeight w:val="803" w:hRule="atLeast"/>
          <w:tblHeader w:val="0"/>
        </w:trPr>
        <w:tc>
          <w:tcPr/>
          <w:p w:rsidR="00000000" w:rsidDel="00000000" w:rsidP="00000000" w:rsidRDefault="00000000" w:rsidRPr="00000000" w14:paraId="00000002">
            <w:pPr>
              <w:spacing w:after="0" w:line="240" w:lineRule="auto"/>
              <w:ind w:left="0" w:hanging="2"/>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48899</wp:posOffset>
                  </wp:positionH>
                  <wp:positionV relativeFrom="paragraph">
                    <wp:posOffset>4445</wp:posOffset>
                  </wp:positionV>
                  <wp:extent cx="539115" cy="506095"/>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115" cy="506095"/>
                          </a:xfrm>
                          <a:prstGeom prst="rect"/>
                          <a:ln/>
                        </pic:spPr>
                      </pic:pic>
                    </a:graphicData>
                  </a:graphic>
                </wp:anchor>
              </w:drawing>
            </w:r>
          </w:p>
        </w:tc>
        <w:tc>
          <w:tcPr>
            <w:gridSpan w:val="2"/>
            <w:vAlign w:val="center"/>
          </w:tcPr>
          <w:p w:rsidR="00000000" w:rsidDel="00000000" w:rsidP="00000000" w:rsidRDefault="00000000" w:rsidRPr="00000000" w14:paraId="00000003">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No.: BatStateU-FO-RES-02</w:t>
            </w:r>
          </w:p>
        </w:tc>
        <w:tc>
          <w:tcPr>
            <w:gridSpan w:val="2"/>
            <w:vAlign w:val="center"/>
          </w:tcPr>
          <w:p w:rsidR="00000000" w:rsidDel="00000000" w:rsidP="00000000" w:rsidRDefault="00000000" w:rsidRPr="00000000" w14:paraId="00000005">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Effectivity Date: August 22, 2023</w:t>
            </w:r>
          </w:p>
        </w:tc>
        <w:tc>
          <w:tcPr>
            <w:vAlign w:val="center"/>
          </w:tcPr>
          <w:p w:rsidR="00000000" w:rsidDel="00000000" w:rsidP="00000000" w:rsidRDefault="00000000" w:rsidRPr="00000000" w14:paraId="00000007">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No.: 04</w:t>
            </w:r>
          </w:p>
        </w:tc>
      </w:tr>
      <w:tr>
        <w:trPr>
          <w:cantSplit w:val="0"/>
          <w:trHeight w:val="437" w:hRule="atLeast"/>
          <w:tblHeader w:val="0"/>
        </w:trPr>
        <w:tc>
          <w:tcPr>
            <w:gridSpan w:val="6"/>
            <w:shd w:fill="ffffff" w:val="clear"/>
            <w:vAlign w:val="center"/>
          </w:tcPr>
          <w:p w:rsidR="00000000" w:rsidDel="00000000" w:rsidP="00000000" w:rsidRDefault="00000000" w:rsidRPr="00000000" w14:paraId="00000008">
            <w:pPr>
              <w:spacing w:after="0" w:line="240"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DETAILED RESEARCH PROPOSAL</w:t>
            </w:r>
            <w:r w:rsidDel="00000000" w:rsidR="00000000" w:rsidRPr="00000000">
              <w:rPr>
                <w:rtl w:val="0"/>
              </w:rPr>
            </w:r>
          </w:p>
        </w:tc>
      </w:tr>
      <w:tr>
        <w:trPr>
          <w:cantSplit w:val="0"/>
          <w:trHeight w:val="443" w:hRule="atLeast"/>
          <w:tblHeader w:val="0"/>
        </w:trPr>
        <w:tc>
          <w:tcPr>
            <w:gridSpan w:val="6"/>
            <w:shd w:fill="ffffff" w:val="clear"/>
            <w:vAlign w:val="center"/>
          </w:tcPr>
          <w:p>
            <w:pPr>
              <w:spacing w:after="9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I. Research Project Title: Pre-Commercialization Development and Validation of Quadro Hardware and a Custom Linux OS for AI and Linux Learning (24 Months)</w:t>
            </w:r>
          </w:p>
        </w:tc>
      </w:tr>
      <w:tr>
        <w:trPr>
          <w:cantSplit w:val="0"/>
          <w:trHeight w:val="443" w:hRule="atLeast"/>
          <w:tblHeader w:val="0"/>
        </w:trPr>
        <w:tc>
          <w:tcPr>
            <w:gridSpan w:val="6"/>
            <w:tcBorders>
              <w:bottom w:color="000000" w:space="0" w:sz="4" w:val="single"/>
            </w:tcBorders>
            <w:shd w:fill="ffffff" w:val="clear"/>
            <w:vAlign w:val="center"/>
          </w:tcPr>
          <w:p w:rsidR="00000000" w:rsidDel="00000000" w:rsidP="00000000" w:rsidRDefault="00000000" w:rsidRPr="00000000" w14:paraId="00000014">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II.  BatStateU Research Agenda: Industry, Energy and Emerging Technology Research (IEETR)</w:t>
            </w:r>
            <w:r w:rsidDel="00000000" w:rsidR="00000000" w:rsidRPr="00000000">
              <w:rPr>
                <w:rtl w:val="0"/>
              </w:rPr>
            </w:r>
          </w:p>
        </w:tc>
      </w:tr>
      <w:tr>
        <w:trPr>
          <w:cantSplit w:val="0"/>
          <w:trHeight w:val="443" w:hRule="atLeast"/>
          <w:tblHeader w:val="0"/>
        </w:trPr>
        <w:tc>
          <w:tcPr>
            <w:gridSpan w:val="6"/>
            <w:tcBorders>
              <w:bottom w:color="000000" w:space="0" w:sz="0" w:val="nil"/>
            </w:tcBorders>
            <w:shd w:fill="ffffff"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III. </w:t>
            </w:r>
            <w:r w:rsidDel="00000000" w:rsidR="00000000" w:rsidRPr="00000000">
              <w:rPr>
                <w:rFonts w:ascii="Times New Roman" w:cs="Times New Roman" w:eastAsia="Times New Roman" w:hAnsi="Times New Roman"/>
                <w:b w:val="1"/>
                <w:color w:val="000000"/>
                <w:rtl w:val="0"/>
              </w:rPr>
              <w:t xml:space="preserve">Sustainable Development Goal:</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SDG1: No Poverty</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SDG10: Reduced Inequalities</w:t>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SDG2: Zero Hunger</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SDG11: Sustainable Cities &amp; Communities</w:t>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SDG3: Good Health &amp; Well-being</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SDG12: Responsible Consumption &amp; Production</w:t>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highlight w:val="black"/>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tl w:val="0"/>
              </w:rPr>
              <w:t xml:space="preserve"> SDG4: Quality Education</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rtl w:val="0"/>
              </w:rPr>
              <w:t xml:space="preserve">☐</w:t>
            </w:r>
            <w:r w:rsidDel="00000000" w:rsidR="00000000" w:rsidRPr="00000000">
              <w:rPr>
                <w:rFonts w:ascii="Times New Roman" w:cs="Times New Roman" w:eastAsia="Times New Roman" w:hAnsi="Times New Roman"/>
                <w:color w:val="000000"/>
                <w:rtl w:val="0"/>
              </w:rPr>
              <w:t xml:space="preserve">  SDG13: Climate Action</w:t>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SDG5: Gender Equality</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SDG14: Life Below Water</w:t>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SDG6: Clean Water &amp; Sanitation</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SDG15: Life on Land</w:t>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SDG7: Affordable and Clean Energy</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SDG16: Peace, Justice, &amp; Strong Institutions</w:t>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SDG8: Decent Work &amp; Economic Growth</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tl w:val="0"/>
              </w:rPr>
              <w:t xml:space="preserve"> SDG17: Partnerships for the Goals</w:t>
            </w:r>
          </w:p>
        </w:tc>
      </w:tr>
      <w:tr>
        <w:trPr>
          <w:cantSplit w:val="0"/>
          <w:trHeight w:val="113" w:hRule="atLeast"/>
          <w:tblHeader w:val="0"/>
        </w:trPr>
        <w:tc>
          <w:tcPr>
            <w:gridSpan w:val="4"/>
            <w:tcBorders>
              <w:top w:color="000000" w:space="0" w:sz="0" w:val="nil"/>
              <w:right w:color="000000" w:space="0" w:sz="0" w:val="nil"/>
            </w:tcBorders>
            <w:shd w:fill="ffffff" w:val="clea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highlight w:val="black"/>
              </w:rPr>
              <w:t xml:space="preserve">☐</w:t>
            </w:r>
            <w:r w:rsidDel="00000000" w:rsidR="00000000" w:rsidRPr="00000000">
              <w:rPr>
                <w:rFonts w:ascii="Times New Roman" w:cs="Times New Roman" w:eastAsia="Times New Roman" w:hAnsi="Times New Roman"/>
                <w:color w:val="000000"/>
                <w:rtl w:val="0"/>
              </w:rPr>
              <w:t xml:space="preserve">  SDG9: Industry, Innovation, &amp; Infrastructure</w:t>
            </w:r>
          </w:p>
        </w:tc>
        <w:tc>
          <w:tcPr>
            <w:gridSpan w:val="2"/>
            <w:tcBorders>
              <w:top w:color="000000" w:space="0" w:sz="0" w:val="nil"/>
              <w:left w:color="000000" w:space="0" w:sz="0" w:val="nil"/>
            </w:tcBorders>
            <w:shd w:fill="ffffff" w:val="cle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tl w:val="0"/>
              </w:rPr>
            </w:r>
          </w:p>
        </w:tc>
      </w:tr>
      <w:tr>
        <w:trPr>
          <w:cantSplit w:val="0"/>
          <w:trHeight w:val="1747" w:hRule="atLeast"/>
          <w:tblHeader w:val="0"/>
        </w:trPr>
        <w:tc>
          <w:tcPr>
            <w:gridSpan w:val="6"/>
            <w:shd w:fill="ffffff" w:val="clear"/>
            <w:vAlign w:val="center"/>
          </w:tcPr>
          <w:p>
            <w:pPr>
              <w:spacing w:after="9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IV. Project Leader: ____________________________________</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Email Address: ____________________________________</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Contact Number: ____________________________________</w:t>
            </w:r>
          </w:p>
          <w:p>
            <w:pPr>
              <w:spacing w:after="9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Project Staff: ____________________________________</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Email Address: ____________________________________</w:t>
            </w:r>
          </w:p>
        </w:tc>
      </w:tr>
      <w:tr>
        <w:trPr>
          <w:cantSplit w:val="0"/>
          <w:trHeight w:val="1158" w:hRule="atLeast"/>
          <w:tblHeader w:val="0"/>
        </w:trPr>
        <w:tc>
          <w:tcPr>
            <w:gridSpan w:val="6"/>
            <w:shd w:fill="ffffff" w:val="clear"/>
            <w:vAlign w:val="center"/>
          </w:tcPr>
          <w:p w:rsidR="00000000" w:rsidDel="00000000" w:rsidP="00000000" w:rsidRDefault="00000000" w:rsidRPr="00000000" w14:paraId="00000064">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    Proponent Agency: </w:t>
            </w:r>
            <w:r w:rsidDel="00000000" w:rsidR="00000000" w:rsidRPr="00000000">
              <w:rPr>
                <w:rFonts w:ascii="Times New Roman" w:cs="Times New Roman" w:eastAsia="Times New Roman" w:hAnsi="Times New Roman"/>
                <w:rtl w:val="0"/>
              </w:rPr>
              <w:t xml:space="preserve">Batangas State University</w:t>
            </w:r>
          </w:p>
          <w:p w:rsidR="00000000" w:rsidDel="00000000" w:rsidP="00000000" w:rsidRDefault="00000000" w:rsidRPr="00000000" w14:paraId="00000065">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Department: </w:t>
            </w:r>
            <w:r w:rsidDel="00000000" w:rsidR="00000000" w:rsidRPr="00000000">
              <w:rPr>
                <w:rFonts w:ascii="Times New Roman" w:cs="Times New Roman" w:eastAsia="Times New Roman" w:hAnsi="Times New Roman"/>
                <w:rtl w:val="0"/>
              </w:rPr>
              <w:t xml:space="preserve">STEER Hub</w:t>
            </w:r>
          </w:p>
          <w:p w:rsidR="00000000" w:rsidDel="00000000" w:rsidP="00000000" w:rsidRDefault="00000000" w:rsidRPr="00000000" w14:paraId="00000066">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College: </w:t>
            </w:r>
            <w:r w:rsidDel="00000000" w:rsidR="00000000" w:rsidRPr="00000000">
              <w:rPr>
                <w:rFonts w:ascii="Times New Roman" w:cs="Times New Roman" w:eastAsia="Times New Roman" w:hAnsi="Times New Roman"/>
                <w:rtl w:val="0"/>
              </w:rPr>
              <w:t xml:space="preserve">College of Engineering</w:t>
            </w:r>
          </w:p>
          <w:p w:rsidR="00000000" w:rsidDel="00000000" w:rsidP="00000000" w:rsidRDefault="00000000" w:rsidRPr="00000000" w14:paraId="00000067">
            <w:pPr>
              <w:ind w:hanging="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Campus: </w:t>
            </w:r>
            <w:r w:rsidDel="00000000" w:rsidR="00000000" w:rsidRPr="00000000">
              <w:rPr>
                <w:rFonts w:ascii="Times New Roman" w:cs="Times New Roman" w:eastAsia="Times New Roman" w:hAnsi="Times New Roman"/>
                <w:rtl w:val="0"/>
              </w:rPr>
              <w:t xml:space="preserve">Central</w:t>
            </w:r>
            <w:r w:rsidDel="00000000" w:rsidR="00000000" w:rsidRPr="00000000">
              <w:rPr>
                <w:rtl w:val="0"/>
              </w:rPr>
            </w:r>
          </w:p>
        </w:tc>
      </w:tr>
      <w:tr>
        <w:trPr>
          <w:cantSplit w:val="0"/>
          <w:trHeight w:val="425" w:hRule="atLeast"/>
          <w:tblHeader w:val="0"/>
        </w:trPr>
        <w:tc>
          <w:tcPr>
            <w:gridSpan w:val="6"/>
            <w:shd w:fill="ffffff" w:val="clear"/>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VI. Cooperating Agency: ____________________________________</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Partner institutions will be identified through the pilot and market-validation activities.</w:t>
            </w:r>
          </w:p>
        </w:tc>
      </w:tr>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VII. Executive Brief:</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Quadro is a proposed educational computer combining a custom carrier board, a production NVIDIA Jetson Orin Nano 8 GB module and Quadro Learning OS. The 24 month project will develop and validate a maintained Linux image, guided AI and Linux lessons, recovery tools and instructor materials for Philippine educational institutions.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existing repository supplies carrier design files and a reference Yocto BSP. It also records unresolved repair and qualification work. The proposed learning OS and educational outcomes have not yet been validated; release depends on engineering tests, classroom pilots and verified customer budgets. [1][2][3]</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24 month version completes the same initial validation, then adds three follow-up cohorts, at least 90 learners and 30 instructors in total, and a second cycle of OS, curriculum and production improvements.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provisional project expenditure is PHP 5,850,000, excluding commercial inventory and paid-workshop delivery. Funding sources and eligible cost categories remain subject to institutional review. Commercial forecasts are conditional scenarios, rather than research outputs or assured sales.</w:t>
            </w:r>
          </w:p>
        </w:tc>
      </w:tr>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VIII. Rationale:</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AI education benefits from opportunities to prepare data, run models, examine errors and deploy applications. Linux competence also requires practical work with files, permissions, packages, networking, services and recovery. A dedicated learning device can connect these activities within one reproducible environment, provided the hardware and lessons remain reliable and usable.</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Quadro will initially serve college and technical training laboratories with a clear edge AI use case. Schools can use existing PCs for many introductory Linux activities; the project must therefore demonstrate the added value of GPU-assisted deployment, physical interfaces and a supported classroom image. Affordability and willingness to buy will be investigated rather than assumed.</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first configuration will include an Orin Nano 8 GB production module, Quadro carrier, 128 GB NVMe storage, suitable power, active cooling and an enclosure. Displays, keyboards, mice and optional cameras are outside the base kit. The learning image will expose the normal Linux terminal and administration tools while adding lessons, notebooks and a documented recovery process.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repository reference uses Yocto and JetPack 6.1. An Ubuntu-based learner image is proposed, with a carrier-specific migration and test plan. NVIDIA lists Orin support in JetPack 7.2.1; that support does not establish compatibility with the current Quadro board. Device tree, boot configuration, flashing and peripheral checks are required. [2][5][6]</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project will produce one validated hardware configuration, one versioned learning image, a 40 hour introductory course with 12 practical labs, a learner workbook, a teacher guide and a commercial readiness package. A proprietary cloud service or new LMS is outside the initial scope. Software, models and teaching materials will be distributed only under applicable licences. [11]</w:t>
            </w:r>
          </w:p>
        </w:tc>
      </w:tr>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IX. Objectives of the Project:</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general objective is to establish the technical, educational, operational and commercial feasibility of Quadro as an AI and Linux learning platform within 24 months.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Specifically, the project aims to:</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1. Repair and qualify 10 engineering kits, closing release-blocking design and manufacturing issues before classroom deployment.</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2. Develop and test a custom Linux learning image, secure account setup, recovery procedure, 40 hour course and 12 practical labs.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3. Conduct six research cohorts across the programme, involving at least 90 learners and 30 instructors, and evaluate changes after successive revisions.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4. Validate institutional requirements through 20 buyer interviews, supplier quotations, a priced bill of materials and pilot agreements.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5. Update the product, service and cost model using follow-up evidence and prepare an evidence-based scaling decision by month 24.</w:t>
            </w:r>
          </w:p>
        </w:tc>
      </w:tr>
      <w:tr>
        <w:trPr>
          <w:cantSplit w:val="0"/>
          <w:trHeight w:val="533"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X. Expected Output of the Project:</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1. Ten (10) engineering kits with serialised qualification records, a released design revision and a priced bill of materials.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2. One (1) tested Quadro Learning OS image, installation and recovery package, release manifest and account-security guide.</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3. One (1) 40 hour course with twelve (12) labs, a learner workbook and a teacher reference guide covering Linux foundations, administration, Python, AI inference and a final project.</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4. Six (6) research pilot cohorts, at least ninety (90) learner participants and thirty (30) instructor participants in total, including the first-year participants.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5. One (1) iteration report after each cohort, with assessment summaries, usability findings, support effort and resulting changes.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6. One (1) business model, cost and price table, supply-chain map, support plan, compliance checklist and commercial release roadmap.</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7. At least two (2) written pilot agreements and two (2) potential institutional or distribution channels investigated. No signed commercial partnership is assumed.</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8. One (1) final technical and educational validation report and one (1) manuscript prepared for submission. Publication acceptance is outside the project team's control.</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Proposed educational success criteria</w:t>
            </w:r>
            <w:r>
              <w:br/>
            </w:r>
            <w:r>
              <w:rPr>
                <w:rFonts w:ascii="Times New Roman" w:hAnsi="Times New Roman" w:eastAsia="Times New Roman" w:cs="Times New Roman"/>
                <w:sz w:val="22"/>
                <w:b w:val="0"/>
                <w:color w:val="000000"/>
              </w:rPr>
              <w:t xml:space="preserve">Target at least 80 percent core-lab completion, 70 percent final-project completion and a median 20 percentage point improvement on the same skills rubric. Record unsuccessful attempts and withdrawals. These are proposed targets, not measured outcomes.</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Social and economic impact</w:t>
            </w:r>
            <w:r>
              <w:br/>
            </w:r>
            <w:r>
              <w:rPr>
                <w:rFonts w:ascii="Times New Roman" w:hAnsi="Times New Roman" w:eastAsia="Times New Roman" w:cs="Times New Roman"/>
                <w:sz w:val="22"/>
                <w:b w:val="0"/>
                <w:color w:val="000000"/>
              </w:rPr>
              <w:t xml:space="preserve">The intended social benefit is improved access to practical AI deployment and Linux skills through reusable teaching materials and locally supported equipment. The intended economic benefit is a tested route to assembly, training and support services. Adoption, employment and spin-off formation are possible outcomes to assess, rather than guaranteed impacts.</w:t>
            </w:r>
          </w:p>
        </w:tc>
      </w:tr>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XI. Review of Related Literature:</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1. What Has Been Done</w:t>
            </w:r>
            <w:r>
              <w:br/>
            </w:r>
            <w:r>
              <w:rPr>
                <w:rFonts w:ascii="Times New Roman" w:hAnsi="Times New Roman" w:eastAsia="Times New Roman" w:cs="Times New Roman"/>
                <w:sz w:val="22"/>
                <w:b w:val="0"/>
                <w:color w:val="000000"/>
              </w:rPr>
              <w:t xml:space="preserve">Freeman et al. analysed 225 undergraduate STEM studies and reported better performance under active learning than traditional lecturing. This supports guided practice, problem solving and feedback in the proposed course. The study does not isolate ownership of a device or establish the effectiveness of Quadro, Linux instruction or AI training. [8]</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Ouyang and Xu examined educational robotics across STEM settings and reported a positive overall effect, with variation across outcomes. Robotics differs from Quadro's AI and Linux focus. Their results support investigating a physical learning platform together with instructional design; they do not justify attributing gains to hardware alone. [9]</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2. What Is Currently Being Done</w:t>
            </w:r>
            <w:r>
              <w:br/>
            </w:r>
            <w:r>
              <w:rPr>
                <w:rFonts w:ascii="Times New Roman" w:hAnsi="Times New Roman" w:eastAsia="Times New Roman" w:cs="Times New Roman"/>
                <w:sz w:val="22"/>
                <w:b w:val="0"/>
                <w:color w:val="000000"/>
              </w:rPr>
              <w:t xml:space="preserve">NVIDIA provides Jetson educational resources and an ecosystem for hands-on AI projects. Its current Jetson software includes Orin support, while custom carrier deployment still requires adaptation and validation. These resources establish an available technical foundation rather than evidence of Quadro classroom success. [5][6][7]</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Linux Foundation's introductory course covers graphical and command-line work, applications and system configuration. It provides a curriculum benchmark and an optional learner resource. Free access does not establish permission to copy the course into Quadro materials. [10]</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3. What We Are Proposing</w:t>
            </w:r>
            <w:r>
              <w:br/>
            </w:r>
            <w:r>
              <w:rPr>
                <w:rFonts w:ascii="Times New Roman" w:hAnsi="Times New Roman" w:eastAsia="Times New Roman" w:cs="Times New Roman"/>
                <w:sz w:val="22"/>
                <w:b w:val="0"/>
                <w:color w:val="000000"/>
              </w:rPr>
              <w:t xml:space="preserve">Quadro will combine a qualified carrier board, a maintained learning image and assessed Linux and AI activities. Its contribution to investigate is whether this combination reduces teacher setup effort and supports completion of practical tasks in local classrooms. The study will document setup time, recovery effort, completion, assessed skill change and support demand.</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pilot will use pre/post assessment and qualitative feedback. Without random assignment or a comparison group, the results will support feasibility and iteration decisions, rather than a causal claim that Quadro outperforms other teaching methods. Local purchase demand and cost will be tested separately.</w:t>
            </w:r>
          </w:p>
        </w:tc>
      </w:tr>
    </w:tbl>
    <w:p>
      <w:r>
        <w:br w:type="page"/>
      </w:r>
    </w:p>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1"/>
        <w:gridCol w:w="3570"/>
        <w:gridCol w:w="255"/>
        <w:gridCol w:w="165"/>
        <w:gridCol w:w="3375"/>
        <w:gridCol w:w="1830"/>
        <w:tblGridChange w:id="0">
          <w:tblGrid>
            <w:gridCol w:w="3021"/>
            <w:gridCol w:w="3570"/>
            <w:gridCol w:w="255"/>
            <w:gridCol w:w="165"/>
            <w:gridCol w:w="3375"/>
            <w:gridCol w:w="1830"/>
          </w:tblGrid>
        </w:tblGridChange>
      </w:tblGrid>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XII. Methodology:</w:t>
            </w:r>
          </w:p>
          <w:p w:rsidR="00000000" w:rsidDel="00000000" w:rsidP="00000000" w:rsidRDefault="00000000" w:rsidRPr="00000000" w14:paraId="000000D4">
            <w:pPr>
              <w:ind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05475" cy="2879651"/>
                  <wp:effectExtent b="0" l="0" r="0" t="0"/>
                  <wp:docPr id="2" name="image1.png" descr="Quadro hardware, learning OS, classroom validation and commercial readiness process"/>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05475" cy="2879651"/>
                          </a:xfrm>
                          <a:prstGeom prst="rect"/>
                          <a:ln/>
                        </pic:spPr>
                      </pic:pic>
                    </a:graphicData>
                  </a:graphic>
                </wp:inline>
              </w:drawing>
            </w:r>
            <w:r w:rsidDel="00000000" w:rsidR="00000000" w:rsidRPr="00000000">
              <w:rPr>
                <w:rtl w:val="0"/>
              </w:rPr>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Phase I Platform and demand definition Months 1 to 3</w:t>
            </w:r>
            <w:r>
              <w:br/>
            </w:r>
            <w:r>
              <w:rPr>
                <w:rFonts w:ascii="Times New Roman" w:hAnsi="Times New Roman" w:eastAsia="Times New Roman" w:cs="Times New Roman"/>
                <w:sz w:val="22"/>
                <w:b w:val="0"/>
                <w:color w:val="000000"/>
              </w:rPr>
              <w:t xml:space="preserve">Interview 10 instructors, five lab managers and five procurement or budget staff. Record target learners, existing facilities, intended AI use cases, acceptable total cost and purchasing dates. Seek two pilot agreements without describing interest as a sale.</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Review the current repair plan, complete a costed BOM and obtain assembly and landed-module quotations. Select one hardware revision and learner OS baseline. Demonstrate desktop operation, GPU libraries, storage, Ethernet and recovery on the target board by month 3 or revise the schedule. [3][6]</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Phase II Engineering and learning package Months 3 to 6</w:t>
            </w:r>
            <w:r>
              <w:br/>
            </w:r>
            <w:r>
              <w:rPr>
                <w:rFonts w:ascii="Times New Roman" w:hAnsi="Times New Roman" w:eastAsia="Times New Roman" w:cs="Times New Roman"/>
                <w:sz w:val="22"/>
                <w:b w:val="0"/>
                <w:color w:val="000000"/>
              </w:rPr>
              <w:t xml:space="preserve">Build and qualify 10 engineering kits. Proposed tests include 20 cold boots per kit and an eight hour mixed CPU, GPU and storage workload without a crash or thermal shutdown. Resolve release blockers, check accessible interfaces and record test conditions. These tests supplement, rather than replace, safety and compliance review.</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Develop the learning image, first-boot credentials, student accounts, lesson launcher, Python notebooks and recovery instructions. Create 12 labs across Linux foundations, administration, AI inference and a small transfer-learning exercise. Large-model training is outside the introductory scope. Validate every included AI model on the final image.</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Phase III Research pilots and revision Months 5 to 12</w:t>
            </w:r>
            <w:r>
              <w:br/>
            </w:r>
            <w:r>
              <w:rPr>
                <w:rFonts w:ascii="Times New Roman" w:hAnsi="Times New Roman" w:eastAsia="Times New Roman" w:cs="Times New Roman"/>
                <w:sz w:val="22"/>
                <w:b w:val="0"/>
                <w:color w:val="000000"/>
              </w:rPr>
              <w:t xml:space="preserve">Conduct three cohorts with at least 30 learners and 10 instructors in total. Record voluntary participation, obtain required institutional and ethics permissions, and use anonymised identifiers. Educational participation will not depend on consenting to research data collection.</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Use the same task rubric before and after instruction. Collect completion records, teacher setup time, recovery effort, support tickets, surveys and focused discussions. Analyse scores, paired changes, completion rates and qualitative themes descriptively; report sample size, withdrawals and limitations. Keep personal data access restricted and follow institutional retention rules.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Prepare an iteration report after each cohort. Re-test affected hardware or OS functions before further use. Research cohorts use engineering kits; paid customer workshops and saleable kits are separate enterprise activities and are not charged again to the pilot budget.</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Phase IV Follow up validation and production readiness Months 13 to 24</w:t>
            </w:r>
            <w:r>
              <w:br/>
            </w:r>
            <w:r>
              <w:rPr>
                <w:rFonts w:ascii="Times New Roman" w:hAnsi="Times New Roman" w:eastAsia="Times New Roman" w:cs="Times New Roman"/>
                <w:sz w:val="22"/>
                <w:b w:val="0"/>
                <w:color w:val="000000"/>
              </w:rPr>
              <w:t xml:space="preserve">Add three follow-up cohorts involving at least 60 additional learners and 20 additional instructors. Compare descriptive findings between revisions while recording differences in cohort experience and teaching conditions. Improve instructor guides, accessibility, provisioning and recovery using the evidence.</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Refresh supplier quotations, manufacturing yield and support assumptions. Test the PHP 34,500 year 2 unit-cost target against actual supply and assembly data before placing a new batch. Prepare a final scaling decision based on repeat demand, technical reliability, learning feasibility and available cash.</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Commercial feasibility and release decisions</w:t>
            </w:r>
            <w:r>
              <w:br/>
            </w:r>
            <w:r>
              <w:rPr>
                <w:rFonts w:ascii="Times New Roman" w:hAnsi="Times New Roman" w:eastAsia="Times New Roman" w:cs="Times New Roman"/>
                <w:sz w:val="22"/>
                <w:b w:val="0"/>
                <w:color w:val="000000"/>
              </w:rPr>
              <w:t xml:space="preserve">Use a proposed net kit price of PHP 49,000 and an illustrative 12 percent VAT-inclusive price of PHP 54,880 for willingness-to-pay testing. All price, volume, exchange and cost values remain assumptions until supported by quotations and orders. Production modules, rather than development kits, underpin the saleable product. [4]</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conditional enterprise scenario is 100 kits and six paid workshops in year 1, then 300 kits and 12 workshops in year 2. The modeled results are a PHP 1.310 million first-year loss and PHP 1.680 million second-year surplus, before tax, depreciation and financing.</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Do not commit to the first 50 saleable kits until qualified prototypes, written manufacturing acceptance, a costed BOM at or below PHP 36,000 per kit, and at least 30 units of funded orders are in place. Confirm product-specific safety, EMC, radio, licence and data requirements before public sale. Each commercial unit requires a documented functional test.</w:t>
            </w:r>
          </w:p>
        </w:tc>
      </w:tr>
    </w:tbl>
    <w:p>
      <w:r>
        <w:br w:type="page"/>
      </w:r>
    </w:p>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1"/>
        <w:gridCol w:w="3570"/>
        <w:gridCol w:w="255"/>
        <w:gridCol w:w="165"/>
        <w:gridCol w:w="3375"/>
        <w:gridCol w:w="1830"/>
        <w:tblGridChange w:id="0">
          <w:tblGrid>
            <w:gridCol w:w="3021"/>
            <w:gridCol w:w="3570"/>
            <w:gridCol w:w="255"/>
            <w:gridCol w:w="165"/>
            <w:gridCol w:w="3375"/>
            <w:gridCol w:w="1830"/>
          </w:tblGrid>
        </w:tblGridChange>
      </w:tblGrid>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XIII. Duties and Responsibilities of Each Member:</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Project Leader and Project Operations</w:t>
            </w:r>
            <w:r>
              <w:br/>
            </w:r>
            <w:r>
              <w:rPr>
                <w:rFonts w:ascii="Times New Roman" w:hAnsi="Times New Roman" w:eastAsia="Times New Roman" w:cs="Times New Roman"/>
                <w:sz w:val="22"/>
                <w:b w:val="0"/>
                <w:color w:val="000000"/>
              </w:rPr>
              <w:t xml:space="preserve">Coordinate deliverables, budget, research permissions, partner discussions and release decisions. Maintain the risk register and distinguish research funding from enterprise cash. Review prototype evidence, cohort findings and procurement commitments before authorising each stage.</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Linux and BSP Engineer</w:t>
            </w:r>
            <w:r>
              <w:br/>
            </w:r>
            <w:r>
              <w:rPr>
                <w:rFonts w:ascii="Times New Roman" w:hAnsi="Times New Roman" w:eastAsia="Times New Roman" w:cs="Times New Roman"/>
                <w:sz w:val="22"/>
                <w:b w:val="0"/>
                <w:color w:val="000000"/>
              </w:rPr>
              <w:t xml:space="preserve">Adapt the carrier configuration, build and version the learning image, maintain GPU and package compatibility, implement account and update security, and test recovery. Keep reproducible build instructions and an inventory of software and model licences.</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Hardware and Manufacturing Engineer</w:t>
            </w:r>
            <w:r>
              <w:br/>
            </w:r>
            <w:r>
              <w:rPr>
                <w:rFonts w:ascii="Times New Roman" w:hAnsi="Times New Roman" w:eastAsia="Times New Roman" w:cs="Times New Roman"/>
                <w:sz w:val="22"/>
                <w:b w:val="0"/>
                <w:color w:val="000000"/>
              </w:rPr>
              <w:t xml:space="preserve">Close schematic, PCB and manufacturing release blockers; manage prototype spins, power and thermal checks, assembly instructions and serialised production tests. Obtain supplier quotations and document design and BOM changes.</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Curriculum and Validation Specialist</w:t>
            </w:r>
            <w:r>
              <w:br/>
            </w:r>
            <w:r>
              <w:rPr>
                <w:rFonts w:ascii="Times New Roman" w:hAnsi="Times New Roman" w:eastAsia="Times New Roman" w:cs="Times New Roman"/>
                <w:sz w:val="22"/>
                <w:b w:val="0"/>
                <w:color w:val="000000"/>
              </w:rPr>
              <w:t xml:space="preserve">Prepare the 40 hour course, 12 labs, learner workbook and teacher guide. Design the rubric, facilitate research cohorts, analyse results and document revisions. Ensure pilot participation and data handling follow institutional requirements.</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Staffing and accountability</w:t>
            </w:r>
            <w:r>
              <w:br/>
            </w:r>
            <w:r>
              <w:rPr>
                <w:rFonts w:ascii="Times New Roman" w:hAnsi="Times New Roman" w:eastAsia="Times New Roman" w:cs="Times New Roman"/>
                <w:sz w:val="22"/>
                <w:b w:val="0"/>
                <w:color w:val="000000"/>
              </w:rPr>
              <w:t xml:space="preserve">The budget uses fractional role allocations, not four confirmed full-time appointments. Named assignments, qualifications, employment terms and institutional approvals must be completed before engagement. Extra specialist work requires an approved budget revision.</w:t>
            </w:r>
          </w:p>
        </w:tc>
      </w:tr>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XIV. Major Activities and Work Plan:</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See included Form A for the 24 month quarterly work plan and evidence required to proceed.</w:t>
            </w:r>
          </w:p>
        </w:tc>
      </w:tr>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XV. Line Item Budget:</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See included Form B. Proposed project expenditure totals PHP 5,850,000. Funding-source allocation and eligible classifications require institutional and funder approval. Commercial inventory and paid-workshop delivery are excluded from this project-cost total.</w:t>
            </w:r>
          </w:p>
        </w:tc>
      </w:tr>
      <w:tr>
        <w:trPr>
          <w:cantSplit w:val="0"/>
          <w:trHeight w:val="425" w:hRule="atLeast"/>
          <w:tblHeader w:val="0"/>
        </w:trPr>
        <w:tc>
          <w:tcPr>
            <w:gridSpan w:val="2"/>
            <w:vAlign w:val="center"/>
          </w:tcPr>
          <w:p>
            <w:pPr>
              <w:spacing w:after="9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Personnel Services provisional classification</w:t>
            </w:r>
          </w:p>
        </w:tc>
        <w:tc>
          <w:tcPr>
            <w:gridSpan w:val="4"/>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PHP 3,360,000</w:t>
            </w:r>
          </w:p>
        </w:tc>
      </w:tr>
      <w:tr>
        <w:trPr>
          <w:cantSplit w:val="0"/>
          <w:trHeight w:val="425" w:hRule="atLeast"/>
          <w:tblHeader w:val="0"/>
        </w:trPr>
        <w:tc>
          <w:tcPr>
            <w:gridSpan w:val="2"/>
            <w:vAlign w:val="center"/>
          </w:tcPr>
          <w:p>
            <w:pPr>
              <w:spacing w:after="9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Maintenance and Operating Expenses</w:t>
            </w:r>
          </w:p>
        </w:tc>
        <w:tc>
          <w:tcPr>
            <w:gridSpan w:val="4"/>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PHP 2,190,000</w:t>
            </w:r>
          </w:p>
        </w:tc>
      </w:tr>
      <w:tr>
        <w:trPr>
          <w:cantSplit w:val="0"/>
          <w:trHeight w:val="425" w:hRule="atLeast"/>
          <w:tblHeader w:val="0"/>
        </w:trPr>
        <w:tc>
          <w:tcPr>
            <w:gridSpan w:val="2"/>
            <w:vAlign w:val="center"/>
          </w:tcPr>
          <w:p>
            <w:pPr>
              <w:spacing w:after="9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Capital Outlay and Equipment</w:t>
            </w:r>
          </w:p>
        </w:tc>
        <w:tc>
          <w:tcPr>
            <w:gridSpan w:val="4"/>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PHP 300,000</w:t>
            </w:r>
          </w:p>
        </w:tc>
      </w:tr>
      <w:tr>
        <w:trPr>
          <w:cantSplit w:val="0"/>
          <w:trHeight w:val="425" w:hRule="atLeast"/>
          <w:tblHeader w:val="0"/>
        </w:trPr>
        <w:tc>
          <w:tcPr>
            <w:gridSpan w:val="2"/>
            <w:vAlign w:val="center"/>
          </w:tcPr>
          <w:p>
            <w:pPr>
              <w:spacing w:after="9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Total Proposed Project Cost</w:t>
            </w:r>
          </w:p>
        </w:tc>
        <w:tc>
          <w:tcPr>
            <w:gridSpan w:val="4"/>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PHP 5,850,000</w:t>
            </w:r>
          </w:p>
        </w:tc>
      </w:tr>
      <w:tr>
        <w:trPr>
          <w:cantSplit w:val="0"/>
          <w:trHeight w:val="425" w:hRule="atLeast"/>
          <w:tblHeader w:val="0"/>
        </w:trPr>
        <w:tc>
          <w:tcPr>
            <w:gridSpan w:val="6"/>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XVI. References:</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[1] Quadro. Jetson Orin Baseboard README and Apache 2.0 licence. Repository README.md, lines 12 to 31 and 54 to 56; LICENSE, sections 4 and 6.</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[2] Quadro. Getting started and reference BSP. Repository doc/source/getting_started.md, lines 12 to 60, 133 to 151 and 324 onward.</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[3] Quadro. PCB Repair Implementation Plan. Repository doc/PCB_REPAIR_PLAN.md, baseline dated 14 October 2026 and release gates. This is a recorded baseline, not fresh qualification.</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[4] NVIDIA. Jetson FAQ. Production module guidance and suggested volume pricing; accessed 20 October 2026. </w:t>
            </w:r>
            <w:hyperlink r:id="rIdQuadro1">
              <w:r>
                <w:rPr>
                  <w:rFonts w:ascii="Times New Roman" w:hAnsi="Times New Roman"/>
                  <w:sz w:val="22"/>
                  <w:color w:val="0000FF"/>
                  <w:u w:val="single"/>
                </w:rPr>
                <w:t>Source</w:t>
              </w:r>
            </w:hyperlink>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[5] NVIDIA. JetPack 7.2.1 with Jetson Linux 39.2.1. Orin support and Ubuntu 24.04 baseline; accessed 20 October 2026. </w:t>
            </w:r>
            <w:hyperlink r:id="rIdQuadro2">
              <w:r>
                <w:rPr>
                  <w:rFonts w:ascii="Times New Roman" w:hAnsi="Times New Roman"/>
                  <w:sz w:val="22"/>
                  <w:color w:val="0000FF"/>
                  <w:u w:val="single"/>
                </w:rPr>
                <w:t>Source</w:t>
              </w:r>
            </w:hyperlink>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[6] NVIDIA. Jetson Orin NX and Nano Series Adaptation and Bring Up. Carrier configuration and custom root filesystems; accessed 20 October 2026. </w:t>
            </w:r>
            <w:hyperlink r:id="rIdQuadro3">
              <w:r>
                <w:rPr>
                  <w:rFonts w:ascii="Times New Roman" w:hAnsi="Times New Roman"/>
                  <w:sz w:val="22"/>
                  <w:color w:val="0000FF"/>
                  <w:u w:val="single"/>
                </w:rPr>
                <w:t>Source</w:t>
              </w:r>
            </w:hyperlink>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[7] NVIDIA. Jetson AI Education. Curriculum and project resources; accessed 20 October 2026. </w:t>
            </w:r>
            <w:hyperlink r:id="rIdQuadro4">
              <w:r>
                <w:rPr>
                  <w:rFonts w:ascii="Times New Roman" w:hAnsi="Times New Roman"/>
                  <w:sz w:val="22"/>
                  <w:color w:val="0000FF"/>
                  <w:u w:val="single"/>
                </w:rPr>
                <w:t>Source</w:t>
              </w:r>
            </w:hyperlink>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[8] Freeman, S., Eddy, S. L., McDonough, M., Smith, M. K., Okoroafor, N., Jordt, H., and Wenderoth, M. P. (2014). Active learning increases student performance in science, engineering, and mathematics. PNAS, 111(23), 8410-8415. DOI 10.1073/pnas.1319030111. </w:t>
            </w:r>
            <w:hyperlink r:id="rIdQuadro5">
              <w:r>
                <w:rPr>
                  <w:rFonts w:ascii="Times New Roman" w:hAnsi="Times New Roman"/>
                  <w:sz w:val="22"/>
                  <w:color w:val="0000FF"/>
                  <w:u w:val="single"/>
                </w:rPr>
                <w:t>Source</w:t>
              </w:r>
            </w:hyperlink>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[9] Ouyang, F., and Xu, W. (2024). The effects of educational robotics in STEM education: A multilevel meta-analysis. International Journal of STEM Education, 11, Article 7. DOI 10.1186/s40594-024-00469-4. </w:t>
            </w:r>
            <w:hyperlink r:id="rIdQuadro6">
              <w:r>
                <w:rPr>
                  <w:rFonts w:ascii="Times New Roman" w:hAnsi="Times New Roman"/>
                  <w:sz w:val="22"/>
                  <w:color w:val="0000FF"/>
                  <w:u w:val="single"/>
                </w:rPr>
                <w:t>Source</w:t>
              </w:r>
            </w:hyperlink>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[10] The Linux Foundation. Introduction to Linux LFS101. Course description; accessed 20 October 2026. </w:t>
            </w:r>
            <w:hyperlink r:id="rIdQuadro7">
              <w:r>
                <w:rPr>
                  <w:rFonts w:ascii="Times New Roman" w:hAnsi="Times New Roman"/>
                  <w:sz w:val="22"/>
                  <w:color w:val="0000FF"/>
                  <w:u w:val="single"/>
                </w:rPr>
                <w:t>Source</w:t>
              </w:r>
            </w:hyperlink>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[11] NVIDIA. Jetson Linux 39.2.1 Software License Agreement. Redistribution conditions and component licence terms; accessed 20 October 2026. </w:t>
            </w:r>
            <w:hyperlink r:id="rIdQuadro8">
              <w:r>
                <w:rPr>
                  <w:rFonts w:ascii="Times New Roman" w:hAnsi="Times New Roman"/>
                  <w:sz w:val="22"/>
                  <w:color w:val="0000FF"/>
                  <w:u w:val="single"/>
                </w:rPr>
                <w:t>Source</w:t>
              </w:r>
            </w:hyperlink>
          </w:p>
        </w:tc>
      </w:tr>
      <w:tr>
        <w:trPr>
          <w:cantSplit w:val="0"/>
          <w:trHeight w:val="425" w:hRule="atLeast"/>
          <w:tblHeader w:val="0"/>
        </w:trPr>
        <w:tc>
          <w:tcPr>
            <w:gridSpan w:val="6"/>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XVII. Curriculum Vitae: See included Form C completion sheet. Attach the signed CV of each designated researcher and specialist before formal submission.</w:t>
            </w:r>
          </w:p>
        </w:tc>
      </w:tr>
      <w:tr>
        <w:trPr>
          <w:cantSplit w:val="0"/>
          <w:trHeight w:val="425" w:hRule="atLeast"/>
          <w:tblHeader w:val="0"/>
        </w:trPr>
        <w:tc>
          <w:tcPr>
            <w:gridSpan w:val="6"/>
            <w:vAlign w:val="center"/>
          </w:tcPr>
          <w:p w:rsidR="00000000" w:rsidDel="00000000" w:rsidP="00000000" w:rsidRDefault="00000000" w:rsidRPr="00000000" w14:paraId="0000014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0"/>
                <w:szCs w:val="20"/>
                <w:rtl w:val="0"/>
              </w:rPr>
              <w:t xml:space="preserve">*Required Attachment (use appropriate ISO Form): (A) Major Activities and Work Plan; (B) Line-item Budget; (C) Curriculum Vitae</w:t>
            </w:r>
            <w:r w:rsidDel="00000000" w:rsidR="00000000" w:rsidRPr="00000000">
              <w:rPr>
                <w:rtl w:val="0"/>
              </w:rPr>
            </w:r>
          </w:p>
        </w:tc>
      </w:tr>
    </w:tbl>
    <w:p>
      <w:r>
        <w:br w:type="page"/>
      </w:r>
    </w:p>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1"/>
        <w:gridCol w:w="3570"/>
        <w:gridCol w:w="255"/>
        <w:gridCol w:w="165"/>
        <w:gridCol w:w="3375"/>
        <w:gridCol w:w="1830"/>
        <w:tblGridChange w:id="0">
          <w:tblGrid>
            <w:gridCol w:w="3021"/>
            <w:gridCol w:w="3570"/>
            <w:gridCol w:w="255"/>
            <w:gridCol w:w="165"/>
            <w:gridCol w:w="3375"/>
            <w:gridCol w:w="1830"/>
          </w:tblGrid>
        </w:tblGridChange>
      </w:tblGrid>
      <w:tr>
        <w:trPr>
          <w:cantSplit w:val="1"/>
          <w:trHeight w:val="598" w:hRule="atLeast"/>
          <w:tblHeader w:val="0"/>
        </w:trPr>
        <w:tc>
          <w:tcPr>
            <w:gridSpan w:val="4"/>
            <w:vMerge w:val="restart"/>
            <w:vAlign w:val="center"/>
          </w:tcPr>
          <w:p w:rsidR="00000000" w:rsidDel="00000000" w:rsidP="00000000" w:rsidRDefault="00000000" w:rsidRPr="00000000" w14:paraId="00000154">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w:t>
            </w:r>
          </w:p>
          <w:p w:rsidR="00000000" w:rsidDel="00000000" w:rsidP="00000000" w:rsidRDefault="00000000" w:rsidRPr="00000000" w14:paraId="00000155">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after="0" w:line="240"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________________________________</w:t>
            </w:r>
            <w:r w:rsidDel="00000000" w:rsidR="00000000" w:rsidRPr="00000000">
              <w:rPr>
                <w:rtl w:val="0"/>
              </w:rPr>
            </w:r>
          </w:p>
          <w:p w:rsidR="00000000" w:rsidDel="00000000" w:rsidP="00000000" w:rsidRDefault="00000000" w:rsidRPr="00000000" w14:paraId="00000158">
            <w:pPr>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________________________________</w:t>
            </w:r>
            <w:r w:rsidDel="00000000" w:rsidR="00000000" w:rsidRPr="00000000">
              <w:rPr>
                <w:rtl w:val="0"/>
              </w:rPr>
            </w:r>
          </w:p>
          <w:p w:rsidR="00000000" w:rsidDel="00000000" w:rsidP="00000000" w:rsidRDefault="00000000" w:rsidRPr="00000000" w14:paraId="00000159">
            <w:pPr>
              <w:spacing w:after="0" w:line="240"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Leader</w:t>
            </w:r>
          </w:p>
          <w:p w:rsidR="00000000" w:rsidDel="00000000" w:rsidP="00000000" w:rsidRDefault="00000000" w:rsidRPr="00000000" w14:paraId="0000015A">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rtl w:val="0"/>
              </w:rPr>
              <w:t xml:space="preserve">Date Signed:</w:t>
            </w:r>
            <w:r w:rsidDel="00000000" w:rsidR="00000000" w:rsidRPr="00000000">
              <w:rPr>
                <w:rtl w:val="0"/>
              </w:rPr>
            </w:r>
          </w:p>
        </w:tc>
        <w:tc>
          <w:tcPr>
            <w:gridSpan w:val="2"/>
            <w:vAlign w:val="center"/>
          </w:tcPr>
          <w:p w:rsidR="00000000" w:rsidDel="00000000" w:rsidP="00000000" w:rsidRDefault="00000000" w:rsidRPr="00000000" w14:paraId="0000015E">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STEER Hub</w:t>
            </w:r>
          </w:p>
        </w:tc>
      </w:tr>
      <w:tr>
        <w:trPr>
          <w:cantSplit w:val="1"/>
          <w:trHeight w:val="547" w:hRule="atLeast"/>
          <w:tblHeader w:val="0"/>
        </w:trPr>
        <w:tc>
          <w:tcPr>
            <w:gridSpan w:val="4"/>
            <w:vMerge w:val="continue"/>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164">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rtl w:val="0"/>
              </w:rPr>
              <w:t xml:space="preserve">College: College of Engineering / Integrated School</w:t>
            </w:r>
            <w:r w:rsidDel="00000000" w:rsidR="00000000" w:rsidRPr="00000000">
              <w:rPr>
                <w:rtl w:val="0"/>
              </w:rPr>
            </w:r>
          </w:p>
        </w:tc>
      </w:tr>
      <w:tr>
        <w:trPr>
          <w:cantSplit w:val="1"/>
          <w:trHeight w:val="135" w:hRule="atLeast"/>
          <w:tblHeader w:val="0"/>
        </w:trPr>
        <w:tc>
          <w:tcPr>
            <w:gridSpan w:val="4"/>
            <w:vMerge w:val="continue"/>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gridSpan w:val="2"/>
            <w:vAlign w:val="center"/>
          </w:tcPr>
          <w:p w:rsidR="00000000" w:rsidDel="00000000" w:rsidP="00000000" w:rsidRDefault="00000000" w:rsidRPr="00000000" w14:paraId="0000016A">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rtl w:val="0"/>
              </w:rPr>
              <w:t xml:space="preserve">Campus: Central</w:t>
            </w:r>
            <w:r w:rsidDel="00000000" w:rsidR="00000000" w:rsidRPr="00000000">
              <w:rPr>
                <w:rtl w:val="0"/>
              </w:rPr>
            </w:r>
          </w:p>
        </w:tc>
      </w:tr>
      <w:tr>
        <w:trPr>
          <w:cantSplit w:val="0"/>
          <w:trHeight w:val="995" w:hRule="atLeast"/>
          <w:tblHeader w:val="0"/>
        </w:trPr>
        <w:tc>
          <w:tcPr>
            <w:gridSpan w:val="6"/>
            <w:vAlign w:val="center"/>
          </w:tcPr>
          <w:p w:rsidR="00000000" w:rsidDel="00000000" w:rsidP="00000000" w:rsidRDefault="00000000" w:rsidRPr="00000000" w14:paraId="0000016C">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Pursuant to Republic Act No. 10173, also known as the Data Privacy Act of 2012, the Batangas State University, </w:t>
            </w:r>
            <w:r w:rsidDel="00000000" w:rsidR="00000000" w:rsidRPr="00000000">
              <w:rPr>
                <w:rFonts w:ascii="Times New Roman" w:cs="Times New Roman" w:eastAsia="Times New Roman" w:hAnsi="Times New Roman"/>
                <w:sz w:val="20"/>
                <w:szCs w:val="20"/>
                <w:rtl w:val="0"/>
              </w:rPr>
              <w:t xml:space="preserve">the National Engineering University recognizes its commitment to protect and respect the privacy of its customers and/or stakeholders and ensure that all information collected from them are all processed in accordance with the principles of transparency, legitimate</w:t>
            </w:r>
            <w:r w:rsidDel="00000000" w:rsidR="00000000" w:rsidRPr="00000000">
              <w:rPr>
                <w:rFonts w:ascii="Times New Roman" w:cs="Times New Roman" w:eastAsia="Times New Roman" w:hAnsi="Times New Roman"/>
                <w:color w:val="000000"/>
                <w:sz w:val="20"/>
                <w:szCs w:val="20"/>
                <w:rtl w:val="0"/>
              </w:rPr>
              <w:t xml:space="preserve"> purpose and proportionality mandated under the Data Privacy Act of 2012.</w:t>
            </w:r>
          </w:p>
        </w:tc>
      </w:tr>
      <w:tr>
        <w:trPr>
          <w:cantSplit w:val="1"/>
          <w:trHeight w:val="284" w:hRule="atLeast"/>
          <w:tblHeader w:val="0"/>
        </w:trPr>
        <w:tc>
          <w:tcPr>
            <w:gridSpan w:val="6"/>
            <w:vAlign w:val="center"/>
          </w:tcPr>
          <w:p w:rsidR="00000000" w:rsidDel="00000000" w:rsidP="00000000" w:rsidRDefault="00000000" w:rsidRPr="00000000" w14:paraId="00000172">
            <w:pPr>
              <w:spacing w:after="0" w:line="240" w:lineRule="auto"/>
              <w:ind w:left="0" w:hanging="2"/>
              <w:jc w:val="center"/>
              <w:rPr>
                <w:rFonts w:ascii="Times New Roman" w:cs="Times New Roman" w:eastAsia="Times New Roman" w:hAnsi="Times New Roman"/>
                <w:color w:val="000000"/>
                <w:sz w:val="20"/>
                <w:szCs w:val="20"/>
              </w:rPr>
              <w:keepNext w:val="1"/>
            </w:pPr>
            <w:r w:rsidDel="00000000" w:rsidR="00000000" w:rsidRPr="00000000">
              <w:rPr>
                <w:rFonts w:ascii="Times New Roman" w:cs="Times New Roman" w:eastAsia="Times New Roman" w:hAnsi="Times New Roman"/>
                <w:color w:val="000000"/>
                <w:rtl w:val="0"/>
              </w:rPr>
              <w:t xml:space="preserve">To be accomplished by the Research Office</w:t>
            </w:r>
            <w:r w:rsidDel="00000000" w:rsidR="00000000" w:rsidRPr="00000000">
              <w:rPr>
                <w:rtl w:val="0"/>
              </w:rPr>
            </w:r>
          </w:p>
        </w:tc>
      </w:tr>
      <w:tr>
        <w:trPr>
          <w:cantSplit w:val="1"/>
          <w:trHeight w:val="284" w:hRule="atLeast"/>
          <w:tblHeader w:val="0"/>
        </w:trPr>
        <w:tc>
          <w:tcPr>
            <w:gridSpan w:val="4"/>
          </w:tcPr>
          <w:p w:rsidR="00000000" w:rsidDel="00000000" w:rsidP="00000000" w:rsidRDefault="00000000" w:rsidRPr="00000000" w14:paraId="0000017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Checklist:</w:t>
            </w:r>
            <w:r w:rsidDel="00000000" w:rsidR="00000000" w:rsidRPr="00000000">
              <w:rPr>
                <w:rtl w:val="0"/>
              </w:rPr>
            </w:r>
          </w:p>
          <w:p w:rsidR="00000000" w:rsidDel="00000000" w:rsidP="00000000" w:rsidRDefault="00000000" w:rsidRPr="00000000" w14:paraId="00000179">
            <w:pPr>
              <w:tabs>
                <w:tab w:val="left" w:leader="none" w:pos="459"/>
              </w:tabs>
              <w:spacing w:after="0" w:line="240" w:lineRule="auto"/>
              <w:ind w:left="0" w:hanging="2"/>
              <w:rPr>
                <w:rFonts w:ascii="Times New Roman" w:cs="Times New Roman" w:eastAsia="Times New Roman" w:hAnsi="Times New Roman"/>
                <w:sz w:val="24"/>
                <w:szCs w:val="24"/>
              </w:rPr>
            </w:pPr>
            <w:r w:rsidDel="00000000" w:rsidR="00000000" w:rsidRPr="00000000">
              <w:rPr>
                <w:rFonts w:ascii="MS Gothic" w:cs="MS Gothic" w:eastAsia="MS Gothic" w:hAnsi="MS Gothic"/>
                <w:rtl w:val="0"/>
              </w:rPr>
              <w:t xml:space="preserve">☐</w:t>
            </w:r>
            <w:r w:rsidDel="00000000" w:rsidR="00000000" w:rsidRPr="00000000">
              <w:rPr>
                <w:rtl w:val="0"/>
              </w:rPr>
              <w:tab/>
            </w:r>
            <w:r w:rsidDel="00000000" w:rsidR="00000000" w:rsidRPr="00000000">
              <w:rPr>
                <w:rFonts w:ascii="Times New Roman" w:cs="Times New Roman" w:eastAsia="Times New Roman" w:hAnsi="Times New Roman"/>
                <w:color w:val="000000"/>
                <w:rtl w:val="0"/>
              </w:rPr>
              <w:t xml:space="preserve">Complete Documents</w:t>
            </w:r>
            <w:r w:rsidDel="00000000" w:rsidR="00000000" w:rsidRPr="00000000">
              <w:rPr>
                <w:rtl w:val="0"/>
              </w:rPr>
            </w:r>
          </w:p>
          <w:p w:rsidR="00000000" w:rsidDel="00000000" w:rsidP="00000000" w:rsidRDefault="00000000" w:rsidRPr="00000000" w14:paraId="0000017A">
            <w:pPr>
              <w:tabs>
                <w:tab w:val="left" w:leader="none" w:pos="825"/>
              </w:tabs>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           Detailed Proposal</w:t>
            </w:r>
          </w:p>
          <w:p w:rsidR="00000000" w:rsidDel="00000000" w:rsidP="00000000" w:rsidRDefault="00000000" w:rsidRPr="00000000" w14:paraId="0000017B">
            <w:pPr>
              <w:tabs>
                <w:tab w:val="left" w:leader="none" w:pos="82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ab/>
              <w:t xml:space="preserve">           LIB</w:t>
            </w:r>
            <w:r w:rsidDel="00000000" w:rsidR="00000000" w:rsidRPr="00000000">
              <w:rPr>
                <w:rtl w:val="0"/>
              </w:rPr>
            </w:r>
          </w:p>
          <w:p w:rsidR="00000000" w:rsidDel="00000000" w:rsidP="00000000" w:rsidRDefault="00000000" w:rsidRPr="00000000" w14:paraId="0000017C">
            <w:pPr>
              <w:tabs>
                <w:tab w:val="left" w:leader="none" w:pos="810"/>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ab/>
              <w:t xml:space="preserve">           Work Plan</w:t>
            </w:r>
            <w:r w:rsidDel="00000000" w:rsidR="00000000" w:rsidRPr="00000000">
              <w:rPr>
                <w:rtl w:val="0"/>
              </w:rPr>
            </w:r>
          </w:p>
          <w:p w:rsidR="00000000" w:rsidDel="00000000" w:rsidP="00000000" w:rsidRDefault="00000000" w:rsidRPr="00000000" w14:paraId="0000017D">
            <w:pPr>
              <w:tabs>
                <w:tab w:val="left" w:leader="none" w:pos="459"/>
                <w:tab w:val="left" w:leader="none" w:pos="1108"/>
              </w:tabs>
              <w:spacing w:after="0" w:line="240" w:lineRule="auto"/>
              <w:ind w:left="0" w:hanging="2"/>
              <w:rPr>
                <w:rFonts w:ascii="Times New Roman" w:cs="Times New Roman" w:eastAsia="Times New Roman" w:hAnsi="Times New Roman"/>
                <w:color w:val="000000"/>
              </w:rPr>
            </w:pPr>
            <w:r w:rsidDel="00000000" w:rsidR="00000000" w:rsidRPr="00000000">
              <w:rPr>
                <w:rFonts w:ascii="MS Gothic" w:cs="MS Gothic" w:eastAsia="MS Gothic" w:hAnsi="MS Gothic"/>
                <w:rtl w:val="0"/>
              </w:rPr>
              <w:t xml:space="preserve">☐</w:t>
            </w:r>
            <w:r w:rsidDel="00000000" w:rsidR="00000000" w:rsidRPr="00000000">
              <w:rPr>
                <w:rtl w:val="0"/>
              </w:rPr>
              <w:tab/>
            </w:r>
            <w:r w:rsidDel="00000000" w:rsidR="00000000" w:rsidRPr="00000000">
              <w:rPr>
                <w:rFonts w:ascii="Times New Roman" w:cs="Times New Roman" w:eastAsia="Times New Roman" w:hAnsi="Times New Roman"/>
                <w:color w:val="000000"/>
                <w:rtl w:val="0"/>
              </w:rPr>
              <w:t xml:space="preserve">Initial Screening Form</w:t>
            </w:r>
          </w:p>
          <w:p w:rsidR="00000000" w:rsidDel="00000000" w:rsidP="00000000" w:rsidRDefault="00000000" w:rsidRPr="00000000" w14:paraId="0000017E">
            <w:pPr>
              <w:tabs>
                <w:tab w:val="left" w:leader="none" w:pos="810"/>
              </w:tabs>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Score: _______</w:t>
            </w:r>
          </w:p>
          <w:p w:rsidR="00000000" w:rsidDel="00000000" w:rsidP="00000000" w:rsidRDefault="00000000" w:rsidRPr="00000000" w14:paraId="0000017F">
            <w:pPr>
              <w:tabs>
                <w:tab w:val="left" w:leader="none" w:pos="810"/>
              </w:tabs>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8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Level of Call</w:t>
            </w:r>
            <w:r w:rsidDel="00000000" w:rsidR="00000000" w:rsidRPr="00000000">
              <w:rPr>
                <w:rtl w:val="0"/>
              </w:rPr>
            </w:r>
          </w:p>
          <w:p w:rsidR="00000000" w:rsidDel="00000000" w:rsidP="00000000" w:rsidRDefault="00000000" w:rsidRPr="00000000" w14:paraId="00000184">
            <w:pPr>
              <w:tabs>
                <w:tab w:val="left" w:leader="none" w:pos="484"/>
              </w:tabs>
              <w:spacing w:after="0" w:line="240" w:lineRule="auto"/>
              <w:ind w:left="0" w:hanging="2"/>
              <w:rPr>
                <w:rFonts w:ascii="Times New Roman" w:cs="Times New Roman" w:eastAsia="Times New Roman" w:hAnsi="Times New Roman"/>
                <w:color w:val="000000"/>
              </w:rPr>
            </w:pPr>
            <w:r w:rsidDel="00000000" w:rsidR="00000000" w:rsidRPr="00000000">
              <w:rPr>
                <w:rFonts w:ascii="MS Gothic" w:cs="MS Gothic" w:eastAsia="MS Gothic" w:hAnsi="MS Gothic"/>
                <w:rtl w:val="0"/>
              </w:rPr>
              <w:t xml:space="preserve">☐</w:t>
            </w:r>
            <w:r w:rsidDel="00000000" w:rsidR="00000000" w:rsidRPr="00000000">
              <w:rPr>
                <w:rtl w:val="0"/>
              </w:rPr>
              <w:tab/>
            </w:r>
            <w:r w:rsidDel="00000000" w:rsidR="00000000" w:rsidRPr="00000000">
              <w:rPr>
                <w:rFonts w:ascii="Times New Roman" w:cs="Times New Roman" w:eastAsia="Times New Roman" w:hAnsi="Times New Roman"/>
                <w:color w:val="000000"/>
                <w:rtl w:val="0"/>
              </w:rPr>
              <w:t xml:space="preserve">Central Agency (VPRDES, President)</w:t>
            </w:r>
          </w:p>
          <w:p w:rsidR="00000000" w:rsidDel="00000000" w:rsidP="00000000" w:rsidRDefault="00000000" w:rsidRPr="00000000" w14:paraId="00000185">
            <w:pPr>
              <w:tabs>
                <w:tab w:val="left" w:leader="none" w:pos="484"/>
              </w:tabs>
              <w:spacing w:after="0" w:line="240" w:lineRule="auto"/>
              <w:ind w:left="0" w:hanging="2"/>
              <w:rPr>
                <w:rFonts w:ascii="Times New Roman" w:cs="Times New Roman" w:eastAsia="Times New Roman" w:hAnsi="Times New Roman"/>
                <w:color w:val="000000"/>
              </w:rPr>
            </w:pPr>
            <w:r w:rsidDel="00000000" w:rsidR="00000000" w:rsidRPr="00000000">
              <w:rPr>
                <w:rFonts w:ascii="MS Gothic" w:cs="MS Gothic" w:eastAsia="MS Gothic" w:hAnsi="MS Gothic"/>
                <w:rtl w:val="0"/>
              </w:rPr>
              <w:t xml:space="preserve">☐</w:t>
            </w:r>
            <w:r w:rsidDel="00000000" w:rsidR="00000000" w:rsidRPr="00000000">
              <w:rPr>
                <w:rFonts w:ascii="Times New Roman" w:cs="Times New Roman" w:eastAsia="Times New Roman" w:hAnsi="Times New Roman"/>
                <w:color w:val="000000"/>
                <w:rtl w:val="0"/>
              </w:rPr>
              <w:tab/>
              <w:t xml:space="preserve">Constituent Campus (VCRDES, Chancellor)</w:t>
            </w:r>
          </w:p>
          <w:p w:rsidR="00000000" w:rsidDel="00000000" w:rsidP="00000000" w:rsidRDefault="00000000" w:rsidRPr="00000000" w14:paraId="00000186">
            <w:pPr>
              <w:spacing w:after="0" w:line="240" w:lineRule="auto"/>
              <w:ind w:left="0" w:hanging="2"/>
              <w:rPr>
                <w:rFonts w:ascii="Times New Roman" w:cs="Times New Roman" w:eastAsia="Times New Roman" w:hAnsi="Times New Roman"/>
                <w:color w:val="000000"/>
              </w:rPr>
            </w:pPr>
            <w:r w:rsidDel="00000000" w:rsidR="00000000" w:rsidRPr="00000000">
              <w:rPr>
                <w:rtl w:val="0"/>
              </w:rPr>
            </w:r>
          </w:p>
        </w:tc>
      </w:tr>
      <w:tr>
        <w:trPr>
          <w:cantSplit w:val="1"/>
          <w:trHeight w:val="284" w:hRule="atLeast"/>
          <w:tblHeader w:val="0"/>
        </w:trPr>
        <w:tc>
          <w:tcPr>
            <w:gridSpan w:val="6"/>
            <w:vAlign w:val="center"/>
          </w:tcPr>
          <w:p w:rsidR="00000000" w:rsidDel="00000000" w:rsidP="00000000" w:rsidRDefault="00000000" w:rsidRPr="00000000" w14:paraId="00000188">
            <w:pPr>
              <w:spacing w:after="0" w:line="240" w:lineRule="auto"/>
              <w:ind w:left="0" w:hanging="2"/>
              <w:jc w:val="center"/>
              <w:rPr>
                <w:rFonts w:ascii="Times New Roman" w:cs="Times New Roman" w:eastAsia="Times New Roman" w:hAnsi="Times New Roman"/>
                <w:color w:val="000000"/>
              </w:rPr>
              <w:keepNext w:val="1"/>
            </w:pPr>
            <w:r w:rsidDel="00000000" w:rsidR="00000000" w:rsidRPr="00000000">
              <w:rPr>
                <w:rFonts w:ascii="Times New Roman" w:cs="Times New Roman" w:eastAsia="Times New Roman" w:hAnsi="Times New Roman"/>
                <w:color w:val="000000"/>
                <w:rtl w:val="0"/>
              </w:rPr>
              <w:t xml:space="preserve">To be accomplished by the Researcher/s</w:t>
            </w:r>
          </w:p>
        </w:tc>
      </w:tr>
      <w:tr>
        <w:trPr>
          <w:cantSplit w:val="1"/>
          <w:trHeight w:val="284" w:hRule="atLeast"/>
          <w:tblHeader w:val="0"/>
        </w:trPr>
        <w:tc>
          <w:tcPr>
            <w:gridSpan w:val="4"/>
          </w:tcPr>
          <w:p w:rsidR="00000000" w:rsidDel="00000000" w:rsidP="00000000" w:rsidRDefault="00000000" w:rsidRPr="00000000" w14:paraId="0000018E">
            <w:pP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and Verified by:</w:t>
            </w:r>
          </w:p>
          <w:p w:rsidR="00000000" w:rsidDel="00000000" w:rsidP="00000000" w:rsidRDefault="00000000" w:rsidRPr="00000000" w14:paraId="0000018F">
            <w:pPr>
              <w:spacing w:after="0" w:line="240"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0">
            <w:pPr>
              <w:spacing w:after="0" w:line="240"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1">
            <w:pP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w:t>
            </w:r>
          </w:p>
          <w:p w:rsidR="00000000" w:rsidDel="00000000" w:rsidP="00000000" w:rsidRDefault="00000000" w:rsidRPr="00000000" w14:paraId="00000192">
            <w:pPr>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________________________________</w:t>
            </w:r>
            <w:r w:rsidDel="00000000" w:rsidR="00000000" w:rsidRPr="00000000">
              <w:rPr>
                <w:rtl w:val="0"/>
              </w:rPr>
            </w:r>
          </w:p>
          <w:p w:rsidR="00000000" w:rsidDel="00000000" w:rsidP="00000000" w:rsidRDefault="00000000" w:rsidRPr="00000000" w14:paraId="00000193">
            <w:pP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Director, Research</w:t>
            </w:r>
          </w:p>
          <w:p w:rsidR="00000000" w:rsidDel="00000000" w:rsidP="00000000" w:rsidRDefault="00000000" w:rsidRPr="00000000" w14:paraId="00000194">
            <w:pP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 Signed:</w:t>
            </w:r>
          </w:p>
        </w:tc>
        <w:tc>
          <w:tcPr>
            <w:gridSpan w:val="2"/>
          </w:tcPr>
          <w:p w:rsidR="00000000" w:rsidDel="00000000" w:rsidP="00000000" w:rsidRDefault="00000000" w:rsidRPr="00000000" w14:paraId="00000198">
            <w:pP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Recommending Approval:</w:t>
            </w:r>
          </w:p>
          <w:p w:rsidR="00000000" w:rsidDel="00000000" w:rsidP="00000000" w:rsidRDefault="00000000" w:rsidRPr="00000000" w14:paraId="00000199">
            <w:pPr>
              <w:spacing w:after="0" w:line="240"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A">
            <w:pPr>
              <w:spacing w:after="0" w:line="240"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B">
            <w:pP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w:t>
            </w:r>
          </w:p>
          <w:p w:rsidR="00000000" w:rsidDel="00000000" w:rsidP="00000000" w:rsidRDefault="00000000" w:rsidRPr="00000000" w14:paraId="0000019C">
            <w:pPr>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________________________________</w:t>
            </w:r>
            <w:r w:rsidDel="00000000" w:rsidR="00000000" w:rsidRPr="00000000">
              <w:rPr>
                <w:rtl w:val="0"/>
              </w:rPr>
            </w:r>
          </w:p>
          <w:p w:rsidR="00000000" w:rsidDel="00000000" w:rsidP="00000000" w:rsidRDefault="00000000" w:rsidRPr="00000000" w14:paraId="0000019D">
            <w:pPr>
              <w:spacing w:after="0" w:line="240"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Vice President </w:t>
            </w:r>
            <w:r w:rsidDel="00000000" w:rsidR="00000000" w:rsidRPr="00000000">
              <w:rPr>
                <w:rtl w:val="0"/>
              </w:rPr>
            </w:r>
          </w:p>
          <w:p w:rsidR="00000000" w:rsidDel="00000000" w:rsidP="00000000" w:rsidRDefault="00000000" w:rsidRPr="00000000" w14:paraId="0000019E">
            <w:pP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color w:val="000000"/>
                <w:rtl w:val="0"/>
              </w:rPr>
              <w:t xml:space="preserve">Development and Extension Services</w:t>
            </w:r>
          </w:p>
          <w:p w:rsidR="00000000" w:rsidDel="00000000" w:rsidP="00000000" w:rsidRDefault="00000000" w:rsidRPr="00000000" w14:paraId="0000019F">
            <w:pP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 Signed:</w:t>
            </w:r>
          </w:p>
        </w:tc>
      </w:tr>
      <w:tr>
        <w:trPr>
          <w:cantSplit w:val="1"/>
          <w:trHeight w:val="284" w:hRule="atLeast"/>
          <w:tblHeader w:val="0"/>
        </w:trPr>
        <w:tc>
          <w:tcPr>
            <w:gridSpan w:val="6"/>
          </w:tcPr>
          <w:p w:rsidR="00000000" w:rsidDel="00000000" w:rsidP="00000000" w:rsidRDefault="00000000" w:rsidRPr="00000000" w14:paraId="000001A1">
            <w:pP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Approved by the Research Council Represented by:</w:t>
            </w:r>
          </w:p>
          <w:p w:rsidR="00000000" w:rsidDel="00000000" w:rsidP="00000000" w:rsidRDefault="00000000" w:rsidRPr="00000000" w14:paraId="000001A2">
            <w:pPr>
              <w:spacing w:after="0" w:line="240"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3">
            <w:pPr>
              <w:spacing w:after="0" w:line="240"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4">
            <w:pPr>
              <w:spacing w:after="0" w:line="240"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5">
            <w:pP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w:t>
            </w:r>
          </w:p>
          <w:p w:rsidR="00000000" w:rsidDel="00000000" w:rsidP="00000000" w:rsidRDefault="00000000" w:rsidRPr="00000000" w14:paraId="000001A6">
            <w:pP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________________________________</w:t>
            </w:r>
            <w:r w:rsidDel="00000000" w:rsidR="00000000" w:rsidRPr="00000000">
              <w:rPr>
                <w:rtl w:val="0"/>
              </w:rPr>
            </w:r>
          </w:p>
          <w:p w:rsidR="00000000" w:rsidDel="00000000" w:rsidP="00000000" w:rsidRDefault="00000000" w:rsidRPr="00000000" w14:paraId="000001A7">
            <w:pP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University President/</w:t>
            </w:r>
          </w:p>
          <w:p w:rsidR="00000000" w:rsidDel="00000000" w:rsidP="00000000" w:rsidRDefault="00000000" w:rsidRPr="00000000" w14:paraId="000001A8">
            <w:pP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Date Signed:</w:t>
            </w:r>
          </w:p>
        </w:tc>
      </w:tr>
    </w:tbl>
    <w:p w:rsidR="00000000" w:rsidDel="00000000" w:rsidP="00000000" w:rsidRDefault="00000000" w:rsidRPr="00000000" w14:paraId="000001AE">
      <w:pPr>
        <w:spacing w:after="0" w:line="240" w:lineRule="auto"/>
        <w:ind w:left="0" w:hanging="2"/>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ab/>
        <w:tab/>
      </w:r>
      <w:r w:rsidDel="00000000" w:rsidR="00000000" w:rsidRPr="00000000">
        <w:rPr>
          <w:rFonts w:ascii="Times New Roman" w:cs="Times New Roman" w:eastAsia="Times New Roman" w:hAnsi="Times New Roman"/>
          <w:i w:val="1"/>
          <w:sz w:val="20"/>
          <w:szCs w:val="20"/>
          <w:rtl w:val="0"/>
        </w:rPr>
        <w:t xml:space="preserve">Notes: The Signatories funded by: </w:t>
      </w:r>
    </w:p>
    <w:p w:rsidR="00000000" w:rsidDel="00000000" w:rsidP="00000000" w:rsidRDefault="00000000" w:rsidRPr="00000000" w14:paraId="000001AF">
      <w:pPr>
        <w:spacing w:after="0" w:line="240" w:lineRule="auto"/>
        <w:ind w:left="0" w:firstLine="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                        </w:t>
        <w:tab/>
        <w:t xml:space="preserve">           </w:t>
      </w:r>
      <w:r w:rsidDel="00000000" w:rsidR="00000000" w:rsidRPr="00000000">
        <w:rPr>
          <w:rFonts w:ascii="Times New Roman" w:cs="Times New Roman" w:eastAsia="Times New Roman" w:hAnsi="Times New Roman"/>
          <w:i w:val="1"/>
          <w:sz w:val="20"/>
          <w:szCs w:val="20"/>
          <w:u w:val="single"/>
          <w:rtl w:val="0"/>
        </w:rPr>
        <w:t xml:space="preserve">Approval through Research Counci</w:t>
      </w:r>
      <w:r w:rsidDel="00000000" w:rsidR="00000000" w:rsidRPr="00000000">
        <w:rPr>
          <w:rFonts w:ascii="Times New Roman" w:cs="Times New Roman" w:eastAsia="Times New Roman" w:hAnsi="Times New Roman"/>
          <w:i w:val="1"/>
          <w:sz w:val="20"/>
          <w:szCs w:val="20"/>
          <w:rtl w:val="0"/>
        </w:rPr>
        <w:t xml:space="preserve">l </w:t>
        <w:tab/>
      </w:r>
    </w:p>
    <w:p w:rsidR="00000000" w:rsidDel="00000000" w:rsidP="00000000" w:rsidRDefault="00000000" w:rsidRPr="00000000" w14:paraId="000001B0">
      <w:pPr>
        <w:spacing w:after="0" w:line="240" w:lineRule="auto"/>
        <w:ind w:left="0" w:hanging="2"/>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ab/>
        <w:tab/>
        <w:t xml:space="preserve"> </w:t>
        <w:tab/>
        <w:tab/>
        <w:t xml:space="preserve">Director, Research; Vice President for RDES: &amp; University President</w:t>
      </w:r>
    </w:p>
    <w:p w:rsidR="00000000" w:rsidDel="00000000" w:rsidP="00000000" w:rsidRDefault="00000000" w:rsidRPr="00000000" w14:paraId="000001B1">
      <w:pPr>
        <w:spacing w:after="0" w:line="240" w:lineRule="auto"/>
        <w:ind w:left="0" w:hanging="2"/>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B2">
      <w:pPr>
        <w:spacing w:after="0" w:line="240" w:lineRule="auto"/>
        <w:ind w:left="0" w:hanging="2"/>
        <w:rPr>
          <w:rFonts w:ascii="Times New Roman" w:cs="Times New Roman" w:eastAsia="Times New Roman" w:hAnsi="Times New Roman"/>
          <w:i w:val="1"/>
          <w:sz w:val="20"/>
          <w:szCs w:val="20"/>
          <w:u w:val="single"/>
        </w:rPr>
      </w:pPr>
      <w:r w:rsidDel="00000000" w:rsidR="00000000" w:rsidRPr="00000000">
        <w:rPr>
          <w:rFonts w:ascii="Times New Roman" w:cs="Times New Roman" w:eastAsia="Times New Roman" w:hAnsi="Times New Roman"/>
          <w:i w:val="1"/>
          <w:sz w:val="20"/>
          <w:szCs w:val="20"/>
          <w:rtl w:val="0"/>
        </w:rPr>
        <w:tab/>
        <w:tab/>
        <w:t xml:space="preserve">          </w:t>
      </w:r>
      <w:r w:rsidDel="00000000" w:rsidR="00000000" w:rsidRPr="00000000">
        <w:rPr>
          <w:rFonts w:ascii="Times New Roman" w:cs="Times New Roman" w:eastAsia="Times New Roman" w:hAnsi="Times New Roman"/>
          <w:i w:val="1"/>
          <w:sz w:val="20"/>
          <w:szCs w:val="20"/>
          <w:u w:val="single"/>
          <w:rtl w:val="0"/>
        </w:rPr>
        <w:t xml:space="preserve">Approval through Local Research Evaluation Committee</w:t>
      </w:r>
    </w:p>
    <w:p w:rsidR="00000000" w:rsidDel="00000000" w:rsidP="00000000" w:rsidRDefault="00000000" w:rsidRPr="00000000" w14:paraId="000001B3">
      <w:pPr>
        <w:spacing w:after="0" w:line="240" w:lineRule="auto"/>
        <w:ind w:left="0" w:hanging="2"/>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ab/>
        <w:tab/>
        <w:tab/>
        <w:tab/>
        <w:t xml:space="preserve">Head, Research/Head Research &amp; Extension; Vice Chancellor for RDES; &amp; Vice President for RDES</w:t>
      </w:r>
    </w:p>
    <w:p w:rsidR="00000000" w:rsidDel="00000000" w:rsidP="00000000" w:rsidRDefault="00000000" w:rsidRPr="00000000" w14:paraId="000001B4">
      <w:pPr>
        <w:spacing w:after="0" w:line="240" w:lineRule="auto"/>
        <w:ind w:left="0" w:hanging="2"/>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ab/>
        <w:tab/>
        <w:t xml:space="preserve">     </w:t>
      </w:r>
    </w:p>
    <w:p>
      <w:r>
        <w:br w:type="page"/>
      </w:r>
    </w:p>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1"/>
        <w:gridCol w:w="3570"/>
        <w:gridCol w:w="255"/>
        <w:gridCol w:w="165"/>
        <w:gridCol w:w="3375"/>
        <w:gridCol w:w="1830"/>
        <w:tblGridChange w:id="0">
          <w:tblGrid>
            <w:gridCol w:w="3021"/>
            <w:gridCol w:w="3570"/>
            <w:gridCol w:w="255"/>
            <w:gridCol w:w="165"/>
            <w:gridCol w:w="3375"/>
            <w:gridCol w:w="1830"/>
          </w:tblGrid>
        </w:tblGridChange>
      </w:tblGrid>
      <w:tr>
        <w:trPr>
          <w:cantSplit w:val="0"/>
          <w:trHeight w:val="803" w:hRule="atLeast"/>
          <w:tblHeader w:val="0"/>
        </w:trPr>
        <w:tc>
          <w:tcPr/>
          <w:p w:rsidR="00000000" w:rsidDel="00000000" w:rsidP="00000000" w:rsidRDefault="00000000" w:rsidRPr="00000000" w14:paraId="00000002">
            <w:pPr>
              <w:spacing w:after="0" w:line="240" w:lineRule="auto"/>
              <w:ind w:left="0" w:hanging="2"/>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48899</wp:posOffset>
                  </wp:positionH>
                  <wp:positionV relativeFrom="paragraph">
                    <wp:posOffset>4445</wp:posOffset>
                  </wp:positionV>
                  <wp:extent cx="539115" cy="506095"/>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115" cy="506095"/>
                          </a:xfrm>
                          <a:prstGeom prst="rect"/>
                          <a:ln/>
                        </pic:spPr>
                      </pic:pic>
                    </a:graphicData>
                  </a:graphic>
                </wp:anchor>
              </w:drawing>
            </w:r>
          </w:p>
        </w:tc>
        <w:tc>
          <w:tcPr>
            <w:gridSpan w:val="2"/>
            <w:vAlign w:val="center"/>
          </w:tcPr>
          <w:p w:rsidR="00000000" w:rsidDel="00000000" w:rsidP="00000000" w:rsidRDefault="00000000" w:rsidRPr="00000000" w14:paraId="00000003">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No.: BatStateU-FO-RES-02</w:t>
            </w:r>
          </w:p>
        </w:tc>
        <w:tc>
          <w:tcPr>
            <w:gridSpan w:val="2"/>
            <w:vAlign w:val="center"/>
          </w:tcPr>
          <w:p w:rsidR="00000000" w:rsidDel="00000000" w:rsidP="00000000" w:rsidRDefault="00000000" w:rsidRPr="00000000" w14:paraId="00000005">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Effectivity Date: August 22, 2023</w:t>
            </w:r>
          </w:p>
        </w:tc>
        <w:tc>
          <w:tcPr>
            <w:vAlign w:val="center"/>
          </w:tcPr>
          <w:p w:rsidR="00000000" w:rsidDel="00000000" w:rsidP="00000000" w:rsidRDefault="00000000" w:rsidRPr="00000000" w14:paraId="00000007">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No.: 04</w:t>
            </w:r>
          </w:p>
        </w:tc>
      </w:tr>
      <w:tr>
        <w:trPr>
          <w:cantSplit w:val="0"/>
          <w:trHeight w:val="437" w:hRule="atLeast"/>
          <w:tblHeader w:val="0"/>
        </w:trPr>
        <w:tc>
          <w:tcPr>
            <w:gridSpan w:val="6"/>
            <w:shd w:fill="ffffff" w:val="clear"/>
            <w:vAlign w:val="center"/>
          </w:tcPr>
          <w:p>
            <w:pPr>
              <w:spacing w:after="9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FORM A MAJOR ACTIVITIES AND WORK PLAN</w:t>
            </w:r>
          </w:p>
        </w:tc>
      </w:tr>
      <w:tr>
        <w:trPr>
          <w:cantSplit w:val="0"/>
          <w:trHeight w:val="437" w:hRule="atLeast"/>
          <w:tblHeader w:val="0"/>
        </w:trPr>
        <w:tc>
          <w:tcPr>
            <w:gridSpan w:val="6"/>
            <w:shd w:fill="ffffff" w:val="clear"/>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Project: Quadro Hardware and Custom Linux OS for AI and Linux Learning | Duration: 24 months</w:t>
            </w:r>
          </w:p>
        </w:tc>
      </w:tr>
      <w:tr>
        <w:trPr>
          <w:cantSplit w:val="0"/>
          <w:trHeight w:val="437" w:hRule="atLeast"/>
          <w:tblHeader w:val="0"/>
        </w:trPr>
        <w:tc>
          <w:tcPr>
            <w:gridSpan w:val="6"/>
            <w:shd w:fill="ffffff" w:val="clear"/>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Each quarter covers three months from project commencement. X indicates planned activity; release depends on the evidence listed.</w:t>
            </w:r>
          </w:p>
        </w:tc>
      </w:tr>
    </w:tbl>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600"/>
        <w:gridCol w:w="600"/>
        <w:gridCol w:w="600"/>
        <w:gridCol w:w="600"/>
        <w:gridCol w:w="600"/>
        <w:gridCol w:w="600"/>
        <w:gridCol w:w="600"/>
        <w:gridCol w:w="600"/>
        <w:gridCol w:w="3516"/>
      </w:tblGrid>
      <w:tr>
        <w:trPr>
          <w:cantSplit w:val="1"/>
          <w:tblHeader w:val="1"/>
        </w:trPr>
        <w:tc>
          <w:tcPr>
            <w:tcW w:w="39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left"/>
            </w:pPr>
            <w:r>
              <w:rPr>
                <w:rFonts w:ascii="Times New Roman" w:hAnsi="Times New Roman" w:eastAsia="Times New Roman" w:cs="Times New Roman"/>
                <w:sz w:val="22"/>
                <w:b w:val="1"/>
                <w:color w:val="000000"/>
              </w:rPr>
              <w:t xml:space="preserve">Activity</w:t>
            </w:r>
          </w:p>
        </w:tc>
        <w:tc>
          <w:tcPr>
            <w:tcW w:w="6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Q1</w:t>
            </w:r>
          </w:p>
        </w:tc>
        <w:tc>
          <w:tcPr>
            <w:tcW w:w="6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Q2</w:t>
            </w:r>
          </w:p>
        </w:tc>
        <w:tc>
          <w:tcPr>
            <w:tcW w:w="6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Q3</w:t>
            </w:r>
          </w:p>
        </w:tc>
        <w:tc>
          <w:tcPr>
            <w:tcW w:w="6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Q4</w:t>
            </w:r>
          </w:p>
        </w:tc>
        <w:tc>
          <w:tcPr>
            <w:tcW w:w="6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Q5</w:t>
            </w:r>
          </w:p>
        </w:tc>
        <w:tc>
          <w:tcPr>
            <w:tcW w:w="6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Q6</w:t>
            </w:r>
          </w:p>
        </w:tc>
        <w:tc>
          <w:tcPr>
            <w:tcW w:w="6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Q7</w:t>
            </w:r>
          </w:p>
        </w:tc>
        <w:tc>
          <w:tcPr>
            <w:tcW w:w="6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Q8</w:t>
            </w:r>
          </w:p>
        </w:tc>
        <w:tc>
          <w:tcPr>
            <w:tcW w:w="3516"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Output</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Buyer interviews and pilot agreements</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3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20 interviews and 2 pilot agreements</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Carrier repair and engineering kits</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3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10 kits with qualification records</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Learning OS build and recovery</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3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Tested image and recovery package</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Course workbook and teacher guide</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3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40 hours and 12 labs</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First 3 research cohorts and revision</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3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30 learners and 10 instructors</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BOM costing and supply chain</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3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Quotes cost model and manufacturing workflow</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Commercial readiness assessment</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3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Conditional launch decision</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Follow up 3 cohorts and revisions</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3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60 additional learners and 20 instructors</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Production and service review</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3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Updated cost yield and support data</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Final evaluation and scaling decision</w:t>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6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3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Final report and submission manuscript</w:t>
            </w:r>
          </w:p>
        </w:tc>
      </w:tr>
    </w:tbl>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Responsibilities: Project Leader coordinates delivery and approvals; Linux Engineer owns the OS; Hardware Engineer owns board and manufacturing evidence; Curriculum Specialist owns learning materials and pilot assessment.</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Gate 1 by month 3: demonstrate the target learner image and identify buyer budgets. Gate 2 by month 6: close release blockers and qualify prototypes. Gate 3 before commercial build: confirm compliance, costed BOM, manufacturing acceptance, funded orders and cash availability.</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Year 2 gate: use year 1 pilot, cost, support and payment evidence to approve each new batch. The 300 kit year 2 sales scenario is outside the required research deliverables.</w:t>
      </w:r>
    </w:p>
    <w:p>
      <w:r>
        <w:br w:type="page"/>
      </w:r>
    </w:p>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1"/>
        <w:gridCol w:w="3570"/>
        <w:gridCol w:w="255"/>
        <w:gridCol w:w="165"/>
        <w:gridCol w:w="3375"/>
        <w:gridCol w:w="1830"/>
        <w:tblGridChange w:id="0">
          <w:tblGrid>
            <w:gridCol w:w="3021"/>
            <w:gridCol w:w="3570"/>
            <w:gridCol w:w="255"/>
            <w:gridCol w:w="165"/>
            <w:gridCol w:w="3375"/>
            <w:gridCol w:w="1830"/>
          </w:tblGrid>
        </w:tblGridChange>
      </w:tblGrid>
      <w:tr>
        <w:trPr>
          <w:cantSplit w:val="0"/>
          <w:trHeight w:val="803" w:hRule="atLeast"/>
          <w:tblHeader w:val="0"/>
        </w:trPr>
        <w:tc>
          <w:tcPr/>
          <w:p w:rsidR="00000000" w:rsidDel="00000000" w:rsidP="00000000" w:rsidRDefault="00000000" w:rsidRPr="00000000" w14:paraId="00000002">
            <w:pPr>
              <w:spacing w:after="0" w:line="240" w:lineRule="auto"/>
              <w:ind w:left="0" w:hanging="2"/>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48899</wp:posOffset>
                  </wp:positionH>
                  <wp:positionV relativeFrom="paragraph">
                    <wp:posOffset>4445</wp:posOffset>
                  </wp:positionV>
                  <wp:extent cx="539115" cy="506095"/>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115" cy="506095"/>
                          </a:xfrm>
                          <a:prstGeom prst="rect"/>
                          <a:ln/>
                        </pic:spPr>
                      </pic:pic>
                    </a:graphicData>
                  </a:graphic>
                </wp:anchor>
              </w:drawing>
            </w:r>
          </w:p>
        </w:tc>
        <w:tc>
          <w:tcPr>
            <w:gridSpan w:val="2"/>
            <w:vAlign w:val="center"/>
          </w:tcPr>
          <w:p w:rsidR="00000000" w:rsidDel="00000000" w:rsidP="00000000" w:rsidRDefault="00000000" w:rsidRPr="00000000" w14:paraId="00000003">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No.: BatStateU-FO-RES-02</w:t>
            </w:r>
          </w:p>
        </w:tc>
        <w:tc>
          <w:tcPr>
            <w:gridSpan w:val="2"/>
            <w:vAlign w:val="center"/>
          </w:tcPr>
          <w:p w:rsidR="00000000" w:rsidDel="00000000" w:rsidP="00000000" w:rsidRDefault="00000000" w:rsidRPr="00000000" w14:paraId="00000005">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Effectivity Date: August 22, 2023</w:t>
            </w:r>
          </w:p>
        </w:tc>
        <w:tc>
          <w:tcPr>
            <w:vAlign w:val="center"/>
          </w:tcPr>
          <w:p w:rsidR="00000000" w:rsidDel="00000000" w:rsidP="00000000" w:rsidRDefault="00000000" w:rsidRPr="00000000" w14:paraId="00000007">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No.: 04</w:t>
            </w:r>
          </w:p>
        </w:tc>
      </w:tr>
      <w:tr>
        <w:trPr>
          <w:cantSplit w:val="0"/>
          <w:trHeight w:val="437" w:hRule="atLeast"/>
          <w:tblHeader w:val="0"/>
        </w:trPr>
        <w:tc>
          <w:tcPr>
            <w:gridSpan w:val="6"/>
            <w:shd w:fill="ffffff" w:val="clear"/>
            <w:vAlign w:val="center"/>
          </w:tcPr>
          <w:p>
            <w:pPr>
              <w:spacing w:after="9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FORM B LINE ITEM BUDGET</w:t>
            </w:r>
          </w:p>
        </w:tc>
      </w:tr>
      <w:tr>
        <w:trPr>
          <w:cantSplit w:val="0"/>
          <w:trHeight w:val="437" w:hRule="atLeast"/>
          <w:tblHeader w:val="0"/>
        </w:trPr>
        <w:tc>
          <w:tcPr>
            <w:gridSpan w:val="6"/>
            <w:shd w:fill="ffffff" w:val="clear"/>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Quadro 24 month project | Currency PHP | Provisional expenditure before final institutional classification</w:t>
            </w:r>
          </w:p>
        </w:tc>
      </w:tr>
    </w:tbl>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3300"/>
        <w:gridCol w:w="1672"/>
        <w:gridCol w:w="1672"/>
        <w:gridCol w:w="1672"/>
      </w:tblGrid>
      <w:tr>
        <w:trPr>
          <w:cantSplit w:val="1"/>
          <w:tblHeader w:val="1"/>
        </w:trPr>
        <w:tc>
          <w:tcPr>
            <w:tcW w:w="39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left"/>
            </w:pPr>
            <w:r>
              <w:rPr>
                <w:rFonts w:ascii="Times New Roman" w:hAnsi="Times New Roman" w:eastAsia="Times New Roman" w:cs="Times New Roman"/>
                <w:sz w:val="22"/>
                <w:b w:val="1"/>
                <w:color w:val="000000"/>
              </w:rPr>
              <w:t xml:space="preserve">Budget line</w:t>
            </w:r>
          </w:p>
        </w:tc>
        <w:tc>
          <w:tcPr>
            <w:tcW w:w="33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left"/>
            </w:pPr>
            <w:r>
              <w:rPr>
                <w:rFonts w:ascii="Times New Roman" w:hAnsi="Times New Roman" w:eastAsia="Times New Roman" w:cs="Times New Roman"/>
                <w:sz w:val="22"/>
                <w:b w:val="1"/>
                <w:color w:val="000000"/>
              </w:rPr>
              <w:t xml:space="preserve">Basis</w:t>
            </w:r>
          </w:p>
        </w:tc>
        <w:tc>
          <w:tcPr>
            <w:tcW w:w="1672"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Year 1 PHP</w:t>
            </w:r>
          </w:p>
        </w:tc>
        <w:tc>
          <w:tcPr>
            <w:tcW w:w="1672"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Year 2 PHP</w:t>
            </w:r>
          </w:p>
        </w:tc>
        <w:tc>
          <w:tcPr>
            <w:tcW w:w="1672"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Total PHP</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Linux and BSP engineering</w:t>
            </w:r>
          </w:p>
        </w:tc>
        <w:tc>
          <w:tcPr>
            <w:tcW w:w="33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45,000 / 60,000 monthly x 12</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540,000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720,000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1,260,000</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Hardware and manufacturing engineering</w:t>
            </w:r>
          </w:p>
        </w:tc>
        <w:tc>
          <w:tcPr>
            <w:tcW w:w="33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35,000 / 45,000 monthly x 12</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420,000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540,000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960,000</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Curriculum and validation</w:t>
            </w:r>
          </w:p>
        </w:tc>
        <w:tc>
          <w:tcPr>
            <w:tcW w:w="33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25,000 / 35,000 monthly x 12</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300,000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420,000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720,000</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Project and customer operations</w:t>
            </w:r>
          </w:p>
        </w:tc>
        <w:tc>
          <w:tcPr>
            <w:tcW w:w="33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15,000 / 20,000 monthly x 12</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180,000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240,000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420,000</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Personnel subtotal</w:t>
            </w:r>
          </w:p>
        </w:tc>
        <w:tc>
          <w:tcPr>
            <w:tcW w:w="33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Fractional role allocations</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1,440,000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1,920,000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3,360,000</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Facilities administration sales and support</w:t>
            </w:r>
          </w:p>
        </w:tc>
        <w:tc>
          <w:tcPr>
            <w:tcW w:w="33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30,000 / 40,000 monthly x 12</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360,000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480,000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840,000</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Engineering kits and board spins</w:t>
            </w:r>
          </w:p>
        </w:tc>
        <w:tc>
          <w:tcPr>
            <w:tcW w:w="33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10 engineering kits and revision allowance</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480,000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480,000</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OS release work</w:t>
            </w:r>
          </w:p>
        </w:tc>
        <w:tc>
          <w:tcPr>
            <w:tcW w:w="33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External work beyond team allocation</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100,000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100,000</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Research pilot activities</w:t>
            </w:r>
          </w:p>
        </w:tc>
        <w:tc>
          <w:tcPr>
            <w:tcW w:w="33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Separate from paid workshops</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80,000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80,000</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External validation and compliance</w:t>
            </w:r>
          </w:p>
        </w:tc>
        <w:tc>
          <w:tcPr>
            <w:tcW w:w="33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Scope and quotations to confirm</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140,000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140,000</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Production setup and instructions</w:t>
            </w:r>
          </w:p>
        </w:tc>
        <w:tc>
          <w:tcPr>
            <w:tcW w:w="33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External setup allowance</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100,000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100,000</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Year 2 validation release and curriculum</w:t>
            </w:r>
          </w:p>
        </w:tc>
        <w:tc>
          <w:tcPr>
            <w:tcW w:w="33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Aggregate improvement allowance</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450,000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450,000</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MOOE subtotal</w:t>
            </w:r>
          </w:p>
        </w:tc>
        <w:tc>
          <w:tcPr>
            <w:tcW w:w="33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Subject to eligibility review</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1,260,000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930,000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2,190,000</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Test and recovery equipment</w:t>
            </w:r>
          </w:p>
        </w:tc>
        <w:tc>
          <w:tcPr>
            <w:tcW w:w="33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Equipment allowance</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200,000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100,000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300,000</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Total proposed project expenditure</w:t>
            </w:r>
          </w:p>
        </w:tc>
        <w:tc>
          <w:tcPr>
            <w:tcW w:w="33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Excludes enterprise trading costs</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2,900,000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2,950,000</w:t>
            </w:r>
          </w:p>
        </w:tc>
        <w:tc>
          <w:tcPr>
            <w:tcW w:w="1672"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5,850,000</w:t>
            </w:r>
          </w:p>
        </w:tc>
      </w:tr>
    </w:tbl>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Personnel amounts are planning allocations; the institution will determine whether an item is personnel services or contracted services. Sales, warranty and enterprise support may require counterpart funding. No allowance is confirmed eligible for a grant. Final funding sources and counterpart shares remain for approval.</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No double counting: the engineering kits and board spins are in development expenditure. Saleable kits are enterprise inventory. Paid customer-workshop delivery is separate from the research pilot allowance. Team labour is separate from the listed external work.</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Separate commercial scenario: year 1 inventory purchases PHP 3,600,000 and paid-workshop variable costs PHP 60,000; year 2 adds inventory PHP 10,350,000 and paid-workshop variable costs PHP 120,000. These are outside the PHP 5,850,000 programme total.</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two-year enterprise base case has PHP 20,050,000 revenue and PHP 370,000 cumulative result before tax, depreciation and financing. Closing cash before funding remains negative PHP 2,380,000. Its conservative cash-funding envelope is PHP 8,409,000.</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Cash envelopes include project and trading flows, no deposits, two-month hardware collections, prepaid batches and a 20 percent reserve on the cash trough. They are not grant budgets and must not be added to the project-cost total. Tax timing, bad debts and financing require a separate cash review.</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All figures are estimates rather than quotations. The PHP 27,000 year 1 landed module target assumes PHP 60 per USD and additions to NVIDIA's USD 399 suggested 1000-unit price. Small-volume pricing must be quoted. The 24-month unit-cost reduction is also unconfirmed. [4]</w:t>
      </w:r>
    </w:p>
    <w:p>
      <w:r>
        <w:br w:type="page"/>
      </w:r>
    </w:p>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1"/>
        <w:gridCol w:w="3570"/>
        <w:gridCol w:w="255"/>
        <w:gridCol w:w="165"/>
        <w:gridCol w:w="3375"/>
        <w:gridCol w:w="1830"/>
        <w:tblGridChange w:id="0">
          <w:tblGrid>
            <w:gridCol w:w="3021"/>
            <w:gridCol w:w="3570"/>
            <w:gridCol w:w="255"/>
            <w:gridCol w:w="165"/>
            <w:gridCol w:w="3375"/>
            <w:gridCol w:w="1830"/>
          </w:tblGrid>
        </w:tblGridChange>
      </w:tblGrid>
      <w:tr>
        <w:trPr>
          <w:cantSplit w:val="0"/>
          <w:trHeight w:val="803" w:hRule="atLeast"/>
          <w:tblHeader w:val="0"/>
        </w:trPr>
        <w:tc>
          <w:tcPr/>
          <w:p w:rsidR="00000000" w:rsidDel="00000000" w:rsidP="00000000" w:rsidRDefault="00000000" w:rsidRPr="00000000" w14:paraId="00000002">
            <w:pPr>
              <w:spacing w:after="0" w:line="240" w:lineRule="auto"/>
              <w:ind w:left="0" w:hanging="2"/>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48899</wp:posOffset>
                  </wp:positionH>
                  <wp:positionV relativeFrom="paragraph">
                    <wp:posOffset>4445</wp:posOffset>
                  </wp:positionV>
                  <wp:extent cx="539115" cy="506095"/>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115" cy="506095"/>
                          </a:xfrm>
                          <a:prstGeom prst="rect"/>
                          <a:ln/>
                        </pic:spPr>
                      </pic:pic>
                    </a:graphicData>
                  </a:graphic>
                </wp:anchor>
              </w:drawing>
            </w:r>
          </w:p>
        </w:tc>
        <w:tc>
          <w:tcPr>
            <w:gridSpan w:val="2"/>
            <w:vAlign w:val="center"/>
          </w:tcPr>
          <w:p w:rsidR="00000000" w:rsidDel="00000000" w:rsidP="00000000" w:rsidRDefault="00000000" w:rsidRPr="00000000" w14:paraId="00000003">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No.: BatStateU-FO-RES-02</w:t>
            </w:r>
          </w:p>
        </w:tc>
        <w:tc>
          <w:tcPr>
            <w:gridSpan w:val="2"/>
            <w:vAlign w:val="center"/>
          </w:tcPr>
          <w:p w:rsidR="00000000" w:rsidDel="00000000" w:rsidP="00000000" w:rsidRDefault="00000000" w:rsidRPr="00000000" w14:paraId="00000005">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Effectivity Date: August 22, 2023</w:t>
            </w:r>
          </w:p>
        </w:tc>
        <w:tc>
          <w:tcPr>
            <w:vAlign w:val="center"/>
          </w:tcPr>
          <w:p w:rsidR="00000000" w:rsidDel="00000000" w:rsidP="00000000" w:rsidRDefault="00000000" w:rsidRPr="00000000" w14:paraId="00000007">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No.: 04</w:t>
            </w:r>
          </w:p>
        </w:tc>
      </w:tr>
      <w:tr>
        <w:trPr>
          <w:cantSplit w:val="0"/>
          <w:trHeight w:val="437" w:hRule="atLeast"/>
          <w:tblHeader w:val="0"/>
        </w:trPr>
        <w:tc>
          <w:tcPr>
            <w:gridSpan w:val="6"/>
            <w:shd w:fill="ffffff" w:val="clear"/>
            <w:vAlign w:val="center"/>
          </w:tcPr>
          <w:p>
            <w:pPr>
              <w:spacing w:after="9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FORM C CURRICULUM VITAE COMPLETION SHEET</w:t>
            </w:r>
          </w:p>
        </w:tc>
      </w:tr>
      <w:tr>
        <w:trPr>
          <w:cantSplit w:val="0"/>
          <w:trHeight w:val="437" w:hRule="atLeast"/>
          <w:tblHeader w:val="0"/>
        </w:trPr>
        <w:tc>
          <w:tcPr>
            <w:gridSpan w:val="6"/>
            <w:shd w:fill="ffffff" w:val="clear"/>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Complete one signed institutional CV for each designated member. This sheet records the information required; it does not state credentials or confirm appointment.</w:t>
            </w:r>
          </w:p>
        </w:tc>
      </w:tr>
    </w:tbl>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7116"/>
      </w:tblGrid>
      <w:tr>
        <w:trPr>
          <w:cantSplit w:val="1"/>
          <w:tblHeader w:val="1"/>
        </w:trPr>
        <w:tc>
          <w:tcPr>
            <w:tcW w:w="51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left"/>
            </w:pPr>
            <w:r>
              <w:rPr>
                <w:rFonts w:ascii="Times New Roman" w:hAnsi="Times New Roman" w:eastAsia="Times New Roman" w:cs="Times New Roman"/>
                <w:sz w:val="22"/>
                <w:b w:val="1"/>
                <w:color w:val="000000"/>
              </w:rPr>
              <w:t xml:space="preserve">Required information</w:t>
            </w:r>
          </w:p>
        </w:tc>
        <w:tc>
          <w:tcPr>
            <w:tcW w:w="7116"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left"/>
            </w:pPr>
            <w:r>
              <w:rPr>
                <w:rFonts w:ascii="Times New Roman" w:hAnsi="Times New Roman" w:eastAsia="Times New Roman" w:cs="Times New Roman"/>
                <w:sz w:val="22"/>
                <w:b w:val="1"/>
                <w:color w:val="000000"/>
              </w:rPr>
              <w:t xml:space="preserve">To be completed by the named person</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Full name</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Proposed project role</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Institution department and position</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Email and contact number</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Highest degree field institution and year</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b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Relevant hardware Linux AI or teaching experience</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br/>
              <w:t xml:space="preserve">____________________________________________</w:t>
              <w:b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Relevant projects and responsibilities</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br/>
              <w:t xml:space="preserve">____________________________________________</w:t>
              <w:b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Selected publications or technical outputs</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b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Professional registration or training if relevant</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b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Proposed time allocation and availability</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Signature and date</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r>
          </w:p>
        </w:tc>
      </w:tr>
    </w:tbl>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Attach supporting and signed CVs using the institution's current prescribed format before submission. Approval names, signatures and dates in the proposal remain blank until completed by the authorised individuals.</w:t>
      </w:r>
    </w:p>
    <w:sectPr>
      <w:headerReference r:id="rId9" w:type="default"/>
      <w:headerReference r:id="rId10" w:type="first"/>
      <w:headerReference r:id="rId11" w:type="even"/>
      <w:footerReference r:id="rId12" w:type="default"/>
      <w:footerReference r:id="rId13" w:type="first"/>
      <w:footerReference r:id="rId14" w:type="even"/>
      <w:pgSz w:h="18722" w:w="12242" w:orient="portrait"/>
      <w:pgMar w:bottom="994" w:top="850" w:left="288" w:right="288" w:header="576" w:footer="51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MS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29" w:right="686" w:hanging="2.0000000000000284"/>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Tracking No.</w:t>
    </w:r>
    <w:r w:rsidDel="00000000" w:rsidR="00000000" w:rsidRPr="00000000">
      <w:rPr>
        <w:rFonts w:ascii="Times New Roman" w:cs="Times New Roman" w:eastAsia="Times New Roman" w:hAnsi="Times New Roman"/>
        <w:b w:val="1"/>
        <w:i w:val="0"/>
        <w:smallCaps w:val="0"/>
        <w:strike w:val="0"/>
        <w:color w:val="000000"/>
        <w:sz w:val="18"/>
        <w:szCs w:val="18"/>
        <w:u w:val="single"/>
        <w:shd w:fill="auto" w:val="clear"/>
        <w:vertAlign w:val="baseline"/>
        <w:rtl w:val="0"/>
      </w:rPr>
      <w:t xml:space="preserve">________________</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tab/>
      <w:tab/>
      <w:tab/>
      <w:tab/>
      <w:tab/>
      <w:tab/>
      <w:tab/>
      <w:tab/>
      <w:tab/>
      <w:t xml:space="preserve">Page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vertAlign w:val="baseline"/>
      </w:rPr>
    </w:lvl>
    <w:lvl w:ilvl="1">
      <w:start w:val="0"/>
      <w:numFmt w:val="decimal"/>
      <w:lvlText w:val="%2."/>
      <w:lvlJc w:val="left"/>
      <w:pPr>
        <w:ind w:left="1440" w:hanging="360"/>
      </w:pPr>
      <w:rPr>
        <w:vertAlign w:val="baseline"/>
      </w:rPr>
    </w:lvl>
    <w:lvl w:ilvl="2">
      <w:start w:val="0"/>
      <w:numFmt w:val="decimal"/>
      <w:lvlText w:val="%3."/>
      <w:lvlJc w:val="left"/>
      <w:pPr>
        <w:ind w:left="2160" w:hanging="360"/>
      </w:pPr>
      <w:rPr>
        <w:vertAlign w:val="baseline"/>
      </w:rPr>
    </w:lvl>
    <w:lvl w:ilvl="3">
      <w:start w:val="0"/>
      <w:numFmt w:val="decimal"/>
      <w:lvlText w:val="%4."/>
      <w:lvlJc w:val="left"/>
      <w:pPr>
        <w:ind w:left="2880" w:hanging="360"/>
      </w:pPr>
      <w:rPr>
        <w:vertAlign w:val="baseline"/>
      </w:rPr>
    </w:lvl>
    <w:lvl w:ilvl="4">
      <w:start w:val="0"/>
      <w:numFmt w:val="decimal"/>
      <w:lvlText w:val="%5."/>
      <w:lvlJc w:val="left"/>
      <w:pPr>
        <w:ind w:left="3600" w:hanging="360"/>
      </w:pPr>
      <w:rPr>
        <w:vertAlign w:val="baseline"/>
      </w:rPr>
    </w:lvl>
    <w:lvl w:ilvl="5">
      <w:start w:val="0"/>
      <w:numFmt w:val="decimal"/>
      <w:lvlText w:val="%6."/>
      <w:lvlJc w:val="left"/>
      <w:pPr>
        <w:ind w:left="4320" w:hanging="360"/>
      </w:pPr>
      <w:rPr>
        <w:vertAlign w:val="baseline"/>
      </w:rPr>
    </w:lvl>
    <w:lvl w:ilvl="6">
      <w:start w:val="0"/>
      <w:numFmt w:val="decimal"/>
      <w:lvlText w:val="%7."/>
      <w:lvlJc w:val="left"/>
      <w:pPr>
        <w:ind w:left="5040" w:hanging="360"/>
      </w:pPr>
      <w:rPr>
        <w:vertAlign w:val="baseline"/>
      </w:rPr>
    </w:lvl>
    <w:lvl w:ilvl="7">
      <w:start w:val="0"/>
      <w:numFmt w:val="decimal"/>
      <w:lvlText w:val="%8."/>
      <w:lvlJc w:val="left"/>
      <w:pPr>
        <w:ind w:left="5760" w:hanging="360"/>
      </w:pPr>
      <w:rPr>
        <w:vertAlign w:val="baseline"/>
      </w:rPr>
    </w:lvl>
    <w:lvl w:ilvl="8">
      <w:start w:val="0"/>
      <w:numFmt w:val="decimal"/>
      <w:lvlText w:val="%9."/>
      <w:lvlJc w:val="left"/>
      <w:pPr>
        <w:ind w:left="6480" w:hanging="360"/>
      </w:pPr>
      <w:rP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855" w:hanging="360"/>
      </w:pPr>
      <w:rPr>
        <w:vertAlign w:val="baseline"/>
      </w:rPr>
    </w:lvl>
    <w:lvl w:ilvl="1">
      <w:start w:val="1"/>
      <w:numFmt w:val="lowerLetter"/>
      <w:lvlText w:val="%2."/>
      <w:lvlJc w:val="left"/>
      <w:pPr>
        <w:ind w:left="1575" w:hanging="360"/>
      </w:pPr>
      <w:rPr>
        <w:vertAlign w:val="baseline"/>
      </w:rPr>
    </w:lvl>
    <w:lvl w:ilvl="2">
      <w:start w:val="1"/>
      <w:numFmt w:val="lowerRoman"/>
      <w:lvlText w:val="%3."/>
      <w:lvlJc w:val="right"/>
      <w:pPr>
        <w:ind w:left="2295" w:hanging="180"/>
      </w:pPr>
      <w:rPr>
        <w:vertAlign w:val="baseline"/>
      </w:rPr>
    </w:lvl>
    <w:lvl w:ilvl="3">
      <w:start w:val="1"/>
      <w:numFmt w:val="decimal"/>
      <w:lvlText w:val="%4."/>
      <w:lvlJc w:val="left"/>
      <w:pPr>
        <w:ind w:left="3015" w:hanging="360"/>
      </w:pPr>
      <w:rPr>
        <w:vertAlign w:val="baseline"/>
      </w:rPr>
    </w:lvl>
    <w:lvl w:ilvl="4">
      <w:start w:val="1"/>
      <w:numFmt w:val="lowerLetter"/>
      <w:lvlText w:val="%5."/>
      <w:lvlJc w:val="left"/>
      <w:pPr>
        <w:ind w:left="3735" w:hanging="360"/>
      </w:pPr>
      <w:rPr>
        <w:vertAlign w:val="baseline"/>
      </w:rPr>
    </w:lvl>
    <w:lvl w:ilvl="5">
      <w:start w:val="1"/>
      <w:numFmt w:val="lowerRoman"/>
      <w:lvlText w:val="%6."/>
      <w:lvlJc w:val="right"/>
      <w:pPr>
        <w:ind w:left="4455" w:hanging="180"/>
      </w:pPr>
      <w:rPr>
        <w:vertAlign w:val="baseline"/>
      </w:rPr>
    </w:lvl>
    <w:lvl w:ilvl="6">
      <w:start w:val="1"/>
      <w:numFmt w:val="decimal"/>
      <w:lvlText w:val="%7."/>
      <w:lvlJc w:val="left"/>
      <w:pPr>
        <w:ind w:left="5175" w:hanging="360"/>
      </w:pPr>
      <w:rPr>
        <w:vertAlign w:val="baseline"/>
      </w:rPr>
    </w:lvl>
    <w:lvl w:ilvl="7">
      <w:start w:val="1"/>
      <w:numFmt w:val="lowerLetter"/>
      <w:lvlText w:val="%8."/>
      <w:lvlJc w:val="left"/>
      <w:pPr>
        <w:ind w:left="5895" w:hanging="360"/>
      </w:pPr>
      <w:rPr>
        <w:vertAlign w:val="baseline"/>
      </w:rPr>
    </w:lvl>
    <w:lvl w:ilvl="8">
      <w:start w:val="1"/>
      <w:numFmt w:val="lowerRoman"/>
      <w:lvlText w:val="%9."/>
      <w:lvlJc w:val="right"/>
      <w:pPr>
        <w:ind w:left="6615" w:hanging="180"/>
      </w:pPr>
      <w:rPr>
        <w:vertAlign w:val="baseli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widowControl w:val="0"/>
      <w:spacing w:after="0" w:line="240" w:lineRule="auto"/>
      <w:ind w:left="822" w:hanging="721"/>
    </w:pPr>
    <w:rPr>
      <w:rFonts w:ascii="Arial" w:cs="Arial" w:eastAsia="Arial" w:hAnsi="Arial"/>
      <w:sz w:val="28"/>
      <w:szCs w:val="28"/>
    </w:rPr>
  </w:style>
  <w:style w:type="paragraph" w:styleId="Heading2">
    <w:name w:val="heading 2"/>
    <w:basedOn w:val="Normal"/>
    <w:next w:val="Normal"/>
    <w:pPr>
      <w:widowControl w:val="0"/>
      <w:spacing w:after="0" w:line="240" w:lineRule="auto"/>
      <w:ind w:left="102"/>
    </w:pPr>
    <w:rPr>
      <w:rFonts w:ascii="Arial" w:cs="Arial" w:eastAsia="Arial" w:hAnsi="Arial"/>
      <w:b w:val="1"/>
      <w:sz w:val="24"/>
      <w:szCs w:val="24"/>
    </w:rPr>
  </w:style>
  <w:style w:type="paragraph" w:styleId="Heading3">
    <w:name w:val="heading 3"/>
    <w:basedOn w:val="Normal"/>
    <w:next w:val="Normal"/>
    <w:pPr>
      <w:widowControl w:val="0"/>
      <w:spacing w:after="0" w:line="240" w:lineRule="auto"/>
      <w:ind w:left="1468" w:hanging="647"/>
    </w:pPr>
    <w:rPr>
      <w:rFonts w:ascii="Arial" w:cs="Arial" w:eastAsia="Arial" w:hAnsi="Arial"/>
      <w:b w:val="1"/>
      <w:i w:val="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table" w:styleId="TableGrid">
    <w:name w:val="Table Grid"/>
    <w:basedOn w:val="TableNormal"/>
    <w:pPr>
      <w:suppressAutoHyphens w:val="1"/>
      <w:spacing w:after="0" w:line="240" w:lineRule="auto"/>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pPr>
      <w:spacing w:after="0" w:line="240" w:lineRule="auto"/>
    </w:pPr>
  </w:style>
  <w:style w:type="character" w:styleId="HeaderChar" w:customStyle="1">
    <w:name w:val="Header Char"/>
    <w:basedOn w:val="DefaultParagraphFont"/>
    <w:rPr>
      <w:w w:val="100"/>
      <w:position w:val="-1"/>
      <w:effect w:val="none"/>
      <w:vertAlign w:val="baseline"/>
      <w:cs w:val="0"/>
      <w:em w:val="none"/>
    </w:rPr>
  </w:style>
  <w:style w:type="paragraph" w:styleId="Footer">
    <w:name w:val="footer"/>
    <w:basedOn w:val="Normal"/>
    <w:uiPriority w:val="99"/>
    <w:qFormat w:val="1"/>
    <w:pPr>
      <w:spacing w:after="0" w:line="240" w:lineRule="auto"/>
    </w:pPr>
  </w:style>
  <w:style w:type="character" w:styleId="FooterChar" w:customStyle="1">
    <w:name w:val="Footer Char"/>
    <w:basedOn w:val="DefaultParagraphFont"/>
    <w:uiPriority w:val="99"/>
    <w:rPr>
      <w:w w:val="100"/>
      <w:position w:val="-1"/>
      <w:effect w:val="none"/>
      <w:vertAlign w:val="baseline"/>
      <w:cs w:val="0"/>
      <w:em w:val="none"/>
    </w:rPr>
  </w:style>
  <w:style w:type="paragraph" w:styleId="ListParagraph">
    <w:name w:val="List Paragraph"/>
    <w:basedOn w:val="Normal"/>
    <w:uiPriority w:val="34"/>
    <w:qFormat w:val="1"/>
    <w:pPr>
      <w:ind w:left="720"/>
      <w:contextualSpacing w:val="1"/>
    </w:pPr>
  </w:style>
  <w:style w:type="paragraph" w:styleId="NormalWeb">
    <w:name w:val="Normal (Web)"/>
    <w:basedOn w:val="Normal"/>
    <w:qFormat w:val="1"/>
    <w:pPr>
      <w:spacing w:after="100" w:afterAutospacing="1" w:before="100" w:beforeAutospacing="1" w:line="240" w:lineRule="auto"/>
    </w:pPr>
    <w:rPr>
      <w:rFonts w:ascii="Times New Roman" w:hAnsi="Times New Roman"/>
      <w:sz w:val="24"/>
      <w:szCs w:val="24"/>
      <w:lang w:eastAsia="en-PH" w:val="en-PH"/>
    </w:rPr>
  </w:style>
  <w:style w:type="paragraph" w:styleId="TableParagraph" w:customStyle="1">
    <w:name w:val="Table Paragraph"/>
    <w:basedOn w:val="Normal"/>
    <w:uiPriority w:val="1"/>
    <w:qFormat w:val="1"/>
    <w:pPr>
      <w:widowControl w:val="0"/>
      <w:autoSpaceDE w:val="0"/>
      <w:autoSpaceDN w:val="0"/>
      <w:adjustRightInd w:val="0"/>
      <w:spacing w:after="0" w:line="240" w:lineRule="auto"/>
    </w:pPr>
    <w:rPr>
      <w:rFonts w:ascii="Times New Roman" w:hAnsi="Times New Roman"/>
      <w:sz w:val="24"/>
      <w:szCs w:val="24"/>
      <w:lang w:eastAsia="en-PH" w:val="en-PH"/>
    </w:rPr>
  </w:style>
  <w:style w:type="paragraph" w:styleId="NoSpacing">
    <w:name w:val="No Spacing"/>
    <w:pPr>
      <w:widowControl w:val="0"/>
      <w:suppressAutoHyphens w:val="1"/>
      <w:autoSpaceDE w:val="0"/>
      <w:autoSpaceDN w:val="0"/>
      <w:adjustRightInd w:val="0"/>
      <w:spacing w:line="1" w:lineRule="atLeast"/>
      <w:ind w:left="-1" w:leftChars="-1" w:hanging="1" w:hangingChars="1"/>
      <w:textDirection w:val="btLr"/>
      <w:textAlignment w:val="top"/>
      <w:outlineLvl w:val="0"/>
    </w:pPr>
    <w:rPr>
      <w:rFonts w:ascii="Times New Roman" w:hAnsi="Times New Roman"/>
      <w:position w:val="-1"/>
      <w:sz w:val="24"/>
      <w:szCs w:val="24"/>
      <w:lang w:val="en-PH"/>
    </w:rPr>
  </w:style>
  <w:style w:type="character" w:styleId="Heading1Char" w:customStyle="1">
    <w:name w:val="Heading 1 Char"/>
    <w:rPr>
      <w:rFonts w:ascii="Arial" w:hAnsi="Arial"/>
      <w:w w:val="100"/>
      <w:position w:val="-1"/>
      <w:sz w:val="28"/>
      <w:szCs w:val="28"/>
      <w:effect w:val="none"/>
      <w:vertAlign w:val="baseline"/>
      <w:cs w:val="0"/>
      <w:em w:val="none"/>
    </w:rPr>
  </w:style>
  <w:style w:type="character" w:styleId="Heading2Char" w:customStyle="1">
    <w:name w:val="Heading 2 Char"/>
    <w:rPr>
      <w:rFonts w:ascii="Arial" w:hAnsi="Arial"/>
      <w:b w:val="1"/>
      <w:bCs w:val="1"/>
      <w:w w:val="100"/>
      <w:position w:val="-1"/>
      <w:sz w:val="24"/>
      <w:szCs w:val="24"/>
      <w:effect w:val="none"/>
      <w:vertAlign w:val="baseline"/>
      <w:cs w:val="0"/>
      <w:em w:val="none"/>
    </w:rPr>
  </w:style>
  <w:style w:type="character" w:styleId="Heading3Char" w:customStyle="1">
    <w:name w:val="Heading 3 Char"/>
    <w:rPr>
      <w:rFonts w:ascii="Arial" w:hAnsi="Arial"/>
      <w:b w:val="1"/>
      <w:bCs w:val="1"/>
      <w:i w:val="1"/>
      <w:iCs w:val="1"/>
      <w:w w:val="100"/>
      <w:position w:val="-1"/>
      <w:sz w:val="24"/>
      <w:szCs w:val="24"/>
      <w:effect w:val="none"/>
      <w:vertAlign w:val="baseline"/>
      <w:cs w:val="0"/>
      <w:em w:val="none"/>
    </w:rPr>
  </w:style>
  <w:style w:type="paragraph" w:styleId="BodyText">
    <w:name w:val="Body Text"/>
    <w:basedOn w:val="Normal"/>
    <w:pPr>
      <w:widowControl w:val="0"/>
      <w:autoSpaceDE w:val="0"/>
      <w:autoSpaceDN w:val="0"/>
      <w:adjustRightInd w:val="0"/>
      <w:spacing w:after="0" w:line="240" w:lineRule="auto"/>
      <w:ind w:left="822"/>
    </w:pPr>
    <w:rPr>
      <w:rFonts w:ascii="Arial" w:hAnsi="Arial"/>
      <w:sz w:val="24"/>
      <w:szCs w:val="24"/>
      <w:lang w:eastAsia="en-PH" w:val="en-PH"/>
    </w:rPr>
  </w:style>
  <w:style w:type="character" w:styleId="BodyTextChar" w:customStyle="1">
    <w:name w:val="Body Text Char"/>
    <w:rPr>
      <w:rFonts w:ascii="Arial" w:hAnsi="Arial"/>
      <w:w w:val="100"/>
      <w:position w:val="-1"/>
      <w:sz w:val="24"/>
      <w:szCs w:val="24"/>
      <w:effect w:val="none"/>
      <w:vertAlign w:val="baseline"/>
      <w:cs w:val="0"/>
      <w:em w:val="none"/>
    </w:rPr>
  </w:style>
  <w:style w:type="paragraph" w:styleId="AERjournal" w:customStyle="1">
    <w:name w:val="AER journal"/>
    <w:basedOn w:val="Normal"/>
    <w:pPr>
      <w:spacing w:after="0" w:line="480" w:lineRule="auto"/>
      <w:jc w:val="both"/>
    </w:pPr>
    <w:rPr>
      <w:rFonts w:ascii="Times New Roman" w:hAnsi="Times New Roman"/>
      <w:sz w:val="24"/>
    </w:rPr>
  </w:style>
  <w:style w:type="character" w:styleId="CommentReference">
    <w:name w:val="annotation reference"/>
    <w:qFormat w:val="1"/>
    <w:rPr>
      <w:w w:val="100"/>
      <w:position w:val="-1"/>
      <w:sz w:val="16"/>
      <w:szCs w:val="16"/>
      <w:effect w:val="none"/>
      <w:vertAlign w:val="baseline"/>
      <w:cs w:val="0"/>
      <w:em w:val="none"/>
    </w:rPr>
  </w:style>
  <w:style w:type="paragraph" w:styleId="CommentText">
    <w:name w:val="annotation text"/>
    <w:basedOn w:val="Normal"/>
    <w:qFormat w:val="1"/>
    <w:pPr>
      <w:spacing w:line="240" w:lineRule="auto"/>
    </w:pPr>
    <w:rPr>
      <w:sz w:val="20"/>
      <w:szCs w:val="20"/>
    </w:rPr>
  </w:style>
  <w:style w:type="character" w:styleId="CommentTextChar" w:customStyle="1">
    <w:name w:val="Comment Text Char"/>
    <w:rPr>
      <w:w w:val="100"/>
      <w:position w:val="-1"/>
      <w:effect w:val="none"/>
      <w:vertAlign w:val="baseline"/>
      <w:cs w:val="0"/>
      <w:em w:val="none"/>
      <w:lang w:eastAsia="en-US" w:val="en-US"/>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top w:w="14.0" w:type="dxa"/>
        <w:left w:w="86.0" w:type="dxa"/>
        <w:bottom w:w="14.0" w:type="dxa"/>
        <w:right w:w="86.0" w:type="dxa"/>
      </w:tblCellMar>
    </w:tblPr>
  </w:style>
  <w:style w:type="table" w:styleId="a3" w:customStyle="1">
    <w:basedOn w:val="TableNormal"/>
    <w:tblPr>
      <w:tblStyleRowBandSize w:val="1"/>
      <w:tblStyleColBandSize w:val="1"/>
      <w:tblCellMar>
        <w:top w:w="14.0" w:type="dxa"/>
        <w:left w:w="86.0" w:type="dxa"/>
        <w:bottom w:w="14.0" w:type="dxa"/>
        <w:right w:w="86.0" w:type="dxa"/>
      </w:tblCellMar>
    </w:tblPr>
  </w:style>
  <w:style w:type="table" w:styleId="Table1">
    <w:basedOn w:val="TableNormal"/>
    <w:pPr>
      <w:spacing w:after="0" w:line="240" w:lineRule="auto"/>
      <w:ind w:left="0" w:hanging="1"/>
    </w:pPr>
    <w:rPr>
      <w:vertAlign w:val="baseline"/>
    </w:rPr>
    <w:tblPr>
      <w:tblStyleRowBandSize w:val="1"/>
      <w:tblStyleColBandSize w:val="1"/>
      <w:tblCellMar>
        <w:top w:w="14.0" w:type="dxa"/>
        <w:left w:w="86.0" w:type="dxa"/>
        <w:bottom w:w="14.0" w:type="dxa"/>
        <w:right w:w="86.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ind w:left="0" w:hanging="1"/>
    </w:pPr>
    <w:rPr>
      <w:vertAlign w:val="baseline"/>
    </w:rPr>
    <w:tblPr>
      <w:tblStyleRowBandSize w:val="1"/>
      <w:tblStyleColBandSize w:val="1"/>
      <w:tblCellMar>
        <w:top w:w="14.0" w:type="dxa"/>
        <w:left w:w="86.0" w:type="dxa"/>
        <w:bottom w:w="14.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vertAlign w:val="baseline"/>
    </w:rPr>
    <w:tblPr>
      <w:tblStyleRowBandSize w:val="1"/>
      <w:tblStyleColBandSize w:val="1"/>
      <w:tblCellMar>
        <w:top w:w="14.0" w:type="dxa"/>
        <w:left w:w="86.0" w:type="dxa"/>
        <w:bottom w:w="14.0" w:type="dxa"/>
        <w:right w:w="86.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Quadro1" Type="http://schemas.openxmlformats.org/officeDocument/2006/relationships/hyperlink" Target="https://developer.nvidia.com/embedded/faq" TargetMode="External"/><Relationship Id="rIdQuadro2" Type="http://schemas.openxmlformats.org/officeDocument/2006/relationships/hyperlink" Target="https://developer.nvidia.com/embedded/jetpack/downloads/archive-7.2.1" TargetMode="External"/><Relationship Id="rIdQuadro3" Type="http://schemas.openxmlformats.org/officeDocument/2006/relationships/hyperlink" Target="https://docs.nvidia.com/jetson/archives/r39.2.1/DeveloperGuide/HR/JetsonModuleAdaptationAndBringUp/JetsonOrinNxNanoSeries.html" TargetMode="External"/><Relationship Id="rIdQuadro4" Type="http://schemas.openxmlformats.org/officeDocument/2006/relationships/hyperlink" Target="https://developer.nvidia.com/embedded/learn/jetson-ai-education" TargetMode="External"/><Relationship Id="rIdQuadro5" Type="http://schemas.openxmlformats.org/officeDocument/2006/relationships/hyperlink" Target="https://doi.org/10.1073/pnas.1319030111" TargetMode="External"/><Relationship Id="rIdQuadro6" Type="http://schemas.openxmlformats.org/officeDocument/2006/relationships/hyperlink" Target="https://doi.org/10.1186/s40594-024-00469-4" TargetMode="External"/><Relationship Id="rIdQuadro7" Type="http://schemas.openxmlformats.org/officeDocument/2006/relationships/hyperlink" Target="https://training.linuxfoundation.org/training/introduction-to-linux/" TargetMode="External"/><Relationship Id="rIdQuadro8" Type="http://schemas.openxmlformats.org/officeDocument/2006/relationships/hyperlink" Target="https://developer.download.nvidia.com/embedded/L4T/r39_Release_v2.1/release/Tegra_Software_License_Agreement-Tegra-Linux.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2wBWppspYVG7y449ltwIZ7Snqg==">CgMxLjA4AHIhMWRqeV9GX3ZjbTlkQ1NtWm8tbWdOalc0cklXc1gtczh6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2023-09-11T01:28:00Z</dcterms:created>
  <dc:creator>Quadro</dc:creator>
  <dc:title>Quadro 24 Month Precommercialization Research Proposal</dc:title>
</cp:coreProperties>
</file>