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Quadro feasibility study 2 year</w:t>
      </w:r>
    </w:p>
    <w:p>
      <w:pPr>
        <w:pStyle w:val="Subtitle"/>
      </w:pPr>
      <w:r>
        <w:t>Philippines  |  AI and Linux learning hardware</w:t>
      </w:r>
    </w:p>
    <w:p>
      <w:r>
        <w:t>24 month validation and commercial development plan  |  20 October 2026</w:t>
      </w:r>
    </w:p>
    <w:p>
      <w:pPr>
        <w:pStyle w:val="Heading1"/>
      </w:pPr>
      <w:r>
        <w:t>Executive decision</w:t>
      </w:r>
    </w:p>
    <w:p>
      <w:r>
        <w:t>Proceed in stages over 24 months, subject to pilot results. The longer plan offers time to qualify the hardware, improve the learning OS and obtain repeat school orders. The base case reaches a second year operating surplus, but cumulative cash remains negative at month 24.</w:t>
      </w:r>
    </w:p>
    <w:p>
      <w:r>
        <w:t>Quadro is a proposed learning computer built around a custom carrier board and a production NVIDIA Jetson Orin Nano 8 GB module. Quadro Learning OS is the proposed name for a maintained Linux distribution with lessons, AI tools and recovery support. It is a product to develop, rather than an established educational OS.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464"/>
        <w:gridCol w:w="5429"/>
      </w:tblGrid>
      <w:tr>
        <w:trPr>
          <w:cantSplit/>
          <w:tblHeader/>
        </w:trPr>
        <w:tc>
          <w:tcPr>
            <w:tcW w:type="dxa" w:w="4464"/>
            <w:vAlign w:val="center"/>
            <w:tcMar>
              <w:top w:w="85" w:type="dxa"/>
              <w:left w:w="85" w:type="dxa"/>
              <w:bottom w:w="85" w:type="dxa"/>
              <w:right w:w="85" w:type="dxa"/>
            </w:tcMar>
            <w:shd w:fill="243746"/>
          </w:tcPr>
          <w:p>
            <w:pPr>
              <w:spacing w:after="0" w:line="245" w:lineRule="auto"/>
            </w:pPr>
            <w:r>
              <w:rPr>
                <w:b/>
                <w:color w:val="FFFFFF"/>
                <w:sz w:val="18"/>
              </w:rPr>
              <w:t>Decision metric</w:t>
            </w:r>
          </w:p>
        </w:tc>
        <w:tc>
          <w:tcPr>
            <w:tcW w:type="dxa" w:w="5429"/>
            <w:vAlign w:val="center"/>
            <w:tcMar>
              <w:top w:w="85" w:type="dxa"/>
              <w:left w:w="85" w:type="dxa"/>
              <w:bottom w:w="85" w:type="dxa"/>
              <w:right w:w="85" w:type="dxa"/>
            </w:tcMar>
            <w:shd w:fill="243746"/>
          </w:tcPr>
          <w:p>
            <w:pPr>
              <w:spacing w:after="0" w:line="245" w:lineRule="auto"/>
            </w:pPr>
            <w:r>
              <w:rPr>
                <w:b/>
                <w:color w:val="FFFFFF"/>
                <w:sz w:val="18"/>
              </w:rPr>
              <w:t>Base case assumption</w:t>
            </w:r>
          </w:p>
        </w:tc>
      </w:tr>
      <w:tr>
        <w:trPr>
          <w:cantSplit/>
        </w:trPr>
        <w:tc>
          <w:tcPr>
            <w:tcW w:type="dxa" w:w="4464"/>
            <w:vAlign w:val="center"/>
            <w:tcMar>
              <w:top w:w="85" w:type="dxa"/>
              <w:left w:w="85" w:type="dxa"/>
              <w:bottom w:w="85" w:type="dxa"/>
              <w:right w:w="85" w:type="dxa"/>
            </w:tcMar>
            <w:shd w:fill="FFFFFF"/>
          </w:tcPr>
          <w:p>
            <w:pPr>
              <w:spacing w:after="0" w:line="245" w:lineRule="auto"/>
            </w:pPr>
            <w:r>
              <w:rPr>
                <w:color w:val="000000"/>
                <w:sz w:val="18"/>
              </w:rPr>
              <w:t>Planning horizon</w:t>
            </w:r>
          </w:p>
        </w:tc>
        <w:tc>
          <w:tcPr>
            <w:tcW w:type="dxa" w:w="5429"/>
            <w:vAlign w:val="center"/>
            <w:tcMar>
              <w:top w:w="85" w:type="dxa"/>
              <w:left w:w="85" w:type="dxa"/>
              <w:bottom w:w="85" w:type="dxa"/>
              <w:right w:w="85" w:type="dxa"/>
            </w:tcMar>
            <w:shd w:fill="FFFFFF"/>
          </w:tcPr>
          <w:p>
            <w:pPr>
              <w:spacing w:after="0" w:line="245" w:lineRule="auto"/>
            </w:pPr>
            <w:r>
              <w:rPr>
                <w:color w:val="000000"/>
                <w:sz w:val="18"/>
              </w:rPr>
              <w:t>24 months</w:t>
            </w:r>
          </w:p>
        </w:tc>
      </w:tr>
      <w:tr>
        <w:trPr>
          <w:cantSplit/>
        </w:trPr>
        <w:tc>
          <w:tcPr>
            <w:tcW w:type="dxa" w:w="4464"/>
            <w:vAlign w:val="center"/>
            <w:tcMar>
              <w:top w:w="85" w:type="dxa"/>
              <w:left w:w="85" w:type="dxa"/>
              <w:bottom w:w="85" w:type="dxa"/>
              <w:right w:w="85" w:type="dxa"/>
            </w:tcMar>
            <w:shd w:fill="F1F4F6"/>
          </w:tcPr>
          <w:p>
            <w:pPr>
              <w:spacing w:after="0" w:line="245" w:lineRule="auto"/>
            </w:pPr>
            <w:r>
              <w:rPr>
                <w:color w:val="000000"/>
                <w:sz w:val="18"/>
              </w:rPr>
              <w:t>Hardware sales target</w:t>
            </w:r>
          </w:p>
        </w:tc>
        <w:tc>
          <w:tcPr>
            <w:tcW w:type="dxa" w:w="5429"/>
            <w:vAlign w:val="center"/>
            <w:tcMar>
              <w:top w:w="85" w:type="dxa"/>
              <w:left w:w="85" w:type="dxa"/>
              <w:bottom w:w="85" w:type="dxa"/>
              <w:right w:w="85" w:type="dxa"/>
            </w:tcMar>
            <w:shd w:fill="F1F4F6"/>
          </w:tcPr>
          <w:p>
            <w:pPr>
              <w:spacing w:after="0" w:line="245" w:lineRule="auto"/>
            </w:pPr>
            <w:r>
              <w:rPr>
                <w:color w:val="000000"/>
                <w:sz w:val="18"/>
              </w:rPr>
              <w:t>100 kits in year 1 and 300 in year 2</w:t>
            </w:r>
          </w:p>
        </w:tc>
      </w:tr>
      <w:tr>
        <w:trPr>
          <w:cantSplit/>
        </w:trPr>
        <w:tc>
          <w:tcPr>
            <w:tcW w:type="dxa" w:w="4464"/>
            <w:vAlign w:val="center"/>
            <w:tcMar>
              <w:top w:w="85" w:type="dxa"/>
              <w:left w:w="85" w:type="dxa"/>
              <w:bottom w:w="85" w:type="dxa"/>
              <w:right w:w="85" w:type="dxa"/>
            </w:tcMar>
            <w:shd w:fill="FFFFFF"/>
          </w:tcPr>
          <w:p>
            <w:pPr>
              <w:spacing w:after="0" w:line="245" w:lineRule="auto"/>
            </w:pPr>
            <w:r>
              <w:rPr>
                <w:color w:val="000000"/>
                <w:sz w:val="18"/>
              </w:rPr>
              <w:t>Price per kit excluding VAT</w:t>
            </w:r>
          </w:p>
        </w:tc>
        <w:tc>
          <w:tcPr>
            <w:tcW w:type="dxa" w:w="5429"/>
            <w:vAlign w:val="center"/>
            <w:tcMar>
              <w:top w:w="85" w:type="dxa"/>
              <w:left w:w="85" w:type="dxa"/>
              <w:bottom w:w="85" w:type="dxa"/>
              <w:right w:w="85" w:type="dxa"/>
            </w:tcMar>
            <w:shd w:fill="FFFFFF"/>
          </w:tcPr>
          <w:p>
            <w:pPr>
              <w:spacing w:after="0" w:line="245" w:lineRule="auto"/>
            </w:pPr>
            <w:r>
              <w:rPr>
                <w:color w:val="000000"/>
                <w:sz w:val="18"/>
              </w:rPr>
              <w:t>PHP 49,000</w:t>
            </w:r>
          </w:p>
        </w:tc>
      </w:tr>
      <w:tr>
        <w:trPr>
          <w:cantSplit/>
        </w:trPr>
        <w:tc>
          <w:tcPr>
            <w:tcW w:type="dxa" w:w="4464"/>
            <w:vAlign w:val="center"/>
            <w:tcMar>
              <w:top w:w="85" w:type="dxa"/>
              <w:left w:w="85" w:type="dxa"/>
              <w:bottom w:w="85" w:type="dxa"/>
              <w:right w:w="85" w:type="dxa"/>
            </w:tcMar>
            <w:shd w:fill="F1F4F6"/>
          </w:tcPr>
          <w:p>
            <w:pPr>
              <w:spacing w:after="0" w:line="245" w:lineRule="auto"/>
            </w:pPr>
            <w:r>
              <w:rPr>
                <w:color w:val="000000"/>
                <w:sz w:val="18"/>
              </w:rPr>
              <w:t>Illustrated price including 12 percent VAT</w:t>
            </w:r>
          </w:p>
        </w:tc>
        <w:tc>
          <w:tcPr>
            <w:tcW w:type="dxa" w:w="5429"/>
            <w:vAlign w:val="center"/>
            <w:tcMar>
              <w:top w:w="85" w:type="dxa"/>
              <w:left w:w="85" w:type="dxa"/>
              <w:bottom w:w="85" w:type="dxa"/>
              <w:right w:w="85" w:type="dxa"/>
            </w:tcMar>
            <w:shd w:fill="F1F4F6"/>
          </w:tcPr>
          <w:p>
            <w:pPr>
              <w:spacing w:after="0" w:line="245" w:lineRule="auto"/>
            </w:pPr>
            <w:r>
              <w:rPr>
                <w:color w:val="000000"/>
                <w:sz w:val="18"/>
              </w:rPr>
              <w:t>PHP 54,880</w:t>
            </w:r>
          </w:p>
        </w:tc>
      </w:tr>
      <w:tr>
        <w:trPr>
          <w:cantSplit/>
        </w:trPr>
        <w:tc>
          <w:tcPr>
            <w:tcW w:type="dxa" w:w="4464"/>
            <w:vAlign w:val="center"/>
            <w:tcMar>
              <w:top w:w="85" w:type="dxa"/>
              <w:left w:w="85" w:type="dxa"/>
              <w:bottom w:w="85" w:type="dxa"/>
              <w:right w:w="85" w:type="dxa"/>
            </w:tcMar>
            <w:shd w:fill="FFFFFF"/>
          </w:tcPr>
          <w:p>
            <w:pPr>
              <w:spacing w:after="0" w:line="245" w:lineRule="auto"/>
            </w:pPr>
            <w:r>
              <w:rPr>
                <w:color w:val="000000"/>
                <w:sz w:val="18"/>
              </w:rPr>
              <w:t>Revenue</w:t>
            </w:r>
          </w:p>
        </w:tc>
        <w:tc>
          <w:tcPr>
            <w:tcW w:type="dxa" w:w="5429"/>
            <w:vAlign w:val="center"/>
            <w:tcMar>
              <w:top w:w="85" w:type="dxa"/>
              <w:left w:w="85" w:type="dxa"/>
              <w:bottom w:w="85" w:type="dxa"/>
              <w:right w:w="85" w:type="dxa"/>
            </w:tcMar>
            <w:shd w:fill="FFFFFF"/>
          </w:tcPr>
          <w:p>
            <w:pPr>
              <w:spacing w:after="0" w:line="245" w:lineRule="auto"/>
            </w:pPr>
            <w:r>
              <w:rPr>
                <w:color w:val="000000"/>
                <w:sz w:val="18"/>
              </w:rPr>
              <w:t>PHP 20.050 million over two years</w:t>
            </w:r>
          </w:p>
        </w:tc>
      </w:tr>
      <w:tr>
        <w:trPr>
          <w:cantSplit/>
        </w:trPr>
        <w:tc>
          <w:tcPr>
            <w:tcW w:type="dxa" w:w="4464"/>
            <w:vAlign w:val="center"/>
            <w:tcMar>
              <w:top w:w="85" w:type="dxa"/>
              <w:left w:w="85" w:type="dxa"/>
              <w:bottom w:w="85" w:type="dxa"/>
              <w:right w:w="85" w:type="dxa"/>
            </w:tcMar>
            <w:shd w:fill="F1F4F6"/>
          </w:tcPr>
          <w:p>
            <w:pPr>
              <w:spacing w:after="0" w:line="245" w:lineRule="auto"/>
            </w:pPr>
            <w:r>
              <w:rPr>
                <w:color w:val="000000"/>
                <w:sz w:val="18"/>
              </w:rPr>
              <w:t>Result before tax depreciation and financing</w:t>
            </w:r>
          </w:p>
        </w:tc>
        <w:tc>
          <w:tcPr>
            <w:tcW w:type="dxa" w:w="5429"/>
            <w:vAlign w:val="center"/>
            <w:tcMar>
              <w:top w:w="85" w:type="dxa"/>
              <w:left w:w="85" w:type="dxa"/>
              <w:bottom w:w="85" w:type="dxa"/>
              <w:right w:w="85" w:type="dxa"/>
            </w:tcMar>
            <w:shd w:fill="F1F4F6"/>
          </w:tcPr>
          <w:p>
            <w:pPr>
              <w:spacing w:after="0" w:line="245" w:lineRule="auto"/>
            </w:pPr>
            <w:r>
              <w:rPr>
                <w:color w:val="000000"/>
                <w:sz w:val="18"/>
              </w:rPr>
              <w:t>PHP 0.370 million cumulative surplus</w:t>
            </w:r>
          </w:p>
        </w:tc>
      </w:tr>
      <w:tr>
        <w:trPr>
          <w:cantSplit/>
        </w:trPr>
        <w:tc>
          <w:tcPr>
            <w:tcW w:type="dxa" w:w="4464"/>
            <w:vAlign w:val="center"/>
            <w:tcMar>
              <w:top w:w="85" w:type="dxa"/>
              <w:left w:w="85" w:type="dxa"/>
              <w:bottom w:w="85" w:type="dxa"/>
              <w:right w:w="85" w:type="dxa"/>
            </w:tcMar>
            <w:shd w:fill="FFFFFF"/>
          </w:tcPr>
          <w:p>
            <w:pPr>
              <w:spacing w:after="0" w:line="245" w:lineRule="auto"/>
            </w:pPr>
            <w:r>
              <w:rPr>
                <w:color w:val="000000"/>
                <w:sz w:val="18"/>
              </w:rPr>
              <w:t>Planning funding envelope</w:t>
            </w:r>
          </w:p>
        </w:tc>
        <w:tc>
          <w:tcPr>
            <w:tcW w:type="dxa" w:w="5429"/>
            <w:vAlign w:val="center"/>
            <w:tcMar>
              <w:top w:w="85" w:type="dxa"/>
              <w:left w:w="85" w:type="dxa"/>
              <w:bottom w:w="85" w:type="dxa"/>
              <w:right w:w="85" w:type="dxa"/>
            </w:tcMar>
            <w:shd w:fill="FFFFFF"/>
          </w:tcPr>
          <w:p>
            <w:pPr>
              <w:spacing w:after="0" w:line="245" w:lineRule="auto"/>
            </w:pPr>
            <w:r>
              <w:rPr>
                <w:color w:val="000000"/>
                <w:sz w:val="18"/>
              </w:rPr>
              <w:t>PHP 8.409 million</w:t>
            </w:r>
          </w:p>
        </w:tc>
      </w:tr>
    </w:tbl>
    <w:p>
      <w:pPr>
        <w:spacing w:after="40" w:before="0" w:line="40" w:lineRule="exact"/>
      </w:pPr>
    </w:p>
    <w:p>
      <w:r>
        <w:t>All financial figures are scenario estimates, not supplier quotations or confirmed demand. The funding envelope includes a 20 percent reserve on the conservative cash trough. Tax cash timing and finance costs require an additional review.</w:t>
      </w:r>
    </w:p>
    <w:p>
      <w:pPr>
        <w:pStyle w:val="Heading2"/>
      </w:pPr>
      <w:r>
        <w:t>Evidence that changes the decision</w:t>
      </w:r>
    </w:p>
    <w:p>
      <w:r>
        <w:t>The repository documents an existing Orin carrier design and a reference Yocto BSP. Its 14 October 2026 repair plan also records unresolved design and release work. Historical board releases do not qualify the current revision for classroom sale. Fresh engineering checks and bench evidence are required. [1][2][3]</w:t>
      </w:r>
    </w:p>
    <w:p>
      <w:r>
        <w:t>This study treats months as time from funding approval. Year 1 is identical in both versions, allowing a direct comparison. The intended readers are Quadro founders, education partners and prospective funders.</w:t>
      </w:r>
    </w:p>
    <w:p>
      <w:r>
        <w:br w:type="page"/>
      </w:r>
    </w:p>
    <w:p>
      <w:pPr>
        <w:pStyle w:val="Heading1"/>
      </w:pPr>
      <w:r>
        <w:t>Product and technical feasibility</w:t>
      </w:r>
    </w:p>
    <w:p>
      <w:pPr>
        <w:pStyle w:val="Heading2"/>
      </w:pPr>
      <w:r>
        <w:t>A focused first product</w:t>
      </w:r>
    </w:p>
    <w:p>
      <w:r>
        <w:t>Launch one configuration: Orin Nano 8 GB production module, Quadro carrier, 128 GB NVMe, suitable power supply, active cooling, protective enclosure and preinstalled learning image. Include a recovery guide, teacher notes and basic hardware support. Schools supply displays, keyboards, mice and network access. Cameras, robotics kits and Wi-Fi are optional and outside the base costing.</w:t>
      </w:r>
    </w:p>
    <w:p>
      <w:r>
        <w:t>The README lists camera, USB, HDMI, M.2, Ethernet and expansion interfaces. Validate each interface included in the sale specification on the exact board revision. Do not promise every documented interface or a high power mode before testing. [1][3]</w:t>
      </w:r>
    </w:p>
    <w:p>
      <w:pPr>
        <w:pStyle w:val="Heading2"/>
      </w:pPr>
      <w:r>
        <w:t>Build the learning OS on supported Linux</w:t>
      </w:r>
    </w:p>
    <w:p>
      <w:r>
        <w:t>The repository reference is a Yocto system based on JetPack 6.1. NVIDIA now lists JetPack 7.2.1 with Orin support and an Ubuntu 24.04 baseline. These are different software baselines; migration and carrier compatibility need explicit testing. [2][5]</w:t>
      </w:r>
    </w:p>
    <w:p>
      <w:r>
        <w:t>Use an Ubuntu based Jetson image as the preferred learner environment. Reuse verified carrier configuration where compatible. NVIDIA requires carrier-specific device tree, boot configuration and flashing work. By month 3, demonstrate the desktop, GPU libraries, storage, Ethernet and recovery on the target board; otherwise replan the launch. A Yocto reference image remains useful for hardware diagnosis. [6]</w:t>
      </w:r>
    </w:p>
    <w:p>
      <w:r>
        <w:t>Add Quadro lesson packages, a desktop lesson launcher, Python notebooks and reproducible environments. Keep the terminal and normal Linux administration tools available. Use standard package and image tooling. Provide unique first-boot credentials, student accounts, signed release manifests, tested updates and a documented reflash procedure.</w:t>
      </w:r>
    </w:p>
    <w:p>
      <w:pPr>
        <w:pStyle w:val="Heading2"/>
      </w:pPr>
      <w:r>
        <w:t>Learning scope and evidence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4104"/>
        <w:gridCol w:w="3773"/>
      </w:tblGrid>
      <w:tr>
        <w:trPr>
          <w:cantSplit/>
          <w:tblHeader/>
        </w:trPr>
        <w:tc>
          <w:tcPr>
            <w:tcW w:type="dxa" w:w="2016"/>
            <w:vAlign w:val="center"/>
            <w:tcMar>
              <w:top w:w="85" w:type="dxa"/>
              <w:left w:w="85" w:type="dxa"/>
              <w:bottom w:w="85" w:type="dxa"/>
              <w:right w:w="85" w:type="dxa"/>
            </w:tcMar>
            <w:shd w:fill="243746"/>
          </w:tcPr>
          <w:p>
            <w:pPr>
              <w:spacing w:after="0" w:line="245" w:lineRule="auto"/>
            </w:pPr>
            <w:r>
              <w:rPr>
                <w:b/>
                <w:color w:val="FFFFFF"/>
                <w:sz w:val="18"/>
              </w:rPr>
              <w:t>Learning strand</w:t>
            </w:r>
          </w:p>
        </w:tc>
        <w:tc>
          <w:tcPr>
            <w:tcW w:type="dxa" w:w="4104"/>
            <w:vAlign w:val="center"/>
            <w:tcMar>
              <w:top w:w="85" w:type="dxa"/>
              <w:left w:w="85" w:type="dxa"/>
              <w:bottom w:w="85" w:type="dxa"/>
              <w:right w:w="85" w:type="dxa"/>
            </w:tcMar>
            <w:shd w:fill="243746"/>
          </w:tcPr>
          <w:p>
            <w:pPr>
              <w:spacing w:after="0" w:line="245" w:lineRule="auto"/>
            </w:pPr>
            <w:r>
              <w:rPr>
                <w:b/>
                <w:color w:val="FFFFFF"/>
                <w:sz w:val="18"/>
              </w:rPr>
              <w:t>Practical activity</w:t>
            </w:r>
          </w:p>
        </w:tc>
        <w:tc>
          <w:tcPr>
            <w:tcW w:type="dxa" w:w="3773"/>
            <w:vAlign w:val="center"/>
            <w:tcMar>
              <w:top w:w="85" w:type="dxa"/>
              <w:left w:w="85" w:type="dxa"/>
              <w:bottom w:w="85" w:type="dxa"/>
              <w:right w:w="85" w:type="dxa"/>
            </w:tcMar>
            <w:shd w:fill="243746"/>
          </w:tcPr>
          <w:p>
            <w:pPr>
              <w:spacing w:after="0" w:line="245" w:lineRule="auto"/>
            </w:pPr>
            <w:r>
              <w:rPr>
                <w:b/>
                <w:color w:val="FFFFFF"/>
                <w:sz w:val="18"/>
              </w:rPr>
              <w:t>Proposed evidence</w:t>
            </w:r>
          </w:p>
        </w:tc>
      </w:tr>
      <w:tr>
        <w:trPr>
          <w:cantSplit/>
        </w:trPr>
        <w:tc>
          <w:tcPr>
            <w:tcW w:type="dxa" w:w="2016"/>
            <w:vAlign w:val="center"/>
            <w:tcMar>
              <w:top w:w="85" w:type="dxa"/>
              <w:left w:w="85" w:type="dxa"/>
              <w:bottom w:w="85" w:type="dxa"/>
              <w:right w:w="85" w:type="dxa"/>
            </w:tcMar>
            <w:shd w:fill="FFFFFF"/>
          </w:tcPr>
          <w:p>
            <w:pPr>
              <w:spacing w:after="0" w:line="245" w:lineRule="auto"/>
            </w:pPr>
            <w:r>
              <w:rPr>
                <w:color w:val="000000"/>
                <w:sz w:val="18"/>
              </w:rPr>
              <w:t>Linux foundations</w:t>
            </w:r>
          </w:p>
        </w:tc>
        <w:tc>
          <w:tcPr>
            <w:tcW w:type="dxa" w:w="4104"/>
            <w:vAlign w:val="center"/>
            <w:tcMar>
              <w:top w:w="85" w:type="dxa"/>
              <w:left w:w="85" w:type="dxa"/>
              <w:bottom w:w="85" w:type="dxa"/>
              <w:right w:w="85" w:type="dxa"/>
            </w:tcMar>
            <w:shd w:fill="FFFFFF"/>
          </w:tcPr>
          <w:p>
            <w:pPr>
              <w:spacing w:after="0" w:line="245" w:lineRule="auto"/>
            </w:pPr>
            <w:r>
              <w:rPr>
                <w:color w:val="000000"/>
                <w:sz w:val="18"/>
              </w:rPr>
              <w:t>Files, permissions, shell, processes and packages</w:t>
            </w:r>
          </w:p>
        </w:tc>
        <w:tc>
          <w:tcPr>
            <w:tcW w:type="dxa" w:w="3773"/>
            <w:vAlign w:val="center"/>
            <w:tcMar>
              <w:top w:w="85" w:type="dxa"/>
              <w:left w:w="85" w:type="dxa"/>
              <w:bottom w:w="85" w:type="dxa"/>
              <w:right w:w="85" w:type="dxa"/>
            </w:tcMar>
            <w:shd w:fill="FFFFFF"/>
          </w:tcPr>
          <w:p>
            <w:pPr>
              <w:spacing w:after="0" w:line="245" w:lineRule="auto"/>
            </w:pPr>
            <w:r>
              <w:rPr>
                <w:color w:val="000000"/>
                <w:sz w:val="18"/>
              </w:rPr>
              <w:t>Learner completes tasks without a script</w:t>
            </w:r>
          </w:p>
        </w:tc>
      </w:tr>
      <w:tr>
        <w:trPr>
          <w:cantSplit/>
        </w:trPr>
        <w:tc>
          <w:tcPr>
            <w:tcW w:type="dxa" w:w="2016"/>
            <w:vAlign w:val="center"/>
            <w:tcMar>
              <w:top w:w="85" w:type="dxa"/>
              <w:left w:w="85" w:type="dxa"/>
              <w:bottom w:w="85" w:type="dxa"/>
              <w:right w:w="85" w:type="dxa"/>
            </w:tcMar>
            <w:shd w:fill="F1F4F6"/>
          </w:tcPr>
          <w:p>
            <w:pPr>
              <w:spacing w:after="0" w:line="245" w:lineRule="auto"/>
            </w:pPr>
            <w:r>
              <w:rPr>
                <w:color w:val="000000"/>
                <w:sz w:val="18"/>
              </w:rPr>
              <w:t>Linux administration</w:t>
            </w:r>
          </w:p>
        </w:tc>
        <w:tc>
          <w:tcPr>
            <w:tcW w:type="dxa" w:w="4104"/>
            <w:vAlign w:val="center"/>
            <w:tcMar>
              <w:top w:w="85" w:type="dxa"/>
              <w:left w:w="85" w:type="dxa"/>
              <w:bottom w:w="85" w:type="dxa"/>
              <w:right w:w="85" w:type="dxa"/>
            </w:tcMar>
            <w:shd w:fill="F1F4F6"/>
          </w:tcPr>
          <w:p>
            <w:pPr>
              <w:spacing w:after="0" w:line="245" w:lineRule="auto"/>
            </w:pPr>
            <w:r>
              <w:rPr>
                <w:color w:val="000000"/>
                <w:sz w:val="18"/>
              </w:rPr>
              <w:t>SSH, networking, logs, services and recovery</w:t>
            </w:r>
          </w:p>
        </w:tc>
        <w:tc>
          <w:tcPr>
            <w:tcW w:type="dxa" w:w="3773"/>
            <w:vAlign w:val="center"/>
            <w:tcMar>
              <w:top w:w="85" w:type="dxa"/>
              <w:left w:w="85" w:type="dxa"/>
              <w:bottom w:w="85" w:type="dxa"/>
              <w:right w:w="85" w:type="dxa"/>
            </w:tcMar>
            <w:shd w:fill="F1F4F6"/>
          </w:tcPr>
          <w:p>
            <w:pPr>
              <w:spacing w:after="0" w:line="245" w:lineRule="auto"/>
            </w:pPr>
            <w:r>
              <w:rPr>
                <w:color w:val="000000"/>
                <w:sz w:val="18"/>
              </w:rPr>
              <w:t>Learner diagnoses a prepared fault</w:t>
            </w:r>
          </w:p>
        </w:tc>
      </w:tr>
      <w:tr>
        <w:trPr>
          <w:cantSplit/>
        </w:trPr>
        <w:tc>
          <w:tcPr>
            <w:tcW w:type="dxa" w:w="2016"/>
            <w:vAlign w:val="center"/>
            <w:tcMar>
              <w:top w:w="85" w:type="dxa"/>
              <w:left w:w="85" w:type="dxa"/>
              <w:bottom w:w="85" w:type="dxa"/>
              <w:right w:w="85" w:type="dxa"/>
            </w:tcMar>
            <w:shd w:fill="FFFFFF"/>
          </w:tcPr>
          <w:p>
            <w:pPr>
              <w:spacing w:after="0" w:line="245" w:lineRule="auto"/>
            </w:pPr>
            <w:r>
              <w:rPr>
                <w:color w:val="000000"/>
                <w:sz w:val="18"/>
              </w:rPr>
              <w:t>AI foundations</w:t>
            </w:r>
          </w:p>
        </w:tc>
        <w:tc>
          <w:tcPr>
            <w:tcW w:type="dxa" w:w="4104"/>
            <w:vAlign w:val="center"/>
            <w:tcMar>
              <w:top w:w="85" w:type="dxa"/>
              <w:left w:w="85" w:type="dxa"/>
              <w:bottom w:w="85" w:type="dxa"/>
              <w:right w:w="85" w:type="dxa"/>
            </w:tcMar>
            <w:shd w:fill="FFFFFF"/>
          </w:tcPr>
          <w:p>
            <w:pPr>
              <w:spacing w:after="0" w:line="245" w:lineRule="auto"/>
            </w:pPr>
            <w:r>
              <w:rPr>
                <w:color w:val="000000"/>
                <w:sz w:val="18"/>
              </w:rPr>
              <w:t>Python, data splits, evaluation and model limits</w:t>
            </w:r>
          </w:p>
        </w:tc>
        <w:tc>
          <w:tcPr>
            <w:tcW w:type="dxa" w:w="3773"/>
            <w:vAlign w:val="center"/>
            <w:tcMar>
              <w:top w:w="85" w:type="dxa"/>
              <w:left w:w="85" w:type="dxa"/>
              <w:bottom w:w="85" w:type="dxa"/>
              <w:right w:w="85" w:type="dxa"/>
            </w:tcMar>
            <w:shd w:fill="FFFFFF"/>
          </w:tcPr>
          <w:p>
            <w:pPr>
              <w:spacing w:after="0" w:line="245" w:lineRule="auto"/>
            </w:pPr>
            <w:r>
              <w:rPr>
                <w:color w:val="000000"/>
                <w:sz w:val="18"/>
              </w:rPr>
              <w:t>Notebook explains accuracy and errors</w:t>
            </w:r>
          </w:p>
        </w:tc>
      </w:tr>
      <w:tr>
        <w:trPr>
          <w:cantSplit/>
        </w:trPr>
        <w:tc>
          <w:tcPr>
            <w:tcW w:type="dxa" w:w="2016"/>
            <w:vAlign w:val="center"/>
            <w:tcMar>
              <w:top w:w="85" w:type="dxa"/>
              <w:left w:w="85" w:type="dxa"/>
              <w:bottom w:w="85" w:type="dxa"/>
              <w:right w:w="85" w:type="dxa"/>
            </w:tcMar>
            <w:shd w:fill="F1F4F6"/>
          </w:tcPr>
          <w:p>
            <w:pPr>
              <w:spacing w:after="0" w:line="245" w:lineRule="auto"/>
            </w:pPr>
            <w:r>
              <w:rPr>
                <w:color w:val="000000"/>
                <w:sz w:val="18"/>
              </w:rPr>
              <w:t>Applied AI</w:t>
            </w:r>
          </w:p>
        </w:tc>
        <w:tc>
          <w:tcPr>
            <w:tcW w:type="dxa" w:w="4104"/>
            <w:vAlign w:val="center"/>
            <w:tcMar>
              <w:top w:w="85" w:type="dxa"/>
              <w:left w:w="85" w:type="dxa"/>
              <w:bottom w:w="85" w:type="dxa"/>
              <w:right w:w="85" w:type="dxa"/>
            </w:tcMar>
            <w:shd w:fill="F1F4F6"/>
          </w:tcPr>
          <w:p>
            <w:pPr>
              <w:spacing w:after="0" w:line="245" w:lineRule="auto"/>
            </w:pPr>
            <w:r>
              <w:rPr>
                <w:color w:val="000000"/>
                <w:sz w:val="18"/>
              </w:rPr>
              <w:t>Run image inference and a small transfer learning lab</w:t>
            </w:r>
          </w:p>
        </w:tc>
        <w:tc>
          <w:tcPr>
            <w:tcW w:type="dxa" w:w="3773"/>
            <w:vAlign w:val="center"/>
            <w:tcMar>
              <w:top w:w="85" w:type="dxa"/>
              <w:left w:w="85" w:type="dxa"/>
              <w:bottom w:w="85" w:type="dxa"/>
              <w:right w:w="85" w:type="dxa"/>
            </w:tcMar>
            <w:shd w:fill="F1F4F6"/>
          </w:tcPr>
          <w:p>
            <w:pPr>
              <w:spacing w:after="0" w:line="245" w:lineRule="auto"/>
            </w:pPr>
            <w:r>
              <w:rPr>
                <w:color w:val="000000"/>
                <w:sz w:val="18"/>
              </w:rPr>
              <w:t>Saved output and reproducible benchmark</w:t>
            </w:r>
          </w:p>
        </w:tc>
      </w:tr>
      <w:tr>
        <w:trPr>
          <w:cantSplit/>
        </w:trPr>
        <w:tc>
          <w:tcPr>
            <w:tcW w:type="dxa" w:w="2016"/>
            <w:vAlign w:val="center"/>
            <w:tcMar>
              <w:top w:w="85" w:type="dxa"/>
              <w:left w:w="85" w:type="dxa"/>
              <w:bottom w:w="85" w:type="dxa"/>
              <w:right w:w="85" w:type="dxa"/>
            </w:tcMar>
            <w:shd w:fill="FFFFFF"/>
          </w:tcPr>
          <w:p>
            <w:pPr>
              <w:spacing w:after="0" w:line="245" w:lineRule="auto"/>
            </w:pPr>
            <w:r>
              <w:rPr>
                <w:color w:val="000000"/>
                <w:sz w:val="18"/>
              </w:rPr>
              <w:t>Final project</w:t>
            </w:r>
          </w:p>
        </w:tc>
        <w:tc>
          <w:tcPr>
            <w:tcW w:type="dxa" w:w="4104"/>
            <w:vAlign w:val="center"/>
            <w:tcMar>
              <w:top w:w="85" w:type="dxa"/>
              <w:left w:w="85" w:type="dxa"/>
              <w:bottom w:w="85" w:type="dxa"/>
              <w:right w:w="85" w:type="dxa"/>
            </w:tcMar>
            <w:shd w:fill="FFFFFF"/>
          </w:tcPr>
          <w:p>
            <w:pPr>
              <w:spacing w:after="0" w:line="245" w:lineRule="auto"/>
            </w:pPr>
            <w:r>
              <w:rPr>
                <w:color w:val="000000"/>
                <w:sz w:val="18"/>
              </w:rPr>
              <w:t>Package an AI application as a Linux service</w:t>
            </w:r>
          </w:p>
        </w:tc>
        <w:tc>
          <w:tcPr>
            <w:tcW w:type="dxa" w:w="3773"/>
            <w:vAlign w:val="center"/>
            <w:tcMar>
              <w:top w:w="85" w:type="dxa"/>
              <w:left w:w="85" w:type="dxa"/>
              <w:bottom w:w="85" w:type="dxa"/>
              <w:right w:w="85" w:type="dxa"/>
            </w:tcMar>
            <w:shd w:fill="FFFFFF"/>
          </w:tcPr>
          <w:p>
            <w:pPr>
              <w:spacing w:after="0" w:line="245" w:lineRule="auto"/>
            </w:pPr>
            <w:r>
              <w:rPr>
                <w:color w:val="000000"/>
                <w:sz w:val="18"/>
              </w:rPr>
              <w:t>Working demonstration and short report</w:t>
            </w:r>
          </w:p>
        </w:tc>
      </w:tr>
    </w:tbl>
    <w:p>
      <w:pPr>
        <w:spacing w:after="40" w:before="0" w:line="40" w:lineRule="exact"/>
      </w:pPr>
    </w:p>
    <w:p>
      <w:r>
        <w:t>Plan a 40 hour introductory course with 12 practical labs. AI inference and small educational training exercises fit the intended scope. Large model training needs other compute. Measure each supported model on the final image; memory use, latency and thermal results determine what enters the curriculum. NVIDIA resources can inform lessons, subject to their terms. [7]</w:t>
      </w:r>
    </w:p>
    <w:p>
      <w:r>
        <w:t>Year 2 adds instructor guides, accessible lesson revisions and repeatable classroom provisioning. Keep one validated hardware configuration until demand and support capacity justify another. Budget major OS upgrades as tested releases, rather than automatic classroom changes.</w:t>
      </w:r>
    </w:p>
    <w:p>
      <w:r>
        <w:br w:type="page"/>
      </w:r>
    </w:p>
    <w:p>
      <w:pPr>
        <w:pStyle w:val="Heading1"/>
      </w:pPr>
      <w:r>
        <w:t>Market and commercial feasibility</w:t>
      </w:r>
    </w:p>
    <w:p>
      <w:r>
        <w:t>Prioritise Philippine colleges, universities, technical training providers and senior secondary STEM programmes that need hands-on AI deployment. The likely buyer is a lab manager or department, while teachers and students use the product. Individual hobbyists are a secondary channel because the proposed kit price is substantial.</w:t>
      </w:r>
    </w:p>
    <w:p>
      <w:r>
        <w:t>The value proposition is a complete classroom experience: a working Linux image, practical AI lessons, teacher preparation and local hardware support. Hardware capability alone does not prove schools will pay the proposed price. Market feasibility remains conditional on interviews and paid pilot orders.</w:t>
      </w:r>
    </w:p>
    <w:p>
      <w:pPr>
        <w:pStyle w:val="Heading2"/>
      </w:pPr>
      <w:r>
        <w:t>Compare the complete learning experience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600"/>
        <w:gridCol w:w="3917"/>
      </w:tblGrid>
      <w:tr>
        <w:trPr>
          <w:cantSplit/>
          <w:tblHeader/>
        </w:trPr>
        <w:tc>
          <w:tcPr>
            <w:tcW w:type="dxa" w:w="2376"/>
            <w:vAlign w:val="center"/>
            <w:tcMar>
              <w:top w:w="85" w:type="dxa"/>
              <w:left w:w="85" w:type="dxa"/>
              <w:bottom w:w="85" w:type="dxa"/>
              <w:right w:w="85" w:type="dxa"/>
            </w:tcMar>
            <w:shd w:fill="243746"/>
          </w:tcPr>
          <w:p>
            <w:pPr>
              <w:spacing w:after="0" w:line="245" w:lineRule="auto"/>
            </w:pPr>
            <w:r>
              <w:rPr>
                <w:b/>
                <w:color w:val="FFFFFF"/>
                <w:sz w:val="18"/>
              </w:rPr>
              <w:t>Alternative</w:t>
            </w:r>
          </w:p>
        </w:tc>
        <w:tc>
          <w:tcPr>
            <w:tcW w:type="dxa" w:w="3600"/>
            <w:vAlign w:val="center"/>
            <w:tcMar>
              <w:top w:w="85" w:type="dxa"/>
              <w:left w:w="85" w:type="dxa"/>
              <w:bottom w:w="85" w:type="dxa"/>
              <w:right w:w="85" w:type="dxa"/>
            </w:tcMar>
            <w:shd w:fill="243746"/>
          </w:tcPr>
          <w:p>
            <w:pPr>
              <w:spacing w:after="0" w:line="245" w:lineRule="auto"/>
            </w:pPr>
            <w:r>
              <w:rPr>
                <w:b/>
                <w:color w:val="FFFFFF"/>
                <w:sz w:val="18"/>
              </w:rPr>
              <w:t>Strength for the buyer</w:t>
            </w:r>
          </w:p>
        </w:tc>
        <w:tc>
          <w:tcPr>
            <w:tcW w:type="dxa" w:w="3917"/>
            <w:vAlign w:val="center"/>
            <w:tcMar>
              <w:top w:w="85" w:type="dxa"/>
              <w:left w:w="85" w:type="dxa"/>
              <w:bottom w:w="85" w:type="dxa"/>
              <w:right w:w="85" w:type="dxa"/>
            </w:tcMar>
            <w:shd w:fill="243746"/>
          </w:tcPr>
          <w:p>
            <w:pPr>
              <w:spacing w:after="0" w:line="245" w:lineRule="auto"/>
            </w:pPr>
            <w:r>
              <w:rPr>
                <w:b/>
                <w:color w:val="FFFFFF"/>
                <w:sz w:val="18"/>
              </w:rPr>
              <w:t>Implication for Quadro</w:t>
            </w:r>
          </w:p>
        </w:tc>
      </w:tr>
      <w:tr>
        <w:trPr>
          <w:cantSplit/>
        </w:trPr>
        <w:tc>
          <w:tcPr>
            <w:tcW w:type="dxa" w:w="2376"/>
            <w:vAlign w:val="center"/>
            <w:tcMar>
              <w:top w:w="85" w:type="dxa"/>
              <w:left w:w="85" w:type="dxa"/>
              <w:bottom w:w="85" w:type="dxa"/>
              <w:right w:w="85" w:type="dxa"/>
            </w:tcMar>
            <w:shd w:fill="FFFFFF"/>
          </w:tcPr>
          <w:p>
            <w:pPr>
              <w:spacing w:after="0" w:line="245" w:lineRule="auto"/>
            </w:pPr>
            <w:r>
              <w:rPr>
                <w:color w:val="000000"/>
                <w:sz w:val="18"/>
              </w:rPr>
              <w:t>Existing PCs with Linux or virtual machines</w:t>
            </w:r>
          </w:p>
        </w:tc>
        <w:tc>
          <w:tcPr>
            <w:tcW w:type="dxa" w:w="3600"/>
            <w:vAlign w:val="center"/>
            <w:tcMar>
              <w:top w:w="85" w:type="dxa"/>
              <w:left w:w="85" w:type="dxa"/>
              <w:bottom w:w="85" w:type="dxa"/>
              <w:right w:w="85" w:type="dxa"/>
            </w:tcMar>
            <w:shd w:fill="FFFFFF"/>
          </w:tcPr>
          <w:p>
            <w:pPr>
              <w:spacing w:after="0" w:line="245" w:lineRule="auto"/>
            </w:pPr>
            <w:r>
              <w:rPr>
                <w:color w:val="000000"/>
                <w:sz w:val="18"/>
              </w:rPr>
              <w:t>Reuses equipment for Linux and basic Python lessons</w:t>
            </w:r>
          </w:p>
        </w:tc>
        <w:tc>
          <w:tcPr>
            <w:tcW w:type="dxa" w:w="3917"/>
            <w:vAlign w:val="center"/>
            <w:tcMar>
              <w:top w:w="85" w:type="dxa"/>
              <w:left w:w="85" w:type="dxa"/>
              <w:bottom w:w="85" w:type="dxa"/>
              <w:right w:w="85" w:type="dxa"/>
            </w:tcMar>
            <w:shd w:fill="FFFFFF"/>
          </w:tcPr>
          <w:p>
            <w:pPr>
              <w:spacing w:after="0" w:line="245" w:lineRule="auto"/>
            </w:pPr>
            <w:r>
              <w:rPr>
                <w:color w:val="000000"/>
                <w:sz w:val="18"/>
              </w:rPr>
              <w:t>Quadro needs a clear edge AI and physical hardware use case</w:t>
            </w:r>
          </w:p>
        </w:tc>
      </w:tr>
      <w:tr>
        <w:trPr>
          <w:cantSplit/>
        </w:trPr>
        <w:tc>
          <w:tcPr>
            <w:tcW w:type="dxa" w:w="2376"/>
            <w:vAlign w:val="center"/>
            <w:tcMar>
              <w:top w:w="85" w:type="dxa"/>
              <w:left w:w="85" w:type="dxa"/>
              <w:bottom w:w="85" w:type="dxa"/>
              <w:right w:w="85" w:type="dxa"/>
            </w:tcMar>
            <w:shd w:fill="F1F4F6"/>
          </w:tcPr>
          <w:p>
            <w:pPr>
              <w:spacing w:after="0" w:line="245" w:lineRule="auto"/>
            </w:pPr>
            <w:r>
              <w:rPr>
                <w:color w:val="000000"/>
                <w:sz w:val="18"/>
              </w:rPr>
              <w:t>Raspberry Pi based systems</w:t>
            </w:r>
          </w:p>
        </w:tc>
        <w:tc>
          <w:tcPr>
            <w:tcW w:type="dxa" w:w="3600"/>
            <w:vAlign w:val="center"/>
            <w:tcMar>
              <w:top w:w="85" w:type="dxa"/>
              <w:left w:w="85" w:type="dxa"/>
              <w:bottom w:w="85" w:type="dxa"/>
              <w:right w:w="85" w:type="dxa"/>
            </w:tcMar>
            <w:shd w:fill="F1F4F6"/>
          </w:tcPr>
          <w:p>
            <w:pPr>
              <w:spacing w:after="0" w:line="245" w:lineRule="auto"/>
            </w:pPr>
            <w:r>
              <w:rPr>
                <w:color w:val="000000"/>
                <w:sz w:val="18"/>
              </w:rPr>
              <w:t>Broad maker ecosystem and general Linux access</w:t>
            </w:r>
          </w:p>
        </w:tc>
        <w:tc>
          <w:tcPr>
            <w:tcW w:type="dxa" w:w="3917"/>
            <w:vAlign w:val="center"/>
            <w:tcMar>
              <w:top w:w="85" w:type="dxa"/>
              <w:left w:w="85" w:type="dxa"/>
              <w:bottom w:w="85" w:type="dxa"/>
              <w:right w:w="85" w:type="dxa"/>
            </w:tcMar>
            <w:shd w:fill="F1F4F6"/>
          </w:tcPr>
          <w:p>
            <w:pPr>
              <w:spacing w:after="0" w:line="245" w:lineRule="auto"/>
            </w:pPr>
            <w:r>
              <w:rPr>
                <w:color w:val="000000"/>
                <w:sz w:val="18"/>
              </w:rPr>
              <w:t>Compete on tested curriculum and supported AI workflows</w:t>
            </w:r>
          </w:p>
        </w:tc>
      </w:tr>
      <w:tr>
        <w:trPr>
          <w:cantSplit/>
        </w:trPr>
        <w:tc>
          <w:tcPr>
            <w:tcW w:type="dxa" w:w="2376"/>
            <w:vAlign w:val="center"/>
            <w:tcMar>
              <w:top w:w="85" w:type="dxa"/>
              <w:left w:w="85" w:type="dxa"/>
              <w:bottom w:w="85" w:type="dxa"/>
              <w:right w:w="85" w:type="dxa"/>
            </w:tcMar>
            <w:shd w:fill="FFFFFF"/>
          </w:tcPr>
          <w:p>
            <w:pPr>
              <w:spacing w:after="0" w:line="245" w:lineRule="auto"/>
            </w:pPr>
            <w:r>
              <w:rPr>
                <w:color w:val="000000"/>
                <w:sz w:val="18"/>
              </w:rPr>
              <w:t>NVIDIA developer kit</w:t>
            </w:r>
          </w:p>
        </w:tc>
        <w:tc>
          <w:tcPr>
            <w:tcW w:type="dxa" w:w="3600"/>
            <w:vAlign w:val="center"/>
            <w:tcMar>
              <w:top w:w="85" w:type="dxa"/>
              <w:left w:w="85" w:type="dxa"/>
              <w:bottom w:w="85" w:type="dxa"/>
              <w:right w:w="85" w:type="dxa"/>
            </w:tcMar>
            <w:shd w:fill="FFFFFF"/>
          </w:tcPr>
          <w:p>
            <w:pPr>
              <w:spacing w:after="0" w:line="245" w:lineRule="auto"/>
            </w:pPr>
            <w:r>
              <w:rPr>
                <w:color w:val="000000"/>
                <w:sz w:val="18"/>
              </w:rPr>
              <w:t>Direct access to the NVIDIA software ecosystem</w:t>
            </w:r>
          </w:p>
        </w:tc>
        <w:tc>
          <w:tcPr>
            <w:tcW w:type="dxa" w:w="3917"/>
            <w:vAlign w:val="center"/>
            <w:tcMar>
              <w:top w:w="85" w:type="dxa"/>
              <w:left w:w="85" w:type="dxa"/>
              <w:bottom w:w="85" w:type="dxa"/>
              <w:right w:w="85" w:type="dxa"/>
            </w:tcMar>
            <w:shd w:fill="FFFFFF"/>
          </w:tcPr>
          <w:p>
            <w:pPr>
              <w:spacing w:after="0" w:line="245" w:lineRule="auto"/>
            </w:pPr>
            <w:r>
              <w:rPr>
                <w:color w:val="000000"/>
                <w:sz w:val="18"/>
              </w:rPr>
              <w:t>Compare complete local cost and support; use kits for development [4]</w:t>
            </w:r>
          </w:p>
        </w:tc>
      </w:tr>
      <w:tr>
        <w:trPr>
          <w:cantSplit/>
        </w:trPr>
        <w:tc>
          <w:tcPr>
            <w:tcW w:type="dxa" w:w="2376"/>
            <w:vAlign w:val="center"/>
            <w:tcMar>
              <w:top w:w="85" w:type="dxa"/>
              <w:left w:w="85" w:type="dxa"/>
              <w:bottom w:w="85" w:type="dxa"/>
              <w:right w:w="85" w:type="dxa"/>
            </w:tcMar>
            <w:shd w:fill="F1F4F6"/>
          </w:tcPr>
          <w:p>
            <w:pPr>
              <w:spacing w:after="0" w:line="245" w:lineRule="auto"/>
            </w:pPr>
            <w:r>
              <w:rPr>
                <w:color w:val="000000"/>
                <w:sz w:val="18"/>
              </w:rPr>
              <w:t>Quadro learning kit</w:t>
            </w:r>
          </w:p>
        </w:tc>
        <w:tc>
          <w:tcPr>
            <w:tcW w:type="dxa" w:w="3600"/>
            <w:vAlign w:val="center"/>
            <w:tcMar>
              <w:top w:w="85" w:type="dxa"/>
              <w:left w:w="85" w:type="dxa"/>
              <w:bottom w:w="85" w:type="dxa"/>
              <w:right w:w="85" w:type="dxa"/>
            </w:tcMar>
            <w:shd w:fill="F1F4F6"/>
          </w:tcPr>
          <w:p>
            <w:pPr>
              <w:spacing w:after="0" w:line="245" w:lineRule="auto"/>
            </w:pPr>
            <w:r>
              <w:rPr>
                <w:color w:val="000000"/>
                <w:sz w:val="18"/>
              </w:rPr>
              <w:t>Proposed integrated image, lessons and local support</w:t>
            </w:r>
          </w:p>
        </w:tc>
        <w:tc>
          <w:tcPr>
            <w:tcW w:type="dxa" w:w="3917"/>
            <w:vAlign w:val="center"/>
            <w:tcMar>
              <w:top w:w="85" w:type="dxa"/>
              <w:left w:w="85" w:type="dxa"/>
              <w:bottom w:w="85" w:type="dxa"/>
              <w:right w:w="85" w:type="dxa"/>
            </w:tcMar>
            <w:shd w:fill="F1F4F6"/>
          </w:tcPr>
          <w:p>
            <w:pPr>
              <w:spacing w:after="0" w:line="245" w:lineRule="auto"/>
            </w:pPr>
            <w:r>
              <w:rPr>
                <w:color w:val="000000"/>
                <w:sz w:val="18"/>
              </w:rPr>
              <w:t>Must prove reliability, teacher value and total cost</w:t>
            </w:r>
          </w:p>
        </w:tc>
      </w:tr>
    </w:tbl>
    <w:p>
      <w:pPr>
        <w:spacing w:after="40" w:before="0" w:line="40" w:lineRule="exact"/>
      </w:pPr>
    </w:p>
    <w:p>
      <w:pPr>
        <w:pStyle w:val="Heading2"/>
      </w:pPr>
      <w:r>
        <w:t>Validate willingness to buy</w:t>
      </w:r>
    </w:p>
    <w:p>
      <w:r>
        <w:t>During months 1 to 3, interview 10 instructors, five lab managers and five procurement or budget staff. Test the PHP 54,880 illustrated kit price, required accessories, lead times and support expectations. Secure two written pilot agreements and identify the budget owner. Treat expressions of interest separately from purchase orders.</w:t>
      </w:r>
    </w:p>
    <w:p>
      <w:r>
        <w:t>Run three pilot cohorts involving at least 30 learners using 10 engineering kits. These kits sit in development expenditure and are separate from saleable inventory. Proposed success targets are 80 percent completion of core labs, 70 percent completion of the final project, and a median 20 percentage point improvement on the same skills rubric. Record instructor setup time and support tickets. These are targets, not measured results.</w:t>
      </w:r>
    </w:p>
    <w:p>
      <w:pPr>
        <w:pStyle w:val="Heading2"/>
      </w:pPr>
      <w:r>
        <w:t>Sales targets and channel</w:t>
      </w:r>
    </w:p>
    <w:p>
      <w:r>
        <w:t>Year 1 assumes five institutional orders averaging 20 kits. Year 2 assumes 15 orders averaging 20 kits, or 300 additional sales. These are orders rather than 20 distinct institutions; repeat buyers may contribute. Maintain at least 45 qualified opportunities for the year 2 target and replace assumptions with observed conversion data.</w:t>
      </w:r>
    </w:p>
    <w:p>
      <w:r>
        <w:t>Sell directly to institutions through demonstrations, teacher workshops and small lab deployments. The model assumes six paid workshops in year 1 and 12 in year 2. Each workshop costs the institution PHP 25,000 excluding VAT. No subscription or grant income is included.</w:t>
      </w:r>
    </w:p>
    <w:p>
      <w:r>
        <w:t>A 10 kit lab costs PHP 548,800 at the illustrated VAT-inclusive price, before displays and other accessories. A workshop adds PHP 28,000 if the same VAT treatment applies. Compare this complete purchase with a school using existing PCs before committing to hardware volume.</w:t>
      </w:r>
    </w:p>
    <w:p>
      <w:r>
        <w:br w:type="page"/>
      </w:r>
    </w:p>
    <w:p>
      <w:pPr>
        <w:pStyle w:val="Heading1"/>
      </w:pPr>
      <w:r>
        <w:t>Operations staffing and compliance</w:t>
      </w:r>
    </w:p>
    <w:p>
      <w:r>
        <w:t>Use a small founder-led team and contract PCB assembly. The figures below represent monthly role allocations, not verified market salaries or four full-time positions. Increase the budget if full-time recruitment, statutory employment costs or specialist work cannot fit these allowances.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573"/>
        <w:gridCol w:w="2160"/>
        <w:gridCol w:w="2160"/>
      </w:tblGrid>
      <w:tr>
        <w:trPr>
          <w:cantSplit/>
          <w:tblHeader/>
        </w:trPr>
        <w:tc>
          <w:tcPr>
            <w:tcW w:type="dxa" w:w="5573"/>
            <w:vAlign w:val="center"/>
            <w:tcMar>
              <w:top w:w="85" w:type="dxa"/>
              <w:left w:w="85" w:type="dxa"/>
              <w:bottom w:w="85" w:type="dxa"/>
              <w:right w:w="85" w:type="dxa"/>
            </w:tcMar>
            <w:shd w:fill="243746"/>
          </w:tcPr>
          <w:p>
            <w:pPr>
              <w:spacing w:after="0" w:line="245" w:lineRule="auto"/>
            </w:pPr>
            <w:r>
              <w:rPr>
                <w:b/>
                <w:color w:val="FFFFFF"/>
                <w:sz w:val="18"/>
              </w:rPr>
              <w:t>Role or expense</w:t>
            </w:r>
          </w:p>
        </w:tc>
        <w:tc>
          <w:tcPr>
            <w:tcW w:type="dxa" w:w="2160"/>
            <w:vAlign w:val="center"/>
            <w:tcMar>
              <w:top w:w="85" w:type="dxa"/>
              <w:left w:w="85" w:type="dxa"/>
              <w:bottom w:w="85" w:type="dxa"/>
              <w:right w:w="85" w:type="dxa"/>
            </w:tcMar>
            <w:shd w:fill="243746"/>
          </w:tcPr>
          <w:p>
            <w:pPr>
              <w:spacing w:after="0" w:line="245" w:lineRule="auto"/>
              <w:jc w:val="right"/>
            </w:pPr>
            <w:r>
              <w:rPr>
                <w:b/>
                <w:color w:val="FFFFFF"/>
                <w:sz w:val="18"/>
              </w:rPr>
              <w:t>Year 1 PHP</w:t>
            </w:r>
          </w:p>
        </w:tc>
        <w:tc>
          <w:tcPr>
            <w:tcW w:type="dxa" w:w="2160"/>
            <w:vAlign w:val="center"/>
            <w:tcMar>
              <w:top w:w="85" w:type="dxa"/>
              <w:left w:w="85" w:type="dxa"/>
              <w:bottom w:w="85" w:type="dxa"/>
              <w:right w:w="85" w:type="dxa"/>
            </w:tcMar>
            <w:shd w:fill="243746"/>
          </w:tcPr>
          <w:p>
            <w:pPr>
              <w:spacing w:after="0" w:line="245" w:lineRule="auto"/>
              <w:jc w:val="right"/>
            </w:pPr>
            <w:r>
              <w:rPr>
                <w:b/>
                <w:color w:val="FFFFFF"/>
                <w:sz w:val="18"/>
              </w:rPr>
              <w:t>Year 2 PHP</w:t>
            </w:r>
          </w:p>
        </w:tc>
      </w:tr>
      <w:tr>
        <w:trPr>
          <w:cantSplit/>
        </w:trPr>
        <w:tc>
          <w:tcPr>
            <w:tcW w:type="dxa" w:w="5573"/>
            <w:vAlign w:val="center"/>
            <w:tcMar>
              <w:top w:w="85" w:type="dxa"/>
              <w:left w:w="85" w:type="dxa"/>
              <w:bottom w:w="85" w:type="dxa"/>
              <w:right w:w="85" w:type="dxa"/>
            </w:tcMar>
            <w:shd w:fill="FFFFFF"/>
          </w:tcPr>
          <w:p>
            <w:pPr>
              <w:spacing w:after="0" w:line="245" w:lineRule="auto"/>
            </w:pPr>
            <w:r>
              <w:rPr>
                <w:color w:val="000000"/>
                <w:sz w:val="18"/>
              </w:rPr>
              <w:t>Linux and BSP engineering</w:t>
            </w:r>
          </w:p>
        </w:tc>
        <w:tc>
          <w:tcPr>
            <w:tcW w:type="dxa" w:w="2160"/>
            <w:vAlign w:val="center"/>
            <w:tcMar>
              <w:top w:w="85" w:type="dxa"/>
              <w:left w:w="85" w:type="dxa"/>
              <w:bottom w:w="85" w:type="dxa"/>
              <w:right w:w="85" w:type="dxa"/>
            </w:tcMar>
            <w:shd w:fill="FFFFFF"/>
          </w:tcPr>
          <w:p>
            <w:pPr>
              <w:spacing w:after="0" w:line="245" w:lineRule="auto"/>
              <w:jc w:val="right"/>
            </w:pPr>
            <w:r>
              <w:rPr>
                <w:color w:val="000000"/>
                <w:sz w:val="18"/>
              </w:rPr>
              <w:t>45,000</w:t>
            </w:r>
          </w:p>
        </w:tc>
        <w:tc>
          <w:tcPr>
            <w:tcW w:type="dxa" w:w="2160"/>
            <w:vAlign w:val="center"/>
            <w:tcMar>
              <w:top w:w="85" w:type="dxa"/>
              <w:left w:w="85" w:type="dxa"/>
              <w:bottom w:w="85" w:type="dxa"/>
              <w:right w:w="85" w:type="dxa"/>
            </w:tcMar>
            <w:shd w:fill="FFFFFF"/>
          </w:tcPr>
          <w:p>
            <w:pPr>
              <w:spacing w:after="0" w:line="245" w:lineRule="auto"/>
              <w:jc w:val="right"/>
            </w:pPr>
            <w:r>
              <w:rPr>
                <w:color w:val="000000"/>
                <w:sz w:val="18"/>
              </w:rPr>
              <w:t>60,000</w:t>
            </w:r>
          </w:p>
        </w:tc>
      </w:tr>
      <w:tr>
        <w:trPr>
          <w:cantSplit/>
        </w:trPr>
        <w:tc>
          <w:tcPr>
            <w:tcW w:type="dxa" w:w="5573"/>
            <w:vAlign w:val="center"/>
            <w:tcMar>
              <w:top w:w="85" w:type="dxa"/>
              <w:left w:w="85" w:type="dxa"/>
              <w:bottom w:w="85" w:type="dxa"/>
              <w:right w:w="85" w:type="dxa"/>
            </w:tcMar>
            <w:shd w:fill="F1F4F6"/>
          </w:tcPr>
          <w:p>
            <w:pPr>
              <w:spacing w:after="0" w:line="245" w:lineRule="auto"/>
            </w:pPr>
            <w:r>
              <w:rPr>
                <w:color w:val="000000"/>
                <w:sz w:val="18"/>
              </w:rPr>
              <w:t>Hardware and manufacturing</w:t>
            </w:r>
          </w:p>
        </w:tc>
        <w:tc>
          <w:tcPr>
            <w:tcW w:type="dxa" w:w="2160"/>
            <w:vAlign w:val="center"/>
            <w:tcMar>
              <w:top w:w="85" w:type="dxa"/>
              <w:left w:w="85" w:type="dxa"/>
              <w:bottom w:w="85" w:type="dxa"/>
              <w:right w:w="85" w:type="dxa"/>
            </w:tcMar>
            <w:shd w:fill="F1F4F6"/>
          </w:tcPr>
          <w:p>
            <w:pPr>
              <w:spacing w:after="0" w:line="245" w:lineRule="auto"/>
              <w:jc w:val="right"/>
            </w:pPr>
            <w:r>
              <w:rPr>
                <w:color w:val="000000"/>
                <w:sz w:val="18"/>
              </w:rPr>
              <w:t>35,000</w:t>
            </w:r>
          </w:p>
        </w:tc>
        <w:tc>
          <w:tcPr>
            <w:tcW w:type="dxa" w:w="2160"/>
            <w:vAlign w:val="center"/>
            <w:tcMar>
              <w:top w:w="85" w:type="dxa"/>
              <w:left w:w="85" w:type="dxa"/>
              <w:bottom w:w="85" w:type="dxa"/>
              <w:right w:w="85" w:type="dxa"/>
            </w:tcMar>
            <w:shd w:fill="F1F4F6"/>
          </w:tcPr>
          <w:p>
            <w:pPr>
              <w:spacing w:after="0" w:line="245" w:lineRule="auto"/>
              <w:jc w:val="right"/>
            </w:pPr>
            <w:r>
              <w:rPr>
                <w:color w:val="000000"/>
                <w:sz w:val="18"/>
              </w:rPr>
              <w:t>45,000</w:t>
            </w:r>
          </w:p>
        </w:tc>
      </w:tr>
      <w:tr>
        <w:trPr>
          <w:cantSplit/>
        </w:trPr>
        <w:tc>
          <w:tcPr>
            <w:tcW w:type="dxa" w:w="5573"/>
            <w:vAlign w:val="center"/>
            <w:tcMar>
              <w:top w:w="85" w:type="dxa"/>
              <w:left w:w="85" w:type="dxa"/>
              <w:bottom w:w="85" w:type="dxa"/>
              <w:right w:w="85" w:type="dxa"/>
            </w:tcMar>
            <w:shd w:fill="FFFFFF"/>
          </w:tcPr>
          <w:p>
            <w:pPr>
              <w:spacing w:after="0" w:line="245" w:lineRule="auto"/>
            </w:pPr>
            <w:r>
              <w:rPr>
                <w:color w:val="000000"/>
                <w:sz w:val="18"/>
              </w:rPr>
              <w:t>Curriculum and teaching</w:t>
            </w:r>
          </w:p>
        </w:tc>
        <w:tc>
          <w:tcPr>
            <w:tcW w:type="dxa" w:w="2160"/>
            <w:vAlign w:val="center"/>
            <w:tcMar>
              <w:top w:w="85" w:type="dxa"/>
              <w:left w:w="85" w:type="dxa"/>
              <w:bottom w:w="85" w:type="dxa"/>
              <w:right w:w="85" w:type="dxa"/>
            </w:tcMar>
            <w:shd w:fill="FFFFFF"/>
          </w:tcPr>
          <w:p>
            <w:pPr>
              <w:spacing w:after="0" w:line="245" w:lineRule="auto"/>
              <w:jc w:val="right"/>
            </w:pPr>
            <w:r>
              <w:rPr>
                <w:color w:val="000000"/>
                <w:sz w:val="18"/>
              </w:rPr>
              <w:t>25,000</w:t>
            </w:r>
          </w:p>
        </w:tc>
        <w:tc>
          <w:tcPr>
            <w:tcW w:type="dxa" w:w="2160"/>
            <w:vAlign w:val="center"/>
            <w:tcMar>
              <w:top w:w="85" w:type="dxa"/>
              <w:left w:w="85" w:type="dxa"/>
              <w:bottom w:w="85" w:type="dxa"/>
              <w:right w:w="85" w:type="dxa"/>
            </w:tcMar>
            <w:shd w:fill="FFFFFF"/>
          </w:tcPr>
          <w:p>
            <w:pPr>
              <w:spacing w:after="0" w:line="245" w:lineRule="auto"/>
              <w:jc w:val="right"/>
            </w:pPr>
            <w:r>
              <w:rPr>
                <w:color w:val="000000"/>
                <w:sz w:val="18"/>
              </w:rPr>
              <w:t>35,000</w:t>
            </w:r>
          </w:p>
        </w:tc>
      </w:tr>
      <w:tr>
        <w:trPr>
          <w:cantSplit/>
        </w:trPr>
        <w:tc>
          <w:tcPr>
            <w:tcW w:type="dxa" w:w="5573"/>
            <w:vAlign w:val="center"/>
            <w:tcMar>
              <w:top w:w="85" w:type="dxa"/>
              <w:left w:w="85" w:type="dxa"/>
              <w:bottom w:w="85" w:type="dxa"/>
              <w:right w:w="85" w:type="dxa"/>
            </w:tcMar>
            <w:shd w:fill="F1F4F6"/>
          </w:tcPr>
          <w:p>
            <w:pPr>
              <w:spacing w:after="0" w:line="245" w:lineRule="auto"/>
            </w:pPr>
            <w:r>
              <w:rPr>
                <w:color w:val="000000"/>
                <w:sz w:val="18"/>
              </w:rPr>
              <w:t>Project and customer operations</w:t>
            </w:r>
          </w:p>
        </w:tc>
        <w:tc>
          <w:tcPr>
            <w:tcW w:type="dxa" w:w="2160"/>
            <w:vAlign w:val="center"/>
            <w:tcMar>
              <w:top w:w="85" w:type="dxa"/>
              <w:left w:w="85" w:type="dxa"/>
              <w:bottom w:w="85" w:type="dxa"/>
              <w:right w:w="85" w:type="dxa"/>
            </w:tcMar>
            <w:shd w:fill="F1F4F6"/>
          </w:tcPr>
          <w:p>
            <w:pPr>
              <w:spacing w:after="0" w:line="245" w:lineRule="auto"/>
              <w:jc w:val="right"/>
            </w:pPr>
            <w:r>
              <w:rPr>
                <w:color w:val="000000"/>
                <w:sz w:val="18"/>
              </w:rPr>
              <w:t>15,000</w:t>
            </w:r>
          </w:p>
        </w:tc>
        <w:tc>
          <w:tcPr>
            <w:tcW w:type="dxa" w:w="2160"/>
            <w:vAlign w:val="center"/>
            <w:tcMar>
              <w:top w:w="85" w:type="dxa"/>
              <w:left w:w="85" w:type="dxa"/>
              <w:bottom w:w="85" w:type="dxa"/>
              <w:right w:w="85" w:type="dxa"/>
            </w:tcMar>
            <w:shd w:fill="F1F4F6"/>
          </w:tcPr>
          <w:p>
            <w:pPr>
              <w:spacing w:after="0" w:line="245" w:lineRule="auto"/>
              <w:jc w:val="right"/>
            </w:pPr>
            <w:r>
              <w:rPr>
                <w:color w:val="000000"/>
                <w:sz w:val="18"/>
              </w:rPr>
              <w:t>20,000</w:t>
            </w:r>
          </w:p>
        </w:tc>
      </w:tr>
      <w:tr>
        <w:trPr>
          <w:cantSplit/>
        </w:trPr>
        <w:tc>
          <w:tcPr>
            <w:tcW w:type="dxa" w:w="5573"/>
            <w:vAlign w:val="center"/>
            <w:tcMar>
              <w:top w:w="85" w:type="dxa"/>
              <w:left w:w="85" w:type="dxa"/>
              <w:bottom w:w="85" w:type="dxa"/>
              <w:right w:w="85" w:type="dxa"/>
            </w:tcMar>
            <w:shd w:fill="FFFFFF"/>
          </w:tcPr>
          <w:p>
            <w:pPr>
              <w:spacing w:after="0" w:line="245" w:lineRule="auto"/>
            </w:pPr>
            <w:r>
              <w:rPr>
                <w:color w:val="000000"/>
                <w:sz w:val="18"/>
              </w:rPr>
              <w:t>Team allocation total</w:t>
            </w:r>
          </w:p>
        </w:tc>
        <w:tc>
          <w:tcPr>
            <w:tcW w:type="dxa" w:w="2160"/>
            <w:vAlign w:val="center"/>
            <w:tcMar>
              <w:top w:w="85" w:type="dxa"/>
              <w:left w:w="85" w:type="dxa"/>
              <w:bottom w:w="85" w:type="dxa"/>
              <w:right w:w="85" w:type="dxa"/>
            </w:tcMar>
            <w:shd w:fill="FFFFFF"/>
          </w:tcPr>
          <w:p>
            <w:pPr>
              <w:spacing w:after="0" w:line="245" w:lineRule="auto"/>
              <w:jc w:val="right"/>
            </w:pPr>
            <w:r>
              <w:rPr>
                <w:color w:val="000000"/>
                <w:sz w:val="18"/>
              </w:rPr>
              <w:t>120,000</w:t>
            </w:r>
          </w:p>
        </w:tc>
        <w:tc>
          <w:tcPr>
            <w:tcW w:type="dxa" w:w="2160"/>
            <w:vAlign w:val="center"/>
            <w:tcMar>
              <w:top w:w="85" w:type="dxa"/>
              <w:left w:w="85" w:type="dxa"/>
              <w:bottom w:w="85" w:type="dxa"/>
              <w:right w:w="85" w:type="dxa"/>
            </w:tcMar>
            <w:shd w:fill="FFFFFF"/>
          </w:tcPr>
          <w:p>
            <w:pPr>
              <w:spacing w:after="0" w:line="245" w:lineRule="auto"/>
              <w:jc w:val="right"/>
            </w:pPr>
            <w:r>
              <w:rPr>
                <w:color w:val="000000"/>
                <w:sz w:val="18"/>
              </w:rPr>
              <w:t>160,000</w:t>
            </w:r>
          </w:p>
        </w:tc>
      </w:tr>
      <w:tr>
        <w:trPr>
          <w:cantSplit/>
        </w:trPr>
        <w:tc>
          <w:tcPr>
            <w:tcW w:type="dxa" w:w="5573"/>
            <w:vAlign w:val="center"/>
            <w:tcMar>
              <w:top w:w="85" w:type="dxa"/>
              <w:left w:w="85" w:type="dxa"/>
              <w:bottom w:w="85" w:type="dxa"/>
              <w:right w:w="85" w:type="dxa"/>
            </w:tcMar>
            <w:shd w:fill="F1F4F6"/>
          </w:tcPr>
          <w:p>
            <w:pPr>
              <w:spacing w:after="0" w:line="245" w:lineRule="auto"/>
            </w:pPr>
            <w:r>
              <w:rPr>
                <w:color w:val="000000"/>
                <w:sz w:val="18"/>
              </w:rPr>
              <w:t>Facilities sales administration and warranty support</w:t>
            </w:r>
          </w:p>
        </w:tc>
        <w:tc>
          <w:tcPr>
            <w:tcW w:type="dxa" w:w="2160"/>
            <w:vAlign w:val="center"/>
            <w:tcMar>
              <w:top w:w="85" w:type="dxa"/>
              <w:left w:w="85" w:type="dxa"/>
              <w:bottom w:w="85" w:type="dxa"/>
              <w:right w:w="85" w:type="dxa"/>
            </w:tcMar>
            <w:shd w:fill="F1F4F6"/>
          </w:tcPr>
          <w:p>
            <w:pPr>
              <w:spacing w:after="0" w:line="245" w:lineRule="auto"/>
              <w:jc w:val="right"/>
            </w:pPr>
            <w:r>
              <w:rPr>
                <w:color w:val="000000"/>
                <w:sz w:val="18"/>
              </w:rPr>
              <w:t>30,000</w:t>
            </w:r>
          </w:p>
        </w:tc>
        <w:tc>
          <w:tcPr>
            <w:tcW w:type="dxa" w:w="2160"/>
            <w:vAlign w:val="center"/>
            <w:tcMar>
              <w:top w:w="85" w:type="dxa"/>
              <w:left w:w="85" w:type="dxa"/>
              <w:bottom w:w="85" w:type="dxa"/>
              <w:right w:w="85" w:type="dxa"/>
            </w:tcMar>
            <w:shd w:fill="F1F4F6"/>
          </w:tcPr>
          <w:p>
            <w:pPr>
              <w:spacing w:after="0" w:line="245" w:lineRule="auto"/>
              <w:jc w:val="right"/>
            </w:pPr>
            <w:r>
              <w:rPr>
                <w:color w:val="000000"/>
                <w:sz w:val="18"/>
              </w:rPr>
              <w:t>40,000</w:t>
            </w:r>
          </w:p>
        </w:tc>
      </w:tr>
      <w:tr>
        <w:trPr>
          <w:cantSplit/>
        </w:trPr>
        <w:tc>
          <w:tcPr>
            <w:tcW w:type="dxa" w:w="5573"/>
            <w:vAlign w:val="center"/>
            <w:tcMar>
              <w:top w:w="85" w:type="dxa"/>
              <w:left w:w="85" w:type="dxa"/>
              <w:bottom w:w="85" w:type="dxa"/>
              <w:right w:w="85" w:type="dxa"/>
            </w:tcMar>
            <w:shd w:fill="FFFFFF"/>
          </w:tcPr>
          <w:p>
            <w:pPr>
              <w:spacing w:after="0" w:line="245" w:lineRule="auto"/>
            </w:pPr>
            <w:r>
              <w:rPr>
                <w:color w:val="000000"/>
                <w:sz w:val="18"/>
              </w:rPr>
              <w:t>Recurring monthly cost</w:t>
            </w:r>
          </w:p>
        </w:tc>
        <w:tc>
          <w:tcPr>
            <w:tcW w:type="dxa" w:w="2160"/>
            <w:vAlign w:val="center"/>
            <w:tcMar>
              <w:top w:w="85" w:type="dxa"/>
              <w:left w:w="85" w:type="dxa"/>
              <w:bottom w:w="85" w:type="dxa"/>
              <w:right w:w="85" w:type="dxa"/>
            </w:tcMar>
            <w:shd w:fill="FFFFFF"/>
          </w:tcPr>
          <w:p>
            <w:pPr>
              <w:spacing w:after="0" w:line="245" w:lineRule="auto"/>
              <w:jc w:val="right"/>
            </w:pPr>
            <w:r>
              <w:rPr>
                <w:color w:val="000000"/>
                <w:sz w:val="18"/>
              </w:rPr>
              <w:t>150,000</w:t>
            </w:r>
          </w:p>
        </w:tc>
        <w:tc>
          <w:tcPr>
            <w:tcW w:type="dxa" w:w="2160"/>
            <w:vAlign w:val="center"/>
            <w:tcMar>
              <w:top w:w="85" w:type="dxa"/>
              <w:left w:w="85" w:type="dxa"/>
              <w:bottom w:w="85" w:type="dxa"/>
              <w:right w:w="85" w:type="dxa"/>
            </w:tcMar>
            <w:shd w:fill="FFFFFF"/>
          </w:tcPr>
          <w:p>
            <w:pPr>
              <w:spacing w:after="0" w:line="245" w:lineRule="auto"/>
              <w:jc w:val="right"/>
            </w:pPr>
            <w:r>
              <w:rPr>
                <w:color w:val="000000"/>
                <w:sz w:val="18"/>
              </w:rPr>
              <w:t>200,000</w:t>
            </w:r>
          </w:p>
        </w:tc>
      </w:tr>
    </w:tbl>
    <w:p>
      <w:pPr>
        <w:spacing w:after="40" w:before="0" w:line="40" w:lineRule="exact"/>
      </w:pPr>
    </w:p>
    <w:p>
      <w:pPr>
        <w:pStyle w:val="Heading2"/>
      </w:pPr>
      <w:r>
        <w:t>Release and manufacturing workflow</w:t>
      </w:r>
    </w:p>
    <w:p>
      <w:r>
        <w:t>Freeze one schematic, PCB revision and priced bill of materials. Resolve release-blocking ERC, DRC and schematic parity issues; document justified exceptions. Obtain independent design review, assembler feedback and product-specific compliance advice before ordering the sale batch. The recorded repair plan is the starting gate, not proof of a pass. [3]</w:t>
      </w:r>
    </w:p>
    <w:p>
      <w:r>
        <w:t>Qualify 10 prototypes under the intended power profile. Check power sequencing, accessible I/O safety, cooling, enclosure fit and repeatable flashing. Proposed acceptance targets include 20 cold boots per prototype and an eight hour mixed CPU, GPU and storage run without a crash or thermal shutdown. Test every sold unit for boot, storage, network, display and the supported AI lesson. Keep serial numbers, test logs and image versions.</w:t>
      </w:r>
    </w:p>
    <w:p>
      <w:r>
        <w:t>Maintain a recovery workstation, replacement stock and a return process. Aim to acknowledge support requests within two business days. Offer a proposed 12 month limited hardware warranty with terms reviewed for Philippine consumer obligations. Warranty repair and routine support are budgeted in recurring overhead; they are not extra revenue.</w:t>
      </w:r>
    </w:p>
    <w:p>
      <w:pPr>
        <w:pStyle w:val="Heading2"/>
      </w:pPr>
      <w:r>
        <w:t>Compliance before public sale</w:t>
      </w:r>
    </w:p>
    <w:p>
      <w:r>
        <w:t>Register the business and obtain applicable local permits, tax registration and invoicing arrangements. Use an accountant to confirm VAT treatment, import duties and credit timing. Consult an accredited adviser on product safety, EMC and whether any included radio configuration requires NTC approval. Omitting Wi-Fi from the base kit reduces initial scope but does not establish a blanket exemption. [10][11]</w:t>
      </w:r>
    </w:p>
    <w:p>
      <w:r>
        <w:t>Keep student data on the device by default. Provide a privacy notice and retention rules before collecting learner records or images; use anonymised teaching datasets. The Data Privacy Act applies to personal-data handling. Audit software, dataset and model licences before distribution. Preserve upstream notices and review Quadro trademark rights independently. [1][8][9][12]</w:t>
      </w:r>
    </w:p>
    <w:p>
      <w:r>
        <w:br w:type="page"/>
      </w:r>
    </w:p>
    <w:p>
      <w:pPr>
        <w:pStyle w:val="Heading1"/>
      </w:pPr>
      <w:r>
        <w:t>Financial assumptions and projected results</w:t>
      </w:r>
    </w:p>
    <w:p>
      <w:r>
        <w:t>All amounts are PHP and exclude VAT unless stated. This is an illustrative management model. Revenue, procurement costs and timing require confirmation before investment. No grants, recurring subscriptions or unpaid founder labour are counted as income or hidden cost savings.</w:t>
      </w:r>
    </w:p>
    <w:p>
      <w:r>
        <w:t>NVIDIA lists the production Orin Nano 8 GB at USD 399 for 1000 or more units. That is not a quote for this plan. An assumed PHP 60 per USD produces PHP 23,940 before local landed additions; the model targets PHP 27,000 landed in year 1. Obtain an actual small-volume quotation. Production modules and developer kits are different purchases. [4]</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573"/>
        <w:gridCol w:w="2160"/>
        <w:gridCol w:w="2160"/>
      </w:tblGrid>
      <w:tr>
        <w:trPr>
          <w:cantSplit/>
          <w:tblHeader/>
        </w:trPr>
        <w:tc>
          <w:tcPr>
            <w:tcW w:type="dxa" w:w="5573"/>
            <w:vAlign w:val="center"/>
            <w:tcMar>
              <w:top w:w="85" w:type="dxa"/>
              <w:left w:w="85" w:type="dxa"/>
              <w:bottom w:w="85" w:type="dxa"/>
              <w:right w:w="85" w:type="dxa"/>
            </w:tcMar>
            <w:shd w:fill="243746"/>
          </w:tcPr>
          <w:p>
            <w:pPr>
              <w:spacing w:after="0" w:line="245" w:lineRule="auto"/>
            </w:pPr>
            <w:r>
              <w:rPr>
                <w:b/>
                <w:color w:val="FFFFFF"/>
                <w:sz w:val="18"/>
              </w:rPr>
              <w:t>Cost per saleable kit</w:t>
            </w:r>
          </w:p>
        </w:tc>
        <w:tc>
          <w:tcPr>
            <w:tcW w:type="dxa" w:w="2160"/>
            <w:vAlign w:val="center"/>
            <w:tcMar>
              <w:top w:w="85" w:type="dxa"/>
              <w:left w:w="85" w:type="dxa"/>
              <w:bottom w:w="85" w:type="dxa"/>
              <w:right w:w="85" w:type="dxa"/>
            </w:tcMar>
            <w:shd w:fill="243746"/>
          </w:tcPr>
          <w:p>
            <w:pPr>
              <w:spacing w:after="0" w:line="245" w:lineRule="auto"/>
              <w:jc w:val="right"/>
            </w:pPr>
            <w:r>
              <w:rPr>
                <w:b/>
                <w:color w:val="FFFFFF"/>
                <w:sz w:val="18"/>
              </w:rPr>
              <w:t>Year 1</w:t>
            </w:r>
          </w:p>
        </w:tc>
        <w:tc>
          <w:tcPr>
            <w:tcW w:type="dxa" w:w="2160"/>
            <w:vAlign w:val="center"/>
            <w:tcMar>
              <w:top w:w="85" w:type="dxa"/>
              <w:left w:w="85" w:type="dxa"/>
              <w:bottom w:w="85" w:type="dxa"/>
              <w:right w:w="85" w:type="dxa"/>
            </w:tcMar>
            <w:shd w:fill="243746"/>
          </w:tcPr>
          <w:p>
            <w:pPr>
              <w:spacing w:after="0" w:line="245" w:lineRule="auto"/>
              <w:jc w:val="right"/>
            </w:pPr>
            <w:r>
              <w:rPr>
                <w:b/>
                <w:color w:val="FFFFFF"/>
                <w:sz w:val="18"/>
              </w:rPr>
              <w:t>Year 2</w:t>
            </w:r>
          </w:p>
        </w:tc>
      </w:tr>
      <w:tr>
        <w:trPr>
          <w:cantSplit/>
        </w:trPr>
        <w:tc>
          <w:tcPr>
            <w:tcW w:type="dxa" w:w="5573"/>
            <w:vAlign w:val="center"/>
            <w:tcMar>
              <w:top w:w="85" w:type="dxa"/>
              <w:left w:w="85" w:type="dxa"/>
              <w:bottom w:w="85" w:type="dxa"/>
              <w:right w:w="85" w:type="dxa"/>
            </w:tcMar>
            <w:shd w:fill="FFFFFF"/>
          </w:tcPr>
          <w:p>
            <w:pPr>
              <w:spacing w:after="0" w:line="245" w:lineRule="auto"/>
            </w:pPr>
            <w:r>
              <w:rPr>
                <w:color w:val="000000"/>
                <w:sz w:val="18"/>
              </w:rPr>
              <w:t>Production module landed</w:t>
            </w:r>
          </w:p>
        </w:tc>
        <w:tc>
          <w:tcPr>
            <w:tcW w:type="dxa" w:w="2160"/>
            <w:vAlign w:val="center"/>
            <w:tcMar>
              <w:top w:w="85" w:type="dxa"/>
              <w:left w:w="85" w:type="dxa"/>
              <w:bottom w:w="85" w:type="dxa"/>
              <w:right w:w="85" w:type="dxa"/>
            </w:tcMar>
            <w:shd w:fill="FFFFFF"/>
          </w:tcPr>
          <w:p>
            <w:pPr>
              <w:spacing w:after="0" w:line="245" w:lineRule="auto"/>
              <w:jc w:val="right"/>
            </w:pPr>
            <w:r>
              <w:rPr>
                <w:color w:val="000000"/>
                <w:sz w:val="18"/>
              </w:rPr>
              <w:t>27,000</w:t>
            </w:r>
          </w:p>
        </w:tc>
        <w:tc>
          <w:tcPr>
            <w:tcW w:type="dxa" w:w="2160"/>
            <w:vAlign w:val="center"/>
            <w:tcMar>
              <w:top w:w="85" w:type="dxa"/>
              <w:left w:w="85" w:type="dxa"/>
              <w:bottom w:w="85" w:type="dxa"/>
              <w:right w:w="85" w:type="dxa"/>
            </w:tcMar>
            <w:shd w:fill="FFFFFF"/>
          </w:tcPr>
          <w:p>
            <w:pPr>
              <w:spacing w:after="0" w:line="245" w:lineRule="auto"/>
              <w:jc w:val="right"/>
            </w:pPr>
            <w:r>
              <w:rPr>
                <w:color w:val="000000"/>
                <w:sz w:val="18"/>
              </w:rPr>
              <w:t>26,500</w:t>
            </w:r>
          </w:p>
        </w:tc>
      </w:tr>
      <w:tr>
        <w:trPr>
          <w:cantSplit/>
        </w:trPr>
        <w:tc>
          <w:tcPr>
            <w:tcW w:type="dxa" w:w="5573"/>
            <w:vAlign w:val="center"/>
            <w:tcMar>
              <w:top w:w="85" w:type="dxa"/>
              <w:left w:w="85" w:type="dxa"/>
              <w:bottom w:w="85" w:type="dxa"/>
              <w:right w:w="85" w:type="dxa"/>
            </w:tcMar>
            <w:shd w:fill="F1F4F6"/>
          </w:tcPr>
          <w:p>
            <w:pPr>
              <w:spacing w:after="0" w:line="245" w:lineRule="auto"/>
            </w:pPr>
            <w:r>
              <w:rPr>
                <w:color w:val="000000"/>
                <w:sz w:val="18"/>
              </w:rPr>
              <w:t>Carrier PCB components and assembly</w:t>
            </w:r>
          </w:p>
        </w:tc>
        <w:tc>
          <w:tcPr>
            <w:tcW w:type="dxa" w:w="2160"/>
            <w:vAlign w:val="center"/>
            <w:tcMar>
              <w:top w:w="85" w:type="dxa"/>
              <w:left w:w="85" w:type="dxa"/>
              <w:bottom w:w="85" w:type="dxa"/>
              <w:right w:w="85" w:type="dxa"/>
            </w:tcMar>
            <w:shd w:fill="F1F4F6"/>
          </w:tcPr>
          <w:p>
            <w:pPr>
              <w:spacing w:after="0" w:line="245" w:lineRule="auto"/>
              <w:jc w:val="right"/>
            </w:pPr>
            <w:r>
              <w:rPr>
                <w:color w:val="000000"/>
                <w:sz w:val="18"/>
              </w:rPr>
              <w:t>4,000</w:t>
            </w:r>
          </w:p>
        </w:tc>
        <w:tc>
          <w:tcPr>
            <w:tcW w:type="dxa" w:w="2160"/>
            <w:vAlign w:val="center"/>
            <w:tcMar>
              <w:top w:w="85" w:type="dxa"/>
              <w:left w:w="85" w:type="dxa"/>
              <w:bottom w:w="85" w:type="dxa"/>
              <w:right w:w="85" w:type="dxa"/>
            </w:tcMar>
            <w:shd w:fill="F1F4F6"/>
          </w:tcPr>
          <w:p>
            <w:pPr>
              <w:spacing w:after="0" w:line="245" w:lineRule="auto"/>
              <w:jc w:val="right"/>
            </w:pPr>
            <w:r>
              <w:rPr>
                <w:color w:val="000000"/>
                <w:sz w:val="18"/>
              </w:rPr>
              <w:t>3,200</w:t>
            </w:r>
          </w:p>
        </w:tc>
      </w:tr>
      <w:tr>
        <w:trPr>
          <w:cantSplit/>
        </w:trPr>
        <w:tc>
          <w:tcPr>
            <w:tcW w:type="dxa" w:w="5573"/>
            <w:vAlign w:val="center"/>
            <w:tcMar>
              <w:top w:w="85" w:type="dxa"/>
              <w:left w:w="85" w:type="dxa"/>
              <w:bottom w:w="85" w:type="dxa"/>
              <w:right w:w="85" w:type="dxa"/>
            </w:tcMar>
            <w:shd w:fill="FFFFFF"/>
          </w:tcPr>
          <w:p>
            <w:pPr>
              <w:spacing w:after="0" w:line="245" w:lineRule="auto"/>
            </w:pPr>
            <w:r>
              <w:rPr>
                <w:color w:val="000000"/>
                <w:sz w:val="18"/>
              </w:rPr>
              <w:t>128 GB NVMe storage</w:t>
            </w:r>
          </w:p>
        </w:tc>
        <w:tc>
          <w:tcPr>
            <w:tcW w:type="dxa" w:w="2160"/>
            <w:vAlign w:val="center"/>
            <w:tcMar>
              <w:top w:w="85" w:type="dxa"/>
              <w:left w:w="85" w:type="dxa"/>
              <w:bottom w:w="85" w:type="dxa"/>
              <w:right w:w="85" w:type="dxa"/>
            </w:tcMar>
            <w:shd w:fill="FFFFFF"/>
          </w:tcPr>
          <w:p>
            <w:pPr>
              <w:spacing w:after="0" w:line="245" w:lineRule="auto"/>
              <w:jc w:val="right"/>
            </w:pPr>
            <w:r>
              <w:rPr>
                <w:color w:val="000000"/>
                <w:sz w:val="18"/>
              </w:rPr>
              <w:t>1,600</w:t>
            </w:r>
          </w:p>
        </w:tc>
        <w:tc>
          <w:tcPr>
            <w:tcW w:type="dxa" w:w="2160"/>
            <w:vAlign w:val="center"/>
            <w:tcMar>
              <w:top w:w="85" w:type="dxa"/>
              <w:left w:w="85" w:type="dxa"/>
              <w:bottom w:w="85" w:type="dxa"/>
              <w:right w:w="85" w:type="dxa"/>
            </w:tcMar>
            <w:shd w:fill="FFFFFF"/>
          </w:tcPr>
          <w:p>
            <w:pPr>
              <w:spacing w:after="0" w:line="245" w:lineRule="auto"/>
              <w:jc w:val="right"/>
            </w:pPr>
            <w:r>
              <w:rPr>
                <w:color w:val="000000"/>
                <w:sz w:val="18"/>
              </w:rPr>
              <w:t>1,500</w:t>
            </w:r>
          </w:p>
        </w:tc>
      </w:tr>
      <w:tr>
        <w:trPr>
          <w:cantSplit/>
        </w:trPr>
        <w:tc>
          <w:tcPr>
            <w:tcW w:type="dxa" w:w="5573"/>
            <w:vAlign w:val="center"/>
            <w:tcMar>
              <w:top w:w="85" w:type="dxa"/>
              <w:left w:w="85" w:type="dxa"/>
              <w:bottom w:w="85" w:type="dxa"/>
              <w:right w:w="85" w:type="dxa"/>
            </w:tcMar>
            <w:shd w:fill="F1F4F6"/>
          </w:tcPr>
          <w:p>
            <w:pPr>
              <w:spacing w:after="0" w:line="245" w:lineRule="auto"/>
            </w:pPr>
            <w:r>
              <w:rPr>
                <w:color w:val="000000"/>
                <w:sz w:val="18"/>
              </w:rPr>
              <w:t>Power cooling and enclosure</w:t>
            </w:r>
          </w:p>
        </w:tc>
        <w:tc>
          <w:tcPr>
            <w:tcW w:type="dxa" w:w="2160"/>
            <w:vAlign w:val="center"/>
            <w:tcMar>
              <w:top w:w="85" w:type="dxa"/>
              <w:left w:w="85" w:type="dxa"/>
              <w:bottom w:w="85" w:type="dxa"/>
              <w:right w:w="85" w:type="dxa"/>
            </w:tcMar>
            <w:shd w:fill="F1F4F6"/>
          </w:tcPr>
          <w:p>
            <w:pPr>
              <w:spacing w:after="0" w:line="245" w:lineRule="auto"/>
              <w:jc w:val="right"/>
            </w:pPr>
            <w:r>
              <w:rPr>
                <w:color w:val="000000"/>
                <w:sz w:val="18"/>
              </w:rPr>
              <w:t>2,000</w:t>
            </w:r>
          </w:p>
        </w:tc>
        <w:tc>
          <w:tcPr>
            <w:tcW w:type="dxa" w:w="2160"/>
            <w:vAlign w:val="center"/>
            <w:tcMar>
              <w:top w:w="85" w:type="dxa"/>
              <w:left w:w="85" w:type="dxa"/>
              <w:bottom w:w="85" w:type="dxa"/>
              <w:right w:w="85" w:type="dxa"/>
            </w:tcMar>
            <w:shd w:fill="F1F4F6"/>
          </w:tcPr>
          <w:p>
            <w:pPr>
              <w:spacing w:after="0" w:line="245" w:lineRule="auto"/>
              <w:jc w:val="right"/>
            </w:pPr>
            <w:r>
              <w:rPr>
                <w:color w:val="000000"/>
                <w:sz w:val="18"/>
              </w:rPr>
              <w:t>1,900</w:t>
            </w:r>
          </w:p>
        </w:tc>
      </w:tr>
      <w:tr>
        <w:trPr>
          <w:cantSplit/>
        </w:trPr>
        <w:tc>
          <w:tcPr>
            <w:tcW w:type="dxa" w:w="5573"/>
            <w:vAlign w:val="center"/>
            <w:tcMar>
              <w:top w:w="85" w:type="dxa"/>
              <w:left w:w="85" w:type="dxa"/>
              <w:bottom w:w="85" w:type="dxa"/>
              <w:right w:w="85" w:type="dxa"/>
            </w:tcMar>
            <w:shd w:fill="FFFFFF"/>
          </w:tcPr>
          <w:p>
            <w:pPr>
              <w:spacing w:after="0" w:line="245" w:lineRule="auto"/>
            </w:pPr>
            <w:r>
              <w:rPr>
                <w:color w:val="000000"/>
                <w:sz w:val="18"/>
              </w:rPr>
              <w:t>Final assembly and functional test</w:t>
            </w:r>
          </w:p>
        </w:tc>
        <w:tc>
          <w:tcPr>
            <w:tcW w:type="dxa" w:w="2160"/>
            <w:vAlign w:val="center"/>
            <w:tcMar>
              <w:top w:w="85" w:type="dxa"/>
              <w:left w:w="85" w:type="dxa"/>
              <w:bottom w:w="85" w:type="dxa"/>
              <w:right w:w="85" w:type="dxa"/>
            </w:tcMar>
            <w:shd w:fill="FFFFFF"/>
          </w:tcPr>
          <w:p>
            <w:pPr>
              <w:spacing w:after="0" w:line="245" w:lineRule="auto"/>
              <w:jc w:val="right"/>
            </w:pPr>
            <w:r>
              <w:rPr>
                <w:color w:val="000000"/>
                <w:sz w:val="18"/>
              </w:rPr>
              <w:t>600</w:t>
            </w:r>
          </w:p>
        </w:tc>
        <w:tc>
          <w:tcPr>
            <w:tcW w:type="dxa" w:w="2160"/>
            <w:vAlign w:val="center"/>
            <w:tcMar>
              <w:top w:w="85" w:type="dxa"/>
              <w:left w:w="85" w:type="dxa"/>
              <w:bottom w:w="85" w:type="dxa"/>
              <w:right w:w="85" w:type="dxa"/>
            </w:tcMar>
            <w:shd w:fill="FFFFFF"/>
          </w:tcPr>
          <w:p>
            <w:pPr>
              <w:spacing w:after="0" w:line="245" w:lineRule="auto"/>
              <w:jc w:val="right"/>
            </w:pPr>
            <w:r>
              <w:rPr>
                <w:color w:val="000000"/>
                <w:sz w:val="18"/>
              </w:rPr>
              <w:t>600</w:t>
            </w:r>
          </w:p>
        </w:tc>
      </w:tr>
      <w:tr>
        <w:trPr>
          <w:cantSplit/>
        </w:trPr>
        <w:tc>
          <w:tcPr>
            <w:tcW w:type="dxa" w:w="5573"/>
            <w:vAlign w:val="center"/>
            <w:tcMar>
              <w:top w:w="85" w:type="dxa"/>
              <w:left w:w="85" w:type="dxa"/>
              <w:bottom w:w="85" w:type="dxa"/>
              <w:right w:w="85" w:type="dxa"/>
            </w:tcMar>
            <w:shd w:fill="F1F4F6"/>
          </w:tcPr>
          <w:p>
            <w:pPr>
              <w:spacing w:after="0" w:line="245" w:lineRule="auto"/>
            </w:pPr>
            <w:r>
              <w:rPr>
                <w:color w:val="000000"/>
                <w:sz w:val="18"/>
              </w:rPr>
              <w:t>Packaging and fulfillment</w:t>
            </w:r>
          </w:p>
        </w:tc>
        <w:tc>
          <w:tcPr>
            <w:tcW w:type="dxa" w:w="2160"/>
            <w:vAlign w:val="center"/>
            <w:tcMar>
              <w:top w:w="85" w:type="dxa"/>
              <w:left w:w="85" w:type="dxa"/>
              <w:bottom w:w="85" w:type="dxa"/>
              <w:right w:w="85" w:type="dxa"/>
            </w:tcMar>
            <w:shd w:fill="F1F4F6"/>
          </w:tcPr>
          <w:p>
            <w:pPr>
              <w:spacing w:after="0" w:line="245" w:lineRule="auto"/>
              <w:jc w:val="right"/>
            </w:pPr>
            <w:r>
              <w:rPr>
                <w:color w:val="000000"/>
                <w:sz w:val="18"/>
              </w:rPr>
              <w:t>800</w:t>
            </w:r>
          </w:p>
        </w:tc>
        <w:tc>
          <w:tcPr>
            <w:tcW w:type="dxa" w:w="2160"/>
            <w:vAlign w:val="center"/>
            <w:tcMar>
              <w:top w:w="85" w:type="dxa"/>
              <w:left w:w="85" w:type="dxa"/>
              <w:bottom w:w="85" w:type="dxa"/>
              <w:right w:w="85" w:type="dxa"/>
            </w:tcMar>
            <w:shd w:fill="F1F4F6"/>
          </w:tcPr>
          <w:p>
            <w:pPr>
              <w:spacing w:after="0" w:line="245" w:lineRule="auto"/>
              <w:jc w:val="right"/>
            </w:pPr>
            <w:r>
              <w:rPr>
                <w:color w:val="000000"/>
                <w:sz w:val="18"/>
              </w:rPr>
              <w:t>800</w:t>
            </w:r>
          </w:p>
        </w:tc>
      </w:tr>
      <w:tr>
        <w:trPr>
          <w:cantSplit/>
        </w:trPr>
        <w:tc>
          <w:tcPr>
            <w:tcW w:type="dxa" w:w="5573"/>
            <w:vAlign w:val="center"/>
            <w:tcMar>
              <w:top w:w="85" w:type="dxa"/>
              <w:left w:w="85" w:type="dxa"/>
              <w:bottom w:w="85" w:type="dxa"/>
              <w:right w:w="85" w:type="dxa"/>
            </w:tcMar>
            <w:shd w:fill="FFFFFF"/>
          </w:tcPr>
          <w:p>
            <w:pPr>
              <w:spacing w:after="0" w:line="245" w:lineRule="auto"/>
            </w:pPr>
            <w:r>
              <w:rPr>
                <w:color w:val="000000"/>
                <w:sz w:val="18"/>
              </w:rPr>
              <w:t>Total variable cost per kit</w:t>
            </w:r>
          </w:p>
        </w:tc>
        <w:tc>
          <w:tcPr>
            <w:tcW w:type="dxa" w:w="2160"/>
            <w:vAlign w:val="center"/>
            <w:tcMar>
              <w:top w:w="85" w:type="dxa"/>
              <w:left w:w="85" w:type="dxa"/>
              <w:bottom w:w="85" w:type="dxa"/>
              <w:right w:w="85" w:type="dxa"/>
            </w:tcMar>
            <w:shd w:fill="FFFFFF"/>
          </w:tcPr>
          <w:p>
            <w:pPr>
              <w:spacing w:after="0" w:line="245" w:lineRule="auto"/>
              <w:jc w:val="right"/>
            </w:pPr>
            <w:r>
              <w:rPr>
                <w:color w:val="000000"/>
                <w:sz w:val="18"/>
              </w:rPr>
              <w:t>36,000</w:t>
            </w:r>
          </w:p>
        </w:tc>
        <w:tc>
          <w:tcPr>
            <w:tcW w:type="dxa" w:w="2160"/>
            <w:vAlign w:val="center"/>
            <w:tcMar>
              <w:top w:w="85" w:type="dxa"/>
              <w:left w:w="85" w:type="dxa"/>
              <w:bottom w:w="85" w:type="dxa"/>
              <w:right w:w="85" w:type="dxa"/>
            </w:tcMar>
            <w:shd w:fill="FFFFFF"/>
          </w:tcPr>
          <w:p>
            <w:pPr>
              <w:spacing w:after="0" w:line="245" w:lineRule="auto"/>
              <w:jc w:val="right"/>
            </w:pPr>
            <w:r>
              <w:rPr>
                <w:color w:val="000000"/>
                <w:sz w:val="18"/>
              </w:rPr>
              <w:t>34,500</w:t>
            </w:r>
          </w:p>
        </w:tc>
      </w:tr>
    </w:tbl>
    <w:p>
      <w:pPr>
        <w:spacing w:after="40" w:before="0" w:line="40" w:lineRule="exact"/>
      </w:pPr>
    </w:p>
    <w:p>
      <w:r>
        <w:t>The base price is PHP 49,000 net, or PHP 54,880 with an illustrative 12 percent VAT. Unit contribution is PHP 13,000 in year 1 and PHP 14,500 in year 2. Cost reductions depend on quotes and yield. Workshops contribute PHP 15,000 each after PHP 10,000 of variable delivery cost. [11]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917"/>
        <w:gridCol w:w="1987"/>
        <w:gridCol w:w="1987"/>
        <w:gridCol w:w="2002"/>
      </w:tblGrid>
      <w:tr>
        <w:trPr>
          <w:cantSplit/>
          <w:tblHeader/>
        </w:trPr>
        <w:tc>
          <w:tcPr>
            <w:tcW w:type="dxa" w:w="3917"/>
            <w:vAlign w:val="center"/>
            <w:tcMar>
              <w:top w:w="85" w:type="dxa"/>
              <w:left w:w="85" w:type="dxa"/>
              <w:bottom w:w="85" w:type="dxa"/>
              <w:right w:w="85" w:type="dxa"/>
            </w:tcMar>
            <w:shd w:fill="243746"/>
          </w:tcPr>
          <w:p>
            <w:pPr>
              <w:spacing w:after="0" w:line="245" w:lineRule="auto"/>
            </w:pPr>
            <w:r>
              <w:rPr>
                <w:b/>
                <w:color w:val="FFFFFF"/>
                <w:sz w:val="18"/>
              </w:rPr>
              <w:t>Metric</w:t>
            </w:r>
          </w:p>
        </w:tc>
        <w:tc>
          <w:tcPr>
            <w:tcW w:type="dxa" w:w="1987"/>
            <w:vAlign w:val="center"/>
            <w:tcMar>
              <w:top w:w="85" w:type="dxa"/>
              <w:left w:w="85" w:type="dxa"/>
              <w:bottom w:w="85" w:type="dxa"/>
              <w:right w:w="85" w:type="dxa"/>
            </w:tcMar>
            <w:shd w:fill="243746"/>
          </w:tcPr>
          <w:p>
            <w:pPr>
              <w:spacing w:after="0" w:line="245" w:lineRule="auto"/>
              <w:jc w:val="right"/>
            </w:pPr>
            <w:r>
              <w:rPr>
                <w:b/>
                <w:color w:val="FFFFFF"/>
                <w:sz w:val="18"/>
              </w:rPr>
              <w:t>Year 1</w:t>
            </w:r>
          </w:p>
        </w:tc>
        <w:tc>
          <w:tcPr>
            <w:tcW w:type="dxa" w:w="1987"/>
            <w:vAlign w:val="center"/>
            <w:tcMar>
              <w:top w:w="85" w:type="dxa"/>
              <w:left w:w="85" w:type="dxa"/>
              <w:bottom w:w="85" w:type="dxa"/>
              <w:right w:w="85" w:type="dxa"/>
            </w:tcMar>
            <w:shd w:fill="243746"/>
          </w:tcPr>
          <w:p>
            <w:pPr>
              <w:spacing w:after="0" w:line="245" w:lineRule="auto"/>
              <w:jc w:val="right"/>
            </w:pPr>
            <w:r>
              <w:rPr>
                <w:b/>
                <w:color w:val="FFFFFF"/>
                <w:sz w:val="18"/>
              </w:rPr>
              <w:t>Year 2</w:t>
            </w:r>
          </w:p>
        </w:tc>
        <w:tc>
          <w:tcPr>
            <w:tcW w:type="dxa" w:w="2002"/>
            <w:vAlign w:val="center"/>
            <w:tcMar>
              <w:top w:w="85" w:type="dxa"/>
              <w:left w:w="85" w:type="dxa"/>
              <w:bottom w:w="85" w:type="dxa"/>
              <w:right w:w="85" w:type="dxa"/>
            </w:tcMar>
            <w:shd w:fill="243746"/>
          </w:tcPr>
          <w:p>
            <w:pPr>
              <w:spacing w:after="0" w:line="245" w:lineRule="auto"/>
              <w:jc w:val="right"/>
            </w:pPr>
            <w:r>
              <w:rPr>
                <w:b/>
                <w:color w:val="FFFFFF"/>
                <w:sz w:val="18"/>
              </w:rPr>
              <w:t>Total</w:t>
            </w:r>
          </w:p>
        </w:tc>
      </w:tr>
      <w:tr>
        <w:trPr>
          <w:cantSplit/>
        </w:trPr>
        <w:tc>
          <w:tcPr>
            <w:tcW w:type="dxa" w:w="3917"/>
            <w:vAlign w:val="center"/>
            <w:tcMar>
              <w:top w:w="85" w:type="dxa"/>
              <w:left w:w="85" w:type="dxa"/>
              <w:bottom w:w="85" w:type="dxa"/>
              <w:right w:w="85" w:type="dxa"/>
            </w:tcMar>
            <w:shd w:fill="FFFFFF"/>
          </w:tcPr>
          <w:p>
            <w:pPr>
              <w:spacing w:after="0" w:line="245" w:lineRule="auto"/>
            </w:pPr>
            <w:r>
              <w:rPr>
                <w:color w:val="000000"/>
                <w:sz w:val="18"/>
              </w:rPr>
              <w:t>Kits sold</w:t>
            </w:r>
          </w:p>
        </w:tc>
        <w:tc>
          <w:tcPr>
            <w:tcW w:type="dxa" w:w="1987"/>
            <w:vAlign w:val="center"/>
            <w:tcMar>
              <w:top w:w="85" w:type="dxa"/>
              <w:left w:w="85" w:type="dxa"/>
              <w:bottom w:w="85" w:type="dxa"/>
              <w:right w:w="85" w:type="dxa"/>
            </w:tcMar>
            <w:shd w:fill="FFFFFF"/>
          </w:tcPr>
          <w:p>
            <w:pPr>
              <w:spacing w:after="0" w:line="245" w:lineRule="auto"/>
              <w:jc w:val="right"/>
            </w:pPr>
            <w:r>
              <w:rPr>
                <w:color w:val="000000"/>
                <w:sz w:val="18"/>
              </w:rPr>
              <w:t>100</w:t>
            </w:r>
          </w:p>
        </w:tc>
        <w:tc>
          <w:tcPr>
            <w:tcW w:type="dxa" w:w="1987"/>
            <w:vAlign w:val="center"/>
            <w:tcMar>
              <w:top w:w="85" w:type="dxa"/>
              <w:left w:w="85" w:type="dxa"/>
              <w:bottom w:w="85" w:type="dxa"/>
              <w:right w:w="85" w:type="dxa"/>
            </w:tcMar>
            <w:shd w:fill="FFFFFF"/>
          </w:tcPr>
          <w:p>
            <w:pPr>
              <w:spacing w:after="0" w:line="245" w:lineRule="auto"/>
              <w:jc w:val="right"/>
            </w:pPr>
            <w:r>
              <w:rPr>
                <w:color w:val="000000"/>
                <w:sz w:val="18"/>
              </w:rPr>
              <w:t>300</w:t>
            </w:r>
          </w:p>
        </w:tc>
        <w:tc>
          <w:tcPr>
            <w:tcW w:type="dxa" w:w="2002"/>
            <w:vAlign w:val="center"/>
            <w:tcMar>
              <w:top w:w="85" w:type="dxa"/>
              <w:left w:w="85" w:type="dxa"/>
              <w:bottom w:w="85" w:type="dxa"/>
              <w:right w:w="85" w:type="dxa"/>
            </w:tcMar>
            <w:shd w:fill="FFFFFF"/>
          </w:tcPr>
          <w:p>
            <w:pPr>
              <w:spacing w:after="0" w:line="245" w:lineRule="auto"/>
              <w:jc w:val="right"/>
            </w:pPr>
            <w:r>
              <w:rPr>
                <w:color w:val="000000"/>
                <w:sz w:val="18"/>
              </w:rPr>
              <w:t>400</w:t>
            </w:r>
          </w:p>
        </w:tc>
      </w:tr>
      <w:tr>
        <w:trPr>
          <w:cantSplit/>
        </w:trPr>
        <w:tc>
          <w:tcPr>
            <w:tcW w:type="dxa" w:w="3917"/>
            <w:vAlign w:val="center"/>
            <w:tcMar>
              <w:top w:w="85" w:type="dxa"/>
              <w:left w:w="85" w:type="dxa"/>
              <w:bottom w:w="85" w:type="dxa"/>
              <w:right w:w="85" w:type="dxa"/>
            </w:tcMar>
            <w:shd w:fill="F1F4F6"/>
          </w:tcPr>
          <w:p>
            <w:pPr>
              <w:spacing w:after="0" w:line="245" w:lineRule="auto"/>
            </w:pPr>
            <w:r>
              <w:rPr>
                <w:color w:val="000000"/>
                <w:sz w:val="18"/>
              </w:rPr>
              <w:t>Hardware revenue</w:t>
            </w:r>
          </w:p>
        </w:tc>
        <w:tc>
          <w:tcPr>
            <w:tcW w:type="dxa" w:w="1987"/>
            <w:vAlign w:val="center"/>
            <w:tcMar>
              <w:top w:w="85" w:type="dxa"/>
              <w:left w:w="85" w:type="dxa"/>
              <w:bottom w:w="85" w:type="dxa"/>
              <w:right w:w="85" w:type="dxa"/>
            </w:tcMar>
            <w:shd w:fill="F1F4F6"/>
          </w:tcPr>
          <w:p>
            <w:pPr>
              <w:spacing w:after="0" w:line="245" w:lineRule="auto"/>
              <w:jc w:val="right"/>
            </w:pPr>
            <w:r>
              <w:rPr>
                <w:color w:val="000000"/>
                <w:sz w:val="18"/>
              </w:rPr>
              <w:t>4,900,000</w:t>
            </w:r>
          </w:p>
        </w:tc>
        <w:tc>
          <w:tcPr>
            <w:tcW w:type="dxa" w:w="1987"/>
            <w:vAlign w:val="center"/>
            <w:tcMar>
              <w:top w:w="85" w:type="dxa"/>
              <w:left w:w="85" w:type="dxa"/>
              <w:bottom w:w="85" w:type="dxa"/>
              <w:right w:w="85" w:type="dxa"/>
            </w:tcMar>
            <w:shd w:fill="F1F4F6"/>
          </w:tcPr>
          <w:p>
            <w:pPr>
              <w:spacing w:after="0" w:line="245" w:lineRule="auto"/>
              <w:jc w:val="right"/>
            </w:pPr>
            <w:r>
              <w:rPr>
                <w:color w:val="000000"/>
                <w:sz w:val="18"/>
              </w:rPr>
              <w:t>14,700,000</w:t>
            </w:r>
          </w:p>
        </w:tc>
        <w:tc>
          <w:tcPr>
            <w:tcW w:type="dxa" w:w="2002"/>
            <w:vAlign w:val="center"/>
            <w:tcMar>
              <w:top w:w="85" w:type="dxa"/>
              <w:left w:w="85" w:type="dxa"/>
              <w:bottom w:w="85" w:type="dxa"/>
              <w:right w:w="85" w:type="dxa"/>
            </w:tcMar>
            <w:shd w:fill="F1F4F6"/>
          </w:tcPr>
          <w:p>
            <w:pPr>
              <w:spacing w:after="0" w:line="245" w:lineRule="auto"/>
              <w:jc w:val="right"/>
            </w:pPr>
            <w:r>
              <w:rPr>
                <w:color w:val="000000"/>
                <w:sz w:val="18"/>
              </w:rPr>
              <w:t>19,600,000</w:t>
            </w:r>
          </w:p>
        </w:tc>
      </w:tr>
      <w:tr>
        <w:trPr>
          <w:cantSplit/>
        </w:trPr>
        <w:tc>
          <w:tcPr>
            <w:tcW w:type="dxa" w:w="3917"/>
            <w:vAlign w:val="center"/>
            <w:tcMar>
              <w:top w:w="85" w:type="dxa"/>
              <w:left w:w="85" w:type="dxa"/>
              <w:bottom w:w="85" w:type="dxa"/>
              <w:right w:w="85" w:type="dxa"/>
            </w:tcMar>
            <w:shd w:fill="FFFFFF"/>
          </w:tcPr>
          <w:p>
            <w:pPr>
              <w:spacing w:after="0" w:line="245" w:lineRule="auto"/>
            </w:pPr>
            <w:r>
              <w:rPr>
                <w:color w:val="000000"/>
                <w:sz w:val="18"/>
              </w:rPr>
              <w:t>Workshop revenue</w:t>
            </w:r>
          </w:p>
        </w:tc>
        <w:tc>
          <w:tcPr>
            <w:tcW w:type="dxa" w:w="1987"/>
            <w:vAlign w:val="center"/>
            <w:tcMar>
              <w:top w:w="85" w:type="dxa"/>
              <w:left w:w="85" w:type="dxa"/>
              <w:bottom w:w="85" w:type="dxa"/>
              <w:right w:w="85" w:type="dxa"/>
            </w:tcMar>
            <w:shd w:fill="FFFFFF"/>
          </w:tcPr>
          <w:p>
            <w:pPr>
              <w:spacing w:after="0" w:line="245" w:lineRule="auto"/>
              <w:jc w:val="right"/>
            </w:pPr>
            <w:r>
              <w:rPr>
                <w:color w:val="000000"/>
                <w:sz w:val="18"/>
              </w:rPr>
              <w:t>150,000</w:t>
            </w:r>
          </w:p>
        </w:tc>
        <w:tc>
          <w:tcPr>
            <w:tcW w:type="dxa" w:w="1987"/>
            <w:vAlign w:val="center"/>
            <w:tcMar>
              <w:top w:w="85" w:type="dxa"/>
              <w:left w:w="85" w:type="dxa"/>
              <w:bottom w:w="85" w:type="dxa"/>
              <w:right w:w="85" w:type="dxa"/>
            </w:tcMar>
            <w:shd w:fill="FFFFFF"/>
          </w:tcPr>
          <w:p>
            <w:pPr>
              <w:spacing w:after="0" w:line="245" w:lineRule="auto"/>
              <w:jc w:val="right"/>
            </w:pPr>
            <w:r>
              <w:rPr>
                <w:color w:val="000000"/>
                <w:sz w:val="18"/>
              </w:rPr>
              <w:t>300,000</w:t>
            </w:r>
          </w:p>
        </w:tc>
        <w:tc>
          <w:tcPr>
            <w:tcW w:type="dxa" w:w="2002"/>
            <w:vAlign w:val="center"/>
            <w:tcMar>
              <w:top w:w="85" w:type="dxa"/>
              <w:left w:w="85" w:type="dxa"/>
              <w:bottom w:w="85" w:type="dxa"/>
              <w:right w:w="85" w:type="dxa"/>
            </w:tcMar>
            <w:shd w:fill="FFFFFF"/>
          </w:tcPr>
          <w:p>
            <w:pPr>
              <w:spacing w:after="0" w:line="245" w:lineRule="auto"/>
              <w:jc w:val="right"/>
            </w:pPr>
            <w:r>
              <w:rPr>
                <w:color w:val="000000"/>
                <w:sz w:val="18"/>
              </w:rPr>
              <w:t>450,000</w:t>
            </w:r>
          </w:p>
        </w:tc>
      </w:tr>
      <w:tr>
        <w:trPr>
          <w:cantSplit/>
        </w:trPr>
        <w:tc>
          <w:tcPr>
            <w:tcW w:type="dxa" w:w="3917"/>
            <w:vAlign w:val="center"/>
            <w:tcMar>
              <w:top w:w="85" w:type="dxa"/>
              <w:left w:w="85" w:type="dxa"/>
              <w:bottom w:w="85" w:type="dxa"/>
              <w:right w:w="85" w:type="dxa"/>
            </w:tcMar>
            <w:shd w:fill="F1F4F6"/>
          </w:tcPr>
          <w:p>
            <w:pPr>
              <w:spacing w:after="0" w:line="245" w:lineRule="auto"/>
            </w:pPr>
            <w:r>
              <w:rPr>
                <w:color w:val="000000"/>
                <w:sz w:val="18"/>
              </w:rPr>
              <w:t>Total revenue</w:t>
            </w:r>
          </w:p>
        </w:tc>
        <w:tc>
          <w:tcPr>
            <w:tcW w:type="dxa" w:w="1987"/>
            <w:vAlign w:val="center"/>
            <w:tcMar>
              <w:top w:w="85" w:type="dxa"/>
              <w:left w:w="85" w:type="dxa"/>
              <w:bottom w:w="85" w:type="dxa"/>
              <w:right w:w="85" w:type="dxa"/>
            </w:tcMar>
            <w:shd w:fill="F1F4F6"/>
          </w:tcPr>
          <w:p>
            <w:pPr>
              <w:spacing w:after="0" w:line="245" w:lineRule="auto"/>
              <w:jc w:val="right"/>
            </w:pPr>
            <w:r>
              <w:rPr>
                <w:color w:val="000000"/>
                <w:sz w:val="18"/>
              </w:rPr>
              <w:t>5,050,000</w:t>
            </w:r>
          </w:p>
        </w:tc>
        <w:tc>
          <w:tcPr>
            <w:tcW w:type="dxa" w:w="1987"/>
            <w:vAlign w:val="center"/>
            <w:tcMar>
              <w:top w:w="85" w:type="dxa"/>
              <w:left w:w="85" w:type="dxa"/>
              <w:bottom w:w="85" w:type="dxa"/>
              <w:right w:w="85" w:type="dxa"/>
            </w:tcMar>
            <w:shd w:fill="F1F4F6"/>
          </w:tcPr>
          <w:p>
            <w:pPr>
              <w:spacing w:after="0" w:line="245" w:lineRule="auto"/>
              <w:jc w:val="right"/>
            </w:pPr>
            <w:r>
              <w:rPr>
                <w:color w:val="000000"/>
                <w:sz w:val="18"/>
              </w:rPr>
              <w:t>15,000,000</w:t>
            </w:r>
          </w:p>
        </w:tc>
        <w:tc>
          <w:tcPr>
            <w:tcW w:type="dxa" w:w="2002"/>
            <w:vAlign w:val="center"/>
            <w:tcMar>
              <w:top w:w="85" w:type="dxa"/>
              <w:left w:w="85" w:type="dxa"/>
              <w:bottom w:w="85" w:type="dxa"/>
              <w:right w:w="85" w:type="dxa"/>
            </w:tcMar>
            <w:shd w:fill="F1F4F6"/>
          </w:tcPr>
          <w:p>
            <w:pPr>
              <w:spacing w:after="0" w:line="245" w:lineRule="auto"/>
              <w:jc w:val="right"/>
            </w:pPr>
            <w:r>
              <w:rPr>
                <w:color w:val="000000"/>
                <w:sz w:val="18"/>
              </w:rPr>
              <w:t>20,050,000</w:t>
            </w:r>
          </w:p>
        </w:tc>
      </w:tr>
      <w:tr>
        <w:trPr>
          <w:cantSplit/>
        </w:trPr>
        <w:tc>
          <w:tcPr>
            <w:tcW w:type="dxa" w:w="3917"/>
            <w:vAlign w:val="center"/>
            <w:tcMar>
              <w:top w:w="85" w:type="dxa"/>
              <w:left w:w="85" w:type="dxa"/>
              <w:bottom w:w="85" w:type="dxa"/>
              <w:right w:w="85" w:type="dxa"/>
            </w:tcMar>
            <w:shd w:fill="FFFFFF"/>
          </w:tcPr>
          <w:p>
            <w:pPr>
              <w:spacing w:after="0" w:line="245" w:lineRule="auto"/>
            </w:pPr>
            <w:r>
              <w:rPr>
                <w:color w:val="000000"/>
                <w:sz w:val="18"/>
              </w:rPr>
              <w:t>Variable costs</w:t>
            </w:r>
          </w:p>
        </w:tc>
        <w:tc>
          <w:tcPr>
            <w:tcW w:type="dxa" w:w="1987"/>
            <w:vAlign w:val="center"/>
            <w:tcMar>
              <w:top w:w="85" w:type="dxa"/>
              <w:left w:w="85" w:type="dxa"/>
              <w:bottom w:w="85" w:type="dxa"/>
              <w:right w:w="85" w:type="dxa"/>
            </w:tcMar>
            <w:shd w:fill="FFFFFF"/>
          </w:tcPr>
          <w:p>
            <w:pPr>
              <w:spacing w:after="0" w:line="245" w:lineRule="auto"/>
              <w:jc w:val="right"/>
            </w:pPr>
            <w:r>
              <w:rPr>
                <w:color w:val="000000"/>
                <w:sz w:val="18"/>
              </w:rPr>
              <w:t>3,660,000</w:t>
            </w:r>
          </w:p>
        </w:tc>
        <w:tc>
          <w:tcPr>
            <w:tcW w:type="dxa" w:w="1987"/>
            <w:vAlign w:val="center"/>
            <w:tcMar>
              <w:top w:w="85" w:type="dxa"/>
              <w:left w:w="85" w:type="dxa"/>
              <w:bottom w:w="85" w:type="dxa"/>
              <w:right w:w="85" w:type="dxa"/>
            </w:tcMar>
            <w:shd w:fill="FFFFFF"/>
          </w:tcPr>
          <w:p>
            <w:pPr>
              <w:spacing w:after="0" w:line="245" w:lineRule="auto"/>
              <w:jc w:val="right"/>
            </w:pPr>
            <w:r>
              <w:rPr>
                <w:color w:val="000000"/>
                <w:sz w:val="18"/>
              </w:rPr>
              <w:t>10,470,000</w:t>
            </w:r>
          </w:p>
        </w:tc>
        <w:tc>
          <w:tcPr>
            <w:tcW w:type="dxa" w:w="2002"/>
            <w:vAlign w:val="center"/>
            <w:tcMar>
              <w:top w:w="85" w:type="dxa"/>
              <w:left w:w="85" w:type="dxa"/>
              <w:bottom w:w="85" w:type="dxa"/>
              <w:right w:w="85" w:type="dxa"/>
            </w:tcMar>
            <w:shd w:fill="FFFFFF"/>
          </w:tcPr>
          <w:p>
            <w:pPr>
              <w:spacing w:after="0" w:line="245" w:lineRule="auto"/>
              <w:jc w:val="right"/>
            </w:pPr>
            <w:r>
              <w:rPr>
                <w:color w:val="000000"/>
                <w:sz w:val="18"/>
              </w:rPr>
              <w:t>14,130,000</w:t>
            </w:r>
          </w:p>
        </w:tc>
      </w:tr>
      <w:tr>
        <w:trPr>
          <w:cantSplit/>
        </w:trPr>
        <w:tc>
          <w:tcPr>
            <w:tcW w:type="dxa" w:w="3917"/>
            <w:vAlign w:val="center"/>
            <w:tcMar>
              <w:top w:w="85" w:type="dxa"/>
              <w:left w:w="85" w:type="dxa"/>
              <w:bottom w:w="85" w:type="dxa"/>
              <w:right w:w="85" w:type="dxa"/>
            </w:tcMar>
            <w:shd w:fill="F1F4F6"/>
          </w:tcPr>
          <w:p>
            <w:pPr>
              <w:spacing w:after="0" w:line="245" w:lineRule="auto"/>
            </w:pPr>
            <w:r>
              <w:rPr>
                <w:color w:val="000000"/>
                <w:sz w:val="18"/>
              </w:rPr>
              <w:t>Contribution</w:t>
            </w:r>
          </w:p>
        </w:tc>
        <w:tc>
          <w:tcPr>
            <w:tcW w:type="dxa" w:w="1987"/>
            <w:vAlign w:val="center"/>
            <w:tcMar>
              <w:top w:w="85" w:type="dxa"/>
              <w:left w:w="85" w:type="dxa"/>
              <w:bottom w:w="85" w:type="dxa"/>
              <w:right w:w="85" w:type="dxa"/>
            </w:tcMar>
            <w:shd w:fill="F1F4F6"/>
          </w:tcPr>
          <w:p>
            <w:pPr>
              <w:spacing w:after="0" w:line="245" w:lineRule="auto"/>
              <w:jc w:val="right"/>
            </w:pPr>
            <w:r>
              <w:rPr>
                <w:color w:val="000000"/>
                <w:sz w:val="18"/>
              </w:rPr>
              <w:t>1,390,000</w:t>
            </w:r>
          </w:p>
        </w:tc>
        <w:tc>
          <w:tcPr>
            <w:tcW w:type="dxa" w:w="1987"/>
            <w:vAlign w:val="center"/>
            <w:tcMar>
              <w:top w:w="85" w:type="dxa"/>
              <w:left w:w="85" w:type="dxa"/>
              <w:bottom w:w="85" w:type="dxa"/>
              <w:right w:w="85" w:type="dxa"/>
            </w:tcMar>
            <w:shd w:fill="F1F4F6"/>
          </w:tcPr>
          <w:p>
            <w:pPr>
              <w:spacing w:after="0" w:line="245" w:lineRule="auto"/>
              <w:jc w:val="right"/>
            </w:pPr>
            <w:r>
              <w:rPr>
                <w:color w:val="000000"/>
                <w:sz w:val="18"/>
              </w:rPr>
              <w:t>4,530,000</w:t>
            </w:r>
          </w:p>
        </w:tc>
        <w:tc>
          <w:tcPr>
            <w:tcW w:type="dxa" w:w="2002"/>
            <w:vAlign w:val="center"/>
            <w:tcMar>
              <w:top w:w="85" w:type="dxa"/>
              <w:left w:w="85" w:type="dxa"/>
              <w:bottom w:w="85" w:type="dxa"/>
              <w:right w:w="85" w:type="dxa"/>
            </w:tcMar>
            <w:shd w:fill="F1F4F6"/>
          </w:tcPr>
          <w:p>
            <w:pPr>
              <w:spacing w:after="0" w:line="245" w:lineRule="auto"/>
              <w:jc w:val="right"/>
            </w:pPr>
            <w:r>
              <w:rPr>
                <w:color w:val="000000"/>
                <w:sz w:val="18"/>
              </w:rPr>
              <w:t>5,920,000</w:t>
            </w:r>
          </w:p>
        </w:tc>
      </w:tr>
      <w:tr>
        <w:trPr>
          <w:cantSplit/>
        </w:trPr>
        <w:tc>
          <w:tcPr>
            <w:tcW w:type="dxa" w:w="3917"/>
            <w:vAlign w:val="center"/>
            <w:tcMar>
              <w:top w:w="85" w:type="dxa"/>
              <w:left w:w="85" w:type="dxa"/>
              <w:bottom w:w="85" w:type="dxa"/>
              <w:right w:w="85" w:type="dxa"/>
            </w:tcMar>
            <w:shd w:fill="FFFFFF"/>
          </w:tcPr>
          <w:p>
            <w:pPr>
              <w:spacing w:after="0" w:line="245" w:lineRule="auto"/>
            </w:pPr>
            <w:r>
              <w:rPr>
                <w:color w:val="000000"/>
                <w:sz w:val="18"/>
              </w:rPr>
              <w:t>Recurring fixed costs</w:t>
            </w:r>
          </w:p>
        </w:tc>
        <w:tc>
          <w:tcPr>
            <w:tcW w:type="dxa" w:w="1987"/>
            <w:vAlign w:val="center"/>
            <w:tcMar>
              <w:top w:w="85" w:type="dxa"/>
              <w:left w:w="85" w:type="dxa"/>
              <w:bottom w:w="85" w:type="dxa"/>
              <w:right w:w="85" w:type="dxa"/>
            </w:tcMar>
            <w:shd w:fill="FFFFFF"/>
          </w:tcPr>
          <w:p>
            <w:pPr>
              <w:spacing w:after="0" w:line="245" w:lineRule="auto"/>
              <w:jc w:val="right"/>
            </w:pPr>
            <w:r>
              <w:rPr>
                <w:color w:val="000000"/>
                <w:sz w:val="18"/>
              </w:rPr>
              <w:t>1,800,000</w:t>
            </w:r>
          </w:p>
        </w:tc>
        <w:tc>
          <w:tcPr>
            <w:tcW w:type="dxa" w:w="1987"/>
            <w:vAlign w:val="center"/>
            <w:tcMar>
              <w:top w:w="85" w:type="dxa"/>
              <w:left w:w="85" w:type="dxa"/>
              <w:bottom w:w="85" w:type="dxa"/>
              <w:right w:w="85" w:type="dxa"/>
            </w:tcMar>
            <w:shd w:fill="FFFFFF"/>
          </w:tcPr>
          <w:p>
            <w:pPr>
              <w:spacing w:after="0" w:line="245" w:lineRule="auto"/>
              <w:jc w:val="right"/>
            </w:pPr>
            <w:r>
              <w:rPr>
                <w:color w:val="000000"/>
                <w:sz w:val="18"/>
              </w:rPr>
              <w:t>2,400,000</w:t>
            </w:r>
          </w:p>
        </w:tc>
        <w:tc>
          <w:tcPr>
            <w:tcW w:type="dxa" w:w="2002"/>
            <w:vAlign w:val="center"/>
            <w:tcMar>
              <w:top w:w="85" w:type="dxa"/>
              <w:left w:w="85" w:type="dxa"/>
              <w:bottom w:w="85" w:type="dxa"/>
              <w:right w:w="85" w:type="dxa"/>
            </w:tcMar>
            <w:shd w:fill="FFFFFF"/>
          </w:tcPr>
          <w:p>
            <w:pPr>
              <w:spacing w:after="0" w:line="245" w:lineRule="auto"/>
              <w:jc w:val="right"/>
            </w:pPr>
            <w:r>
              <w:rPr>
                <w:color w:val="000000"/>
                <w:sz w:val="18"/>
              </w:rPr>
              <w:t>4,200,000</w:t>
            </w:r>
          </w:p>
        </w:tc>
      </w:tr>
      <w:tr>
        <w:trPr>
          <w:cantSplit/>
        </w:trPr>
        <w:tc>
          <w:tcPr>
            <w:tcW w:type="dxa" w:w="3917"/>
            <w:vAlign w:val="center"/>
            <w:tcMar>
              <w:top w:w="85" w:type="dxa"/>
              <w:left w:w="85" w:type="dxa"/>
              <w:bottom w:w="85" w:type="dxa"/>
              <w:right w:w="85" w:type="dxa"/>
            </w:tcMar>
            <w:shd w:fill="F1F4F6"/>
          </w:tcPr>
          <w:p>
            <w:pPr>
              <w:spacing w:after="0" w:line="245" w:lineRule="auto"/>
            </w:pPr>
            <w:r>
              <w:rPr>
                <w:color w:val="000000"/>
                <w:sz w:val="18"/>
              </w:rPr>
              <w:t>One time development expense</w:t>
            </w:r>
          </w:p>
        </w:tc>
        <w:tc>
          <w:tcPr>
            <w:tcW w:type="dxa" w:w="1987"/>
            <w:vAlign w:val="center"/>
            <w:tcMar>
              <w:top w:w="85" w:type="dxa"/>
              <w:left w:w="85" w:type="dxa"/>
              <w:bottom w:w="85" w:type="dxa"/>
              <w:right w:w="85" w:type="dxa"/>
            </w:tcMar>
            <w:shd w:fill="F1F4F6"/>
          </w:tcPr>
          <w:p>
            <w:pPr>
              <w:spacing w:after="0" w:line="245" w:lineRule="auto"/>
              <w:jc w:val="right"/>
            </w:pPr>
            <w:r>
              <w:rPr>
                <w:color w:val="000000"/>
                <w:sz w:val="18"/>
              </w:rPr>
              <w:t>900,000</w:t>
            </w:r>
          </w:p>
        </w:tc>
        <w:tc>
          <w:tcPr>
            <w:tcW w:type="dxa" w:w="1987"/>
            <w:vAlign w:val="center"/>
            <w:tcMar>
              <w:top w:w="85" w:type="dxa"/>
              <w:left w:w="85" w:type="dxa"/>
              <w:bottom w:w="85" w:type="dxa"/>
              <w:right w:w="85" w:type="dxa"/>
            </w:tcMar>
            <w:shd w:fill="F1F4F6"/>
          </w:tcPr>
          <w:p>
            <w:pPr>
              <w:spacing w:after="0" w:line="245" w:lineRule="auto"/>
              <w:jc w:val="right"/>
            </w:pPr>
            <w:r>
              <w:rPr>
                <w:color w:val="000000"/>
                <w:sz w:val="18"/>
              </w:rPr>
              <w:t>450,000</w:t>
            </w:r>
          </w:p>
        </w:tc>
        <w:tc>
          <w:tcPr>
            <w:tcW w:type="dxa" w:w="2002"/>
            <w:vAlign w:val="center"/>
            <w:tcMar>
              <w:top w:w="85" w:type="dxa"/>
              <w:left w:w="85" w:type="dxa"/>
              <w:bottom w:w="85" w:type="dxa"/>
              <w:right w:w="85" w:type="dxa"/>
            </w:tcMar>
            <w:shd w:fill="F1F4F6"/>
          </w:tcPr>
          <w:p>
            <w:pPr>
              <w:spacing w:after="0" w:line="245" w:lineRule="auto"/>
              <w:jc w:val="right"/>
            </w:pPr>
            <w:r>
              <w:rPr>
                <w:color w:val="000000"/>
                <w:sz w:val="18"/>
              </w:rPr>
              <w:t>1,350,000</w:t>
            </w:r>
          </w:p>
        </w:tc>
      </w:tr>
      <w:tr>
        <w:trPr>
          <w:cantSplit/>
        </w:trPr>
        <w:tc>
          <w:tcPr>
            <w:tcW w:type="dxa" w:w="3917"/>
            <w:vAlign w:val="center"/>
            <w:tcMar>
              <w:top w:w="85" w:type="dxa"/>
              <w:left w:w="85" w:type="dxa"/>
              <w:bottom w:w="85" w:type="dxa"/>
              <w:right w:w="85" w:type="dxa"/>
            </w:tcMar>
            <w:shd w:fill="FFFFFF"/>
          </w:tcPr>
          <w:p>
            <w:pPr>
              <w:spacing w:after="0" w:line="245" w:lineRule="auto"/>
            </w:pPr>
            <w:r>
              <w:rPr>
                <w:color w:val="000000"/>
                <w:sz w:val="18"/>
              </w:rPr>
              <w:t>Result before tax depreciation financing</w:t>
            </w:r>
          </w:p>
        </w:tc>
        <w:tc>
          <w:tcPr>
            <w:tcW w:type="dxa" w:w="1987"/>
            <w:vAlign w:val="center"/>
            <w:tcMar>
              <w:top w:w="85" w:type="dxa"/>
              <w:left w:w="85" w:type="dxa"/>
              <w:bottom w:w="85" w:type="dxa"/>
              <w:right w:w="85" w:type="dxa"/>
            </w:tcMar>
            <w:shd w:fill="FFFFFF"/>
          </w:tcPr>
          <w:p>
            <w:pPr>
              <w:spacing w:after="0" w:line="245" w:lineRule="auto"/>
              <w:jc w:val="right"/>
            </w:pPr>
            <w:r>
              <w:rPr>
                <w:color w:val="000000"/>
                <w:sz w:val="18"/>
              </w:rPr>
              <w:t>-1,310,000</w:t>
            </w:r>
          </w:p>
        </w:tc>
        <w:tc>
          <w:tcPr>
            <w:tcW w:type="dxa" w:w="1987"/>
            <w:vAlign w:val="center"/>
            <w:tcMar>
              <w:top w:w="85" w:type="dxa"/>
              <w:left w:w="85" w:type="dxa"/>
              <w:bottom w:w="85" w:type="dxa"/>
              <w:right w:w="85" w:type="dxa"/>
            </w:tcMar>
            <w:shd w:fill="FFFFFF"/>
          </w:tcPr>
          <w:p>
            <w:pPr>
              <w:spacing w:after="0" w:line="245" w:lineRule="auto"/>
              <w:jc w:val="right"/>
            </w:pPr>
            <w:r>
              <w:rPr>
                <w:color w:val="000000"/>
                <w:sz w:val="18"/>
              </w:rPr>
              <w:t>1,680,000</w:t>
            </w:r>
          </w:p>
        </w:tc>
        <w:tc>
          <w:tcPr>
            <w:tcW w:type="dxa" w:w="2002"/>
            <w:vAlign w:val="center"/>
            <w:tcMar>
              <w:top w:w="85" w:type="dxa"/>
              <w:left w:w="85" w:type="dxa"/>
              <w:bottom w:w="85" w:type="dxa"/>
              <w:right w:w="85" w:type="dxa"/>
            </w:tcMar>
            <w:shd w:fill="FFFFFF"/>
          </w:tcPr>
          <w:p>
            <w:pPr>
              <w:spacing w:after="0" w:line="245" w:lineRule="auto"/>
              <w:jc w:val="right"/>
            </w:pPr>
            <w:r>
              <w:rPr>
                <w:color w:val="000000"/>
                <w:sz w:val="18"/>
              </w:rPr>
              <w:t>370,000</w:t>
            </w:r>
          </w:p>
        </w:tc>
      </w:tr>
      <w:tr>
        <w:trPr>
          <w:cantSplit/>
        </w:trPr>
        <w:tc>
          <w:tcPr>
            <w:tcW w:type="dxa" w:w="3917"/>
            <w:vAlign w:val="center"/>
            <w:tcMar>
              <w:top w:w="85" w:type="dxa"/>
              <w:left w:w="85" w:type="dxa"/>
              <w:bottom w:w="85" w:type="dxa"/>
              <w:right w:w="85" w:type="dxa"/>
            </w:tcMar>
            <w:shd w:fill="F1F4F6"/>
          </w:tcPr>
          <w:p>
            <w:pPr>
              <w:spacing w:after="0" w:line="245" w:lineRule="auto"/>
            </w:pPr>
            <w:r>
              <w:rPr>
                <w:color w:val="000000"/>
                <w:sz w:val="18"/>
              </w:rPr>
              <w:t>Equipment capex outside result</w:t>
            </w:r>
          </w:p>
        </w:tc>
        <w:tc>
          <w:tcPr>
            <w:tcW w:type="dxa" w:w="1987"/>
            <w:vAlign w:val="center"/>
            <w:tcMar>
              <w:top w:w="85" w:type="dxa"/>
              <w:left w:w="85" w:type="dxa"/>
              <w:bottom w:w="85" w:type="dxa"/>
              <w:right w:w="85" w:type="dxa"/>
            </w:tcMar>
            <w:shd w:fill="F1F4F6"/>
          </w:tcPr>
          <w:p>
            <w:pPr>
              <w:spacing w:after="0" w:line="245" w:lineRule="auto"/>
              <w:jc w:val="right"/>
            </w:pPr>
            <w:r>
              <w:rPr>
                <w:color w:val="000000"/>
                <w:sz w:val="18"/>
              </w:rPr>
              <w:t>200,000</w:t>
            </w:r>
          </w:p>
        </w:tc>
        <w:tc>
          <w:tcPr>
            <w:tcW w:type="dxa" w:w="1987"/>
            <w:vAlign w:val="center"/>
            <w:tcMar>
              <w:top w:w="85" w:type="dxa"/>
              <w:left w:w="85" w:type="dxa"/>
              <w:bottom w:w="85" w:type="dxa"/>
              <w:right w:w="85" w:type="dxa"/>
            </w:tcMar>
            <w:shd w:fill="F1F4F6"/>
          </w:tcPr>
          <w:p>
            <w:pPr>
              <w:spacing w:after="0" w:line="245" w:lineRule="auto"/>
              <w:jc w:val="right"/>
            </w:pPr>
            <w:r>
              <w:rPr>
                <w:color w:val="000000"/>
                <w:sz w:val="18"/>
              </w:rPr>
              <w:t>100,000</w:t>
            </w:r>
          </w:p>
        </w:tc>
        <w:tc>
          <w:tcPr>
            <w:tcW w:type="dxa" w:w="2002"/>
            <w:vAlign w:val="center"/>
            <w:tcMar>
              <w:top w:w="85" w:type="dxa"/>
              <w:left w:w="85" w:type="dxa"/>
              <w:bottom w:w="85" w:type="dxa"/>
              <w:right w:w="85" w:type="dxa"/>
            </w:tcMar>
            <w:shd w:fill="F1F4F6"/>
          </w:tcPr>
          <w:p>
            <w:pPr>
              <w:spacing w:after="0" w:line="245" w:lineRule="auto"/>
              <w:jc w:val="right"/>
            </w:pPr>
            <w:r>
              <w:rPr>
                <w:color w:val="000000"/>
                <w:sz w:val="18"/>
              </w:rPr>
              <w:t>300,000</w:t>
            </w:r>
          </w:p>
        </w:tc>
      </w:tr>
    </w:tbl>
    <w:p>
      <w:pPr>
        <w:spacing w:after="40" w:before="0" w:line="40" w:lineRule="exact"/>
      </w:pPr>
    </w:p>
    <w:p>
      <w:r>
        <w:t>Year 1 development comprises PHP 480,000 for prototype units and board spins, PHP 100,000 for OS release work, PHP 80,000 for pilots, PHP 140,000 for external validation and compliance, and PHP 100,000 for production setup. These are external allowances beyond team labour. Year 2 adds PHP 450,000 for validation, release and curriculum improvements.</w:t>
      </w:r>
    </w:p>
    <w:p>
      <w:r>
        <w:t>Development is expensed for this decision model. Equipment is shown separately as a cash purchase; depreciation, income tax, financing and owner distributions are excluded. Recoverable VAT is excluded from costs. Nonrecoverable taxes must be added when known.</w:t>
      </w:r>
    </w:p>
    <w:p>
      <w:r>
        <w:br w:type="page"/>
      </w:r>
    </w:p>
    <w:p>
      <w:pPr>
        <w:pStyle w:val="Heading1"/>
      </w:pPr>
      <w:r>
        <w:t>Cash needs break even and sensitivity</w:t>
      </w:r>
    </w:p>
    <w:p>
      <w:r>
        <w:t>The cash model assumes no deposits and hardware collection two months after shipment. Workshop fees are collected in the delivery month. Unit costs are paid in full when a batch is built. All monthly outflows precede receipts when calculating the conservative trough. Opening cash is zero before financing.</w:t>
      </w:r>
    </w:p>
    <w:p>
      <w:r>
        <w:t>Year 1 ships 10, 10, 15, 15, 20 and 30 kits in months 7 to 12. It prepays 50 kits in month 6 and 50 in month 10. Year 2 ships 25 kits monthly and prepays 75 kit batches in months 13, 16, 19 and 22. Supply lead times must fit these delivery dates; earlier deposits increase the funding need.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133"/>
        <w:gridCol w:w="2880"/>
        <w:gridCol w:w="2880"/>
      </w:tblGrid>
      <w:tr>
        <w:trPr>
          <w:cantSplit/>
          <w:tblHeader/>
        </w:trPr>
        <w:tc>
          <w:tcPr>
            <w:tcW w:type="dxa" w:w="4133"/>
            <w:vAlign w:val="center"/>
            <w:tcMar>
              <w:top w:w="85" w:type="dxa"/>
              <w:left w:w="85" w:type="dxa"/>
              <w:bottom w:w="85" w:type="dxa"/>
              <w:right w:w="85" w:type="dxa"/>
            </w:tcMar>
            <w:shd w:fill="243746"/>
          </w:tcPr>
          <w:p>
            <w:pPr>
              <w:spacing w:after="0" w:line="245" w:lineRule="auto"/>
            </w:pPr>
            <w:r>
              <w:rPr>
                <w:b/>
                <w:color w:val="FFFFFF"/>
                <w:sz w:val="18"/>
              </w:rPr>
              <w:t>Period</w:t>
            </w:r>
          </w:p>
        </w:tc>
        <w:tc>
          <w:tcPr>
            <w:tcW w:type="dxa" w:w="2880"/>
            <w:vAlign w:val="center"/>
            <w:tcMar>
              <w:top w:w="85" w:type="dxa"/>
              <w:left w:w="85" w:type="dxa"/>
              <w:bottom w:w="85" w:type="dxa"/>
              <w:right w:w="85" w:type="dxa"/>
            </w:tcMar>
            <w:shd w:fill="243746"/>
          </w:tcPr>
          <w:p>
            <w:pPr>
              <w:spacing w:after="0" w:line="245" w:lineRule="auto"/>
              <w:jc w:val="right"/>
            </w:pPr>
            <w:r>
              <w:rPr>
                <w:b/>
                <w:color w:val="FFFFFF"/>
                <w:sz w:val="18"/>
              </w:rPr>
              <w:t>Net cash PHP m</w:t>
            </w:r>
          </w:p>
        </w:tc>
        <w:tc>
          <w:tcPr>
            <w:tcW w:type="dxa" w:w="2880"/>
            <w:vAlign w:val="center"/>
            <w:tcMar>
              <w:top w:w="85" w:type="dxa"/>
              <w:left w:w="85" w:type="dxa"/>
              <w:bottom w:w="85" w:type="dxa"/>
              <w:right w:w="85" w:type="dxa"/>
            </w:tcMar>
            <w:shd w:fill="243746"/>
          </w:tcPr>
          <w:p>
            <w:pPr>
              <w:spacing w:after="0" w:line="245" w:lineRule="auto"/>
              <w:jc w:val="right"/>
            </w:pPr>
            <w:r>
              <w:rPr>
                <w:b/>
                <w:color w:val="FFFFFF"/>
                <w:sz w:val="18"/>
              </w:rPr>
              <w:t>Cumulative PHP m</w:t>
            </w:r>
          </w:p>
        </w:tc>
      </w:tr>
      <w:tr>
        <w:trPr>
          <w:cantSplit/>
        </w:trPr>
        <w:tc>
          <w:tcPr>
            <w:tcW w:type="dxa" w:w="4133"/>
            <w:vAlign w:val="center"/>
            <w:tcMar>
              <w:top w:w="85" w:type="dxa"/>
              <w:left w:w="85" w:type="dxa"/>
              <w:bottom w:w="85" w:type="dxa"/>
              <w:right w:w="85" w:type="dxa"/>
            </w:tcMar>
            <w:shd w:fill="FFFFFF"/>
          </w:tcPr>
          <w:p>
            <w:pPr>
              <w:spacing w:after="0" w:line="245" w:lineRule="auto"/>
            </w:pPr>
            <w:r>
              <w:rPr>
                <w:color w:val="000000"/>
                <w:sz w:val="18"/>
              </w:rPr>
              <w:t>Months 1 to 3</w:t>
            </w:r>
          </w:p>
        </w:tc>
        <w:tc>
          <w:tcPr>
            <w:tcW w:type="dxa" w:w="2880"/>
            <w:vAlign w:val="center"/>
            <w:tcMar>
              <w:top w:w="85" w:type="dxa"/>
              <w:left w:w="85" w:type="dxa"/>
              <w:bottom w:w="85" w:type="dxa"/>
              <w:right w:w="85" w:type="dxa"/>
            </w:tcMar>
            <w:shd w:fill="FFFFFF"/>
          </w:tcPr>
          <w:p>
            <w:pPr>
              <w:spacing w:after="0" w:line="245" w:lineRule="auto"/>
              <w:jc w:val="right"/>
            </w:pPr>
            <w:r>
              <w:rPr>
                <w:color w:val="000000"/>
                <w:sz w:val="18"/>
              </w:rPr>
              <w:t>-1.150</w:t>
            </w:r>
          </w:p>
        </w:tc>
        <w:tc>
          <w:tcPr>
            <w:tcW w:type="dxa" w:w="2880"/>
            <w:vAlign w:val="center"/>
            <w:tcMar>
              <w:top w:w="85" w:type="dxa"/>
              <w:left w:w="85" w:type="dxa"/>
              <w:bottom w:w="85" w:type="dxa"/>
              <w:right w:w="85" w:type="dxa"/>
            </w:tcMar>
            <w:shd w:fill="FFFFFF"/>
          </w:tcPr>
          <w:p>
            <w:pPr>
              <w:spacing w:after="0" w:line="245" w:lineRule="auto"/>
              <w:jc w:val="right"/>
            </w:pPr>
            <w:r>
              <w:rPr>
                <w:color w:val="000000"/>
                <w:sz w:val="18"/>
              </w:rPr>
              <w:t>-1.150</w:t>
            </w:r>
          </w:p>
        </w:tc>
      </w:tr>
      <w:tr>
        <w:trPr>
          <w:cantSplit/>
        </w:trPr>
        <w:tc>
          <w:tcPr>
            <w:tcW w:type="dxa" w:w="4133"/>
            <w:vAlign w:val="center"/>
            <w:tcMar>
              <w:top w:w="85" w:type="dxa"/>
              <w:left w:w="85" w:type="dxa"/>
              <w:bottom w:w="85" w:type="dxa"/>
              <w:right w:w="85" w:type="dxa"/>
            </w:tcMar>
            <w:shd w:fill="F1F4F6"/>
          </w:tcPr>
          <w:p>
            <w:pPr>
              <w:spacing w:after="0" w:line="245" w:lineRule="auto"/>
            </w:pPr>
            <w:r>
              <w:rPr>
                <w:color w:val="000000"/>
                <w:sz w:val="18"/>
              </w:rPr>
              <w:t>Months 4 to 6</w:t>
            </w:r>
          </w:p>
        </w:tc>
        <w:tc>
          <w:tcPr>
            <w:tcW w:type="dxa" w:w="2880"/>
            <w:vAlign w:val="center"/>
            <w:tcMar>
              <w:top w:w="85" w:type="dxa"/>
              <w:left w:w="85" w:type="dxa"/>
              <w:bottom w:w="85" w:type="dxa"/>
              <w:right w:w="85" w:type="dxa"/>
            </w:tcMar>
            <w:shd w:fill="F1F4F6"/>
          </w:tcPr>
          <w:p>
            <w:pPr>
              <w:spacing w:after="0" w:line="245" w:lineRule="auto"/>
              <w:jc w:val="right"/>
            </w:pPr>
            <w:r>
              <w:rPr>
                <w:color w:val="000000"/>
                <w:sz w:val="18"/>
              </w:rPr>
              <w:t>-2.650</w:t>
            </w:r>
          </w:p>
        </w:tc>
        <w:tc>
          <w:tcPr>
            <w:tcW w:type="dxa" w:w="2880"/>
            <w:vAlign w:val="center"/>
            <w:tcMar>
              <w:top w:w="85" w:type="dxa"/>
              <w:left w:w="85" w:type="dxa"/>
              <w:bottom w:w="85" w:type="dxa"/>
              <w:right w:w="85" w:type="dxa"/>
            </w:tcMar>
            <w:shd w:fill="F1F4F6"/>
          </w:tcPr>
          <w:p>
            <w:pPr>
              <w:spacing w:after="0" w:line="245" w:lineRule="auto"/>
              <w:jc w:val="right"/>
            </w:pPr>
            <w:r>
              <w:rPr>
                <w:color w:val="000000"/>
                <w:sz w:val="18"/>
              </w:rPr>
              <w:t>-3.800</w:t>
            </w:r>
          </w:p>
        </w:tc>
      </w:tr>
      <w:tr>
        <w:trPr>
          <w:cantSplit/>
        </w:trPr>
        <w:tc>
          <w:tcPr>
            <w:tcW w:type="dxa" w:w="4133"/>
            <w:vAlign w:val="center"/>
            <w:tcMar>
              <w:top w:w="85" w:type="dxa"/>
              <w:left w:w="85" w:type="dxa"/>
              <w:bottom w:w="85" w:type="dxa"/>
              <w:right w:w="85" w:type="dxa"/>
            </w:tcMar>
            <w:shd w:fill="FFFFFF"/>
          </w:tcPr>
          <w:p>
            <w:pPr>
              <w:spacing w:after="0" w:line="245" w:lineRule="auto"/>
            </w:pPr>
            <w:r>
              <w:rPr>
                <w:color w:val="000000"/>
                <w:sz w:val="18"/>
              </w:rPr>
              <w:t>Months 7 to 9</w:t>
            </w:r>
          </w:p>
        </w:tc>
        <w:tc>
          <w:tcPr>
            <w:tcW w:type="dxa" w:w="2880"/>
            <w:vAlign w:val="center"/>
            <w:tcMar>
              <w:top w:w="85" w:type="dxa"/>
              <w:left w:w="85" w:type="dxa"/>
              <w:bottom w:w="85" w:type="dxa"/>
              <w:right w:w="85" w:type="dxa"/>
            </w:tcMar>
            <w:shd w:fill="FFFFFF"/>
          </w:tcPr>
          <w:p>
            <w:pPr>
              <w:spacing w:after="0" w:line="245" w:lineRule="auto"/>
              <w:jc w:val="right"/>
            </w:pPr>
            <w:r>
              <w:rPr>
                <w:color w:val="000000"/>
                <w:sz w:val="18"/>
              </w:rPr>
              <w:t>0.085</w:t>
            </w:r>
          </w:p>
        </w:tc>
        <w:tc>
          <w:tcPr>
            <w:tcW w:type="dxa" w:w="2880"/>
            <w:vAlign w:val="center"/>
            <w:tcMar>
              <w:top w:w="85" w:type="dxa"/>
              <w:left w:w="85" w:type="dxa"/>
              <w:bottom w:w="85" w:type="dxa"/>
              <w:right w:w="85" w:type="dxa"/>
            </w:tcMar>
            <w:shd w:fill="FFFFFF"/>
          </w:tcPr>
          <w:p>
            <w:pPr>
              <w:spacing w:after="0" w:line="245" w:lineRule="auto"/>
              <w:jc w:val="right"/>
            </w:pPr>
            <w:r>
              <w:rPr>
                <w:color w:val="000000"/>
                <w:sz w:val="18"/>
              </w:rPr>
              <w:t>-3.715</w:t>
            </w:r>
          </w:p>
        </w:tc>
      </w:tr>
      <w:tr>
        <w:trPr>
          <w:cantSplit/>
        </w:trPr>
        <w:tc>
          <w:tcPr>
            <w:tcW w:type="dxa" w:w="4133"/>
            <w:vAlign w:val="center"/>
            <w:tcMar>
              <w:top w:w="85" w:type="dxa"/>
              <w:left w:w="85" w:type="dxa"/>
              <w:bottom w:w="85" w:type="dxa"/>
              <w:right w:w="85" w:type="dxa"/>
            </w:tcMar>
            <w:shd w:fill="F1F4F6"/>
          </w:tcPr>
          <w:p>
            <w:pPr>
              <w:spacing w:after="0" w:line="245" w:lineRule="auto"/>
            </w:pPr>
            <w:r>
              <w:rPr>
                <w:color w:val="000000"/>
                <w:sz w:val="18"/>
              </w:rPr>
              <w:t>Months 10 to 12</w:t>
            </w:r>
          </w:p>
        </w:tc>
        <w:tc>
          <w:tcPr>
            <w:tcW w:type="dxa" w:w="2880"/>
            <w:vAlign w:val="center"/>
            <w:tcMar>
              <w:top w:w="85" w:type="dxa"/>
              <w:left w:w="85" w:type="dxa"/>
              <w:bottom w:w="85" w:type="dxa"/>
              <w:right w:w="85" w:type="dxa"/>
            </w:tcMar>
            <w:shd w:fill="F1F4F6"/>
          </w:tcPr>
          <w:p>
            <w:pPr>
              <w:spacing w:after="0" w:line="245" w:lineRule="auto"/>
              <w:jc w:val="right"/>
            </w:pPr>
            <w:r>
              <w:rPr>
                <w:color w:val="000000"/>
                <w:sz w:val="18"/>
              </w:rPr>
              <w:t>-0.245</w:t>
            </w:r>
          </w:p>
        </w:tc>
        <w:tc>
          <w:tcPr>
            <w:tcW w:type="dxa" w:w="2880"/>
            <w:vAlign w:val="center"/>
            <w:tcMar>
              <w:top w:w="85" w:type="dxa"/>
              <w:left w:w="85" w:type="dxa"/>
              <w:bottom w:w="85" w:type="dxa"/>
              <w:right w:w="85" w:type="dxa"/>
            </w:tcMar>
            <w:shd w:fill="F1F4F6"/>
          </w:tcPr>
          <w:p>
            <w:pPr>
              <w:spacing w:after="0" w:line="245" w:lineRule="auto"/>
              <w:jc w:val="right"/>
            </w:pPr>
            <w:r>
              <w:rPr>
                <w:color w:val="000000"/>
                <w:sz w:val="18"/>
              </w:rPr>
              <w:t>-3.960</w:t>
            </w:r>
          </w:p>
        </w:tc>
      </w:tr>
      <w:tr>
        <w:trPr>
          <w:cantSplit/>
        </w:trPr>
        <w:tc>
          <w:tcPr>
            <w:tcW w:type="dxa" w:w="4133"/>
            <w:vAlign w:val="center"/>
            <w:tcMar>
              <w:top w:w="85" w:type="dxa"/>
              <w:left w:w="85" w:type="dxa"/>
              <w:bottom w:w="85" w:type="dxa"/>
              <w:right w:w="85" w:type="dxa"/>
            </w:tcMar>
            <w:shd w:fill="FFFFFF"/>
          </w:tcPr>
          <w:p>
            <w:pPr>
              <w:spacing w:after="0" w:line="245" w:lineRule="auto"/>
            </w:pPr>
            <w:r>
              <w:rPr>
                <w:color w:val="000000"/>
                <w:sz w:val="18"/>
              </w:rPr>
              <w:t>Months 13 to 15</w:t>
            </w:r>
          </w:p>
        </w:tc>
        <w:tc>
          <w:tcPr>
            <w:tcW w:type="dxa" w:w="2880"/>
            <w:vAlign w:val="center"/>
            <w:tcMar>
              <w:top w:w="85" w:type="dxa"/>
              <w:left w:w="85" w:type="dxa"/>
              <w:bottom w:w="85" w:type="dxa"/>
              <w:right w:w="85" w:type="dxa"/>
            </w:tcMar>
            <w:shd w:fill="FFFFFF"/>
          </w:tcPr>
          <w:p>
            <w:pPr>
              <w:spacing w:after="0" w:line="245" w:lineRule="auto"/>
              <w:jc w:val="right"/>
            </w:pPr>
            <w:r>
              <w:rPr>
                <w:color w:val="000000"/>
                <w:sz w:val="18"/>
              </w:rPr>
              <w:t>-0.018</w:t>
            </w:r>
          </w:p>
        </w:tc>
        <w:tc>
          <w:tcPr>
            <w:tcW w:type="dxa" w:w="2880"/>
            <w:vAlign w:val="center"/>
            <w:tcMar>
              <w:top w:w="85" w:type="dxa"/>
              <w:left w:w="85" w:type="dxa"/>
              <w:bottom w:w="85" w:type="dxa"/>
              <w:right w:w="85" w:type="dxa"/>
            </w:tcMar>
            <w:shd w:fill="FFFFFF"/>
          </w:tcPr>
          <w:p>
            <w:pPr>
              <w:spacing w:after="0" w:line="245" w:lineRule="auto"/>
              <w:jc w:val="right"/>
            </w:pPr>
            <w:r>
              <w:rPr>
                <w:color w:val="000000"/>
                <w:sz w:val="18"/>
              </w:rPr>
              <w:t>-3.978</w:t>
            </w:r>
          </w:p>
        </w:tc>
      </w:tr>
      <w:tr>
        <w:trPr>
          <w:cantSplit/>
        </w:trPr>
        <w:tc>
          <w:tcPr>
            <w:tcW w:type="dxa" w:w="4133"/>
            <w:vAlign w:val="center"/>
            <w:tcMar>
              <w:top w:w="85" w:type="dxa"/>
              <w:left w:w="85" w:type="dxa"/>
              <w:bottom w:w="85" w:type="dxa"/>
              <w:right w:w="85" w:type="dxa"/>
            </w:tcMar>
            <w:shd w:fill="F1F4F6"/>
          </w:tcPr>
          <w:p>
            <w:pPr>
              <w:spacing w:after="0" w:line="245" w:lineRule="auto"/>
            </w:pPr>
            <w:r>
              <w:rPr>
                <w:color w:val="000000"/>
                <w:sz w:val="18"/>
              </w:rPr>
              <w:t>Months 16 to 18</w:t>
            </w:r>
          </w:p>
        </w:tc>
        <w:tc>
          <w:tcPr>
            <w:tcW w:type="dxa" w:w="2880"/>
            <w:vAlign w:val="center"/>
            <w:tcMar>
              <w:top w:w="85" w:type="dxa"/>
              <w:left w:w="85" w:type="dxa"/>
              <w:bottom w:w="85" w:type="dxa"/>
              <w:right w:w="85" w:type="dxa"/>
            </w:tcMar>
            <w:shd w:fill="F1F4F6"/>
          </w:tcPr>
          <w:p>
            <w:pPr>
              <w:spacing w:after="0" w:line="245" w:lineRule="auto"/>
              <w:jc w:val="right"/>
            </w:pPr>
            <w:r>
              <w:rPr>
                <w:color w:val="000000"/>
                <w:sz w:val="18"/>
              </w:rPr>
              <w:t>0.532</w:t>
            </w:r>
          </w:p>
        </w:tc>
        <w:tc>
          <w:tcPr>
            <w:tcW w:type="dxa" w:w="2880"/>
            <w:vAlign w:val="center"/>
            <w:tcMar>
              <w:top w:w="85" w:type="dxa"/>
              <w:left w:w="85" w:type="dxa"/>
              <w:bottom w:w="85" w:type="dxa"/>
              <w:right w:w="85" w:type="dxa"/>
            </w:tcMar>
            <w:shd w:fill="F1F4F6"/>
          </w:tcPr>
          <w:p>
            <w:pPr>
              <w:spacing w:after="0" w:line="245" w:lineRule="auto"/>
              <w:jc w:val="right"/>
            </w:pPr>
            <w:r>
              <w:rPr>
                <w:color w:val="000000"/>
                <w:sz w:val="18"/>
              </w:rPr>
              <w:t>-3.445</w:t>
            </w:r>
          </w:p>
        </w:tc>
      </w:tr>
      <w:tr>
        <w:trPr>
          <w:cantSplit/>
        </w:trPr>
        <w:tc>
          <w:tcPr>
            <w:tcW w:type="dxa" w:w="4133"/>
            <w:vAlign w:val="center"/>
            <w:tcMar>
              <w:top w:w="85" w:type="dxa"/>
              <w:left w:w="85" w:type="dxa"/>
              <w:bottom w:w="85" w:type="dxa"/>
              <w:right w:w="85" w:type="dxa"/>
            </w:tcMar>
            <w:shd w:fill="FFFFFF"/>
          </w:tcPr>
          <w:p>
            <w:pPr>
              <w:spacing w:after="0" w:line="245" w:lineRule="auto"/>
            </w:pPr>
            <w:r>
              <w:rPr>
                <w:color w:val="000000"/>
                <w:sz w:val="18"/>
              </w:rPr>
              <w:t>Months 19 to 21</w:t>
            </w:r>
          </w:p>
        </w:tc>
        <w:tc>
          <w:tcPr>
            <w:tcW w:type="dxa" w:w="2880"/>
            <w:vAlign w:val="center"/>
            <w:tcMar>
              <w:top w:w="85" w:type="dxa"/>
              <w:left w:w="85" w:type="dxa"/>
              <w:bottom w:w="85" w:type="dxa"/>
              <w:right w:w="85" w:type="dxa"/>
            </w:tcMar>
            <w:shd w:fill="FFFFFF"/>
          </w:tcPr>
          <w:p>
            <w:pPr>
              <w:spacing w:after="0" w:line="245" w:lineRule="auto"/>
              <w:jc w:val="right"/>
            </w:pPr>
            <w:r>
              <w:rPr>
                <w:color w:val="000000"/>
                <w:sz w:val="18"/>
              </w:rPr>
              <w:t>0.532</w:t>
            </w:r>
          </w:p>
        </w:tc>
        <w:tc>
          <w:tcPr>
            <w:tcW w:type="dxa" w:w="2880"/>
            <w:vAlign w:val="center"/>
            <w:tcMar>
              <w:top w:w="85" w:type="dxa"/>
              <w:left w:w="85" w:type="dxa"/>
              <w:bottom w:w="85" w:type="dxa"/>
              <w:right w:w="85" w:type="dxa"/>
            </w:tcMar>
            <w:shd w:fill="FFFFFF"/>
          </w:tcPr>
          <w:p>
            <w:pPr>
              <w:spacing w:after="0" w:line="245" w:lineRule="auto"/>
              <w:jc w:val="right"/>
            </w:pPr>
            <w:r>
              <w:rPr>
                <w:color w:val="000000"/>
                <w:sz w:val="18"/>
              </w:rPr>
              <w:t>-2.913</w:t>
            </w:r>
          </w:p>
        </w:tc>
      </w:tr>
      <w:tr>
        <w:trPr>
          <w:cantSplit/>
        </w:trPr>
        <w:tc>
          <w:tcPr>
            <w:tcW w:type="dxa" w:w="4133"/>
            <w:vAlign w:val="center"/>
            <w:tcMar>
              <w:top w:w="85" w:type="dxa"/>
              <w:left w:w="85" w:type="dxa"/>
              <w:bottom w:w="85" w:type="dxa"/>
              <w:right w:w="85" w:type="dxa"/>
            </w:tcMar>
            <w:shd w:fill="F1F4F6"/>
          </w:tcPr>
          <w:p>
            <w:pPr>
              <w:spacing w:after="0" w:line="245" w:lineRule="auto"/>
            </w:pPr>
            <w:r>
              <w:rPr>
                <w:color w:val="000000"/>
                <w:sz w:val="18"/>
              </w:rPr>
              <w:t>Months 22 to 24</w:t>
            </w:r>
          </w:p>
        </w:tc>
        <w:tc>
          <w:tcPr>
            <w:tcW w:type="dxa" w:w="2880"/>
            <w:vAlign w:val="center"/>
            <w:tcMar>
              <w:top w:w="85" w:type="dxa"/>
              <w:left w:w="85" w:type="dxa"/>
              <w:bottom w:w="85" w:type="dxa"/>
              <w:right w:w="85" w:type="dxa"/>
            </w:tcMar>
            <w:shd w:fill="F1F4F6"/>
          </w:tcPr>
          <w:p>
            <w:pPr>
              <w:spacing w:after="0" w:line="245" w:lineRule="auto"/>
              <w:jc w:val="right"/>
            </w:pPr>
            <w:r>
              <w:rPr>
                <w:color w:val="000000"/>
                <w:sz w:val="18"/>
              </w:rPr>
              <w:t>0.532</w:t>
            </w:r>
          </w:p>
        </w:tc>
        <w:tc>
          <w:tcPr>
            <w:tcW w:type="dxa" w:w="2880"/>
            <w:vAlign w:val="center"/>
            <w:tcMar>
              <w:top w:w="85" w:type="dxa"/>
              <w:left w:w="85" w:type="dxa"/>
              <w:bottom w:w="85" w:type="dxa"/>
              <w:right w:w="85" w:type="dxa"/>
            </w:tcMar>
            <w:shd w:fill="F1F4F6"/>
          </w:tcPr>
          <w:p>
            <w:pPr>
              <w:spacing w:after="0" w:line="245" w:lineRule="auto"/>
              <w:jc w:val="right"/>
            </w:pPr>
            <w:r>
              <w:rPr>
                <w:color w:val="000000"/>
                <w:sz w:val="18"/>
              </w:rPr>
              <w:t>-2.380</w:t>
            </w:r>
          </w:p>
        </w:tc>
      </w:tr>
    </w:tbl>
    <w:p>
      <w:pPr>
        <w:spacing w:after="40" w:before="0" w:line="40" w:lineRule="exact"/>
      </w:pPr>
    </w:p>
    <w:p>
      <w:r>
        <w:t>The conservative peak cash deficit is PHP 7.008 million in month 13. Adding 20 percent gives a planning funding envelope of PHP 8.409 million. The month-end-only peak is lower at PHP 6.003 million. These are funding requirements, not operating expenses.</w:t>
      </w:r>
    </w:p>
    <w:p>
      <w:r>
        <w:t>At month 24, cash before financing is negative PHP 2.380 million. Closing trade receivables are PHP 2.450 million and saleable inventory is zero in the base case. VAT remittances, withheld taxes, bad debts and finance costs can increase cash needs. The reserve is not a substitute for a tax cash schedule.</w:t>
      </w:r>
    </w:p>
    <w:p>
      <w:pPr>
        <w:pStyle w:val="Heading2"/>
      </w:pPr>
      <w:r>
        <w:t>Break even and downside exposure</w:t>
      </w:r>
    </w:p>
    <w:p>
      <w:r>
        <w:t>Year 2 needs 154 kit sales to cover recurring costs, or 185 including year 2 development, assuming 12 workshops. Year 1 requires 132 or 201 respectively. These thresholds do not recover earlier cash investment.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013"/>
        <w:gridCol w:w="2880"/>
      </w:tblGrid>
      <w:tr>
        <w:trPr>
          <w:cantSplit/>
          <w:tblHeader/>
        </w:trPr>
        <w:tc>
          <w:tcPr>
            <w:tcW w:type="dxa" w:w="7013"/>
            <w:vAlign w:val="center"/>
            <w:tcMar>
              <w:top w:w="85" w:type="dxa"/>
              <w:left w:w="85" w:type="dxa"/>
              <w:bottom w:w="85" w:type="dxa"/>
              <w:right w:w="85" w:type="dxa"/>
            </w:tcMar>
            <w:shd w:fill="243746"/>
          </w:tcPr>
          <w:p>
            <w:pPr>
              <w:spacing w:after="0" w:line="245" w:lineRule="auto"/>
            </w:pPr>
            <w:r>
              <w:rPr>
                <w:b/>
                <w:color w:val="FFFFFF"/>
                <w:sz w:val="18"/>
              </w:rPr>
              <w:t>Year 2 scenario</w:t>
            </w:r>
          </w:p>
        </w:tc>
        <w:tc>
          <w:tcPr>
            <w:tcW w:type="dxa" w:w="2880"/>
            <w:vAlign w:val="center"/>
            <w:tcMar>
              <w:top w:w="85" w:type="dxa"/>
              <w:left w:w="85" w:type="dxa"/>
              <w:bottom w:w="85" w:type="dxa"/>
              <w:right w:w="85" w:type="dxa"/>
            </w:tcMar>
            <w:shd w:fill="243746"/>
          </w:tcPr>
          <w:p>
            <w:pPr>
              <w:spacing w:after="0" w:line="245" w:lineRule="auto"/>
              <w:jc w:val="right"/>
            </w:pPr>
            <w:r>
              <w:rPr>
                <w:b/>
                <w:color w:val="FFFFFF"/>
                <w:sz w:val="18"/>
              </w:rPr>
              <w:t>Annual result PHP</w:t>
            </w:r>
          </w:p>
        </w:tc>
      </w:tr>
      <w:tr>
        <w:trPr>
          <w:cantSplit/>
        </w:trPr>
        <w:tc>
          <w:tcPr>
            <w:tcW w:type="dxa" w:w="7013"/>
            <w:vAlign w:val="center"/>
            <w:tcMar>
              <w:top w:w="85" w:type="dxa"/>
              <w:left w:w="85" w:type="dxa"/>
              <w:bottom w:w="85" w:type="dxa"/>
              <w:right w:w="85" w:type="dxa"/>
            </w:tcMar>
            <w:shd w:fill="FFFFFF"/>
          </w:tcPr>
          <w:p>
            <w:pPr>
              <w:spacing w:after="0" w:line="245" w:lineRule="auto"/>
            </w:pPr>
            <w:r>
              <w:rPr>
                <w:color w:val="000000"/>
                <w:sz w:val="18"/>
              </w:rPr>
              <w:t>150 kits in year 2</w:t>
            </w:r>
          </w:p>
        </w:tc>
        <w:tc>
          <w:tcPr>
            <w:tcW w:type="dxa" w:w="2880"/>
            <w:vAlign w:val="center"/>
            <w:tcMar>
              <w:top w:w="85" w:type="dxa"/>
              <w:left w:w="85" w:type="dxa"/>
              <w:bottom w:w="85" w:type="dxa"/>
              <w:right w:w="85" w:type="dxa"/>
            </w:tcMar>
            <w:shd w:fill="FFFFFF"/>
          </w:tcPr>
          <w:p>
            <w:pPr>
              <w:spacing w:after="0" w:line="245" w:lineRule="auto"/>
              <w:jc w:val="right"/>
            </w:pPr>
            <w:r>
              <w:rPr>
                <w:color w:val="000000"/>
                <w:sz w:val="18"/>
              </w:rPr>
              <w:t>-495,000</w:t>
            </w:r>
          </w:p>
        </w:tc>
      </w:tr>
      <w:tr>
        <w:trPr>
          <w:cantSplit/>
        </w:trPr>
        <w:tc>
          <w:tcPr>
            <w:tcW w:type="dxa" w:w="7013"/>
            <w:vAlign w:val="center"/>
            <w:tcMar>
              <w:top w:w="85" w:type="dxa"/>
              <w:left w:w="85" w:type="dxa"/>
              <w:bottom w:w="85" w:type="dxa"/>
              <w:right w:w="85" w:type="dxa"/>
            </w:tcMar>
            <w:shd w:fill="F1F4F6"/>
          </w:tcPr>
          <w:p>
            <w:pPr>
              <w:spacing w:after="0" w:line="245" w:lineRule="auto"/>
            </w:pPr>
            <w:r>
              <w:rPr>
                <w:color w:val="000000"/>
                <w:sz w:val="18"/>
              </w:rPr>
              <w:t>300 kits base case</w:t>
            </w:r>
          </w:p>
        </w:tc>
        <w:tc>
          <w:tcPr>
            <w:tcW w:type="dxa" w:w="2880"/>
            <w:vAlign w:val="center"/>
            <w:tcMar>
              <w:top w:w="85" w:type="dxa"/>
              <w:left w:w="85" w:type="dxa"/>
              <w:bottom w:w="85" w:type="dxa"/>
              <w:right w:w="85" w:type="dxa"/>
            </w:tcMar>
            <w:shd w:fill="F1F4F6"/>
          </w:tcPr>
          <w:p>
            <w:pPr>
              <w:spacing w:after="0" w:line="245" w:lineRule="auto"/>
              <w:jc w:val="right"/>
            </w:pPr>
            <w:r>
              <w:rPr>
                <w:color w:val="000000"/>
                <w:sz w:val="18"/>
              </w:rPr>
              <w:t>1,680,000</w:t>
            </w:r>
          </w:p>
        </w:tc>
      </w:tr>
      <w:tr>
        <w:trPr>
          <w:cantSplit/>
        </w:trPr>
        <w:tc>
          <w:tcPr>
            <w:tcW w:type="dxa" w:w="7013"/>
            <w:vAlign w:val="center"/>
            <w:tcMar>
              <w:top w:w="85" w:type="dxa"/>
              <w:left w:w="85" w:type="dxa"/>
              <w:bottom w:w="85" w:type="dxa"/>
              <w:right w:w="85" w:type="dxa"/>
            </w:tcMar>
            <w:shd w:fill="FFFFFF"/>
          </w:tcPr>
          <w:p>
            <w:pPr>
              <w:spacing w:after="0" w:line="245" w:lineRule="auto"/>
            </w:pPr>
            <w:r>
              <w:rPr>
                <w:color w:val="000000"/>
                <w:sz w:val="18"/>
              </w:rPr>
              <w:t>450 kits in year 2</w:t>
            </w:r>
          </w:p>
        </w:tc>
        <w:tc>
          <w:tcPr>
            <w:tcW w:type="dxa" w:w="2880"/>
            <w:vAlign w:val="center"/>
            <w:tcMar>
              <w:top w:w="85" w:type="dxa"/>
              <w:left w:w="85" w:type="dxa"/>
              <w:bottom w:w="85" w:type="dxa"/>
              <w:right w:w="85" w:type="dxa"/>
            </w:tcMar>
            <w:shd w:fill="FFFFFF"/>
          </w:tcPr>
          <w:p>
            <w:pPr>
              <w:spacing w:after="0" w:line="245" w:lineRule="auto"/>
              <w:jc w:val="right"/>
            </w:pPr>
            <w:r>
              <w:rPr>
                <w:color w:val="000000"/>
                <w:sz w:val="18"/>
              </w:rPr>
              <w:t>3,855,000</w:t>
            </w:r>
          </w:p>
        </w:tc>
      </w:tr>
      <w:tr>
        <w:trPr>
          <w:cantSplit/>
        </w:trPr>
        <w:tc>
          <w:tcPr>
            <w:tcW w:type="dxa" w:w="7013"/>
            <w:vAlign w:val="center"/>
            <w:tcMar>
              <w:top w:w="85" w:type="dxa"/>
              <w:left w:w="85" w:type="dxa"/>
              <w:bottom w:w="85" w:type="dxa"/>
              <w:right w:w="85" w:type="dxa"/>
            </w:tcMar>
            <w:shd w:fill="F1F4F6"/>
          </w:tcPr>
          <w:p>
            <w:pPr>
              <w:spacing w:after="0" w:line="245" w:lineRule="auto"/>
            </w:pPr>
            <w:r>
              <w:rPr>
                <w:color w:val="000000"/>
                <w:sz w:val="18"/>
              </w:rPr>
              <w:t>300 kits and unit cost plus 15 percent</w:t>
            </w:r>
          </w:p>
        </w:tc>
        <w:tc>
          <w:tcPr>
            <w:tcW w:type="dxa" w:w="2880"/>
            <w:vAlign w:val="center"/>
            <w:tcMar>
              <w:top w:w="85" w:type="dxa"/>
              <w:left w:w="85" w:type="dxa"/>
              <w:bottom w:w="85" w:type="dxa"/>
              <w:right w:w="85" w:type="dxa"/>
            </w:tcMar>
            <w:shd w:fill="F1F4F6"/>
          </w:tcPr>
          <w:p>
            <w:pPr>
              <w:spacing w:after="0" w:line="245" w:lineRule="auto"/>
              <w:jc w:val="right"/>
            </w:pPr>
            <w:r>
              <w:rPr>
                <w:color w:val="000000"/>
                <w:sz w:val="18"/>
              </w:rPr>
              <w:t>127,500</w:t>
            </w:r>
          </w:p>
        </w:tc>
      </w:tr>
      <w:tr>
        <w:trPr>
          <w:cantSplit/>
        </w:trPr>
        <w:tc>
          <w:tcPr>
            <w:tcW w:type="dxa" w:w="7013"/>
            <w:vAlign w:val="center"/>
            <w:tcMar>
              <w:top w:w="85" w:type="dxa"/>
              <w:left w:w="85" w:type="dxa"/>
              <w:bottom w:w="85" w:type="dxa"/>
              <w:right w:w="85" w:type="dxa"/>
            </w:tcMar>
            <w:shd w:fill="FFFFFF"/>
          </w:tcPr>
          <w:p>
            <w:pPr>
              <w:spacing w:after="0" w:line="245" w:lineRule="auto"/>
            </w:pPr>
            <w:r>
              <w:rPr>
                <w:color w:val="000000"/>
                <w:sz w:val="18"/>
              </w:rPr>
              <w:t>300 kits and selling price minus 10 percent</w:t>
            </w:r>
          </w:p>
        </w:tc>
        <w:tc>
          <w:tcPr>
            <w:tcW w:type="dxa" w:w="2880"/>
            <w:vAlign w:val="center"/>
            <w:tcMar>
              <w:top w:w="85" w:type="dxa"/>
              <w:left w:w="85" w:type="dxa"/>
              <w:bottom w:w="85" w:type="dxa"/>
              <w:right w:w="85" w:type="dxa"/>
            </w:tcMar>
            <w:shd w:fill="FFFFFF"/>
          </w:tcPr>
          <w:p>
            <w:pPr>
              <w:spacing w:after="0" w:line="245" w:lineRule="auto"/>
              <w:jc w:val="right"/>
            </w:pPr>
            <w:r>
              <w:rPr>
                <w:color w:val="000000"/>
                <w:sz w:val="18"/>
              </w:rPr>
              <w:t>210,000</w:t>
            </w:r>
          </w:p>
        </w:tc>
      </w:tr>
      <w:tr>
        <w:trPr>
          <w:cantSplit/>
        </w:trPr>
        <w:tc>
          <w:tcPr>
            <w:tcW w:type="dxa" w:w="7013"/>
            <w:vAlign w:val="center"/>
            <w:tcMar>
              <w:top w:w="85" w:type="dxa"/>
              <w:left w:w="85" w:type="dxa"/>
              <w:bottom w:w="85" w:type="dxa"/>
              <w:right w:w="85" w:type="dxa"/>
            </w:tcMar>
            <w:shd w:fill="F1F4F6"/>
          </w:tcPr>
          <w:p>
            <w:pPr>
              <w:spacing w:after="0" w:line="245" w:lineRule="auto"/>
            </w:pPr>
            <w:r>
              <w:rPr>
                <w:color w:val="000000"/>
                <w:sz w:val="18"/>
              </w:rPr>
              <w:t>300 kits with both cost and price stress</w:t>
            </w:r>
          </w:p>
        </w:tc>
        <w:tc>
          <w:tcPr>
            <w:tcW w:type="dxa" w:w="2880"/>
            <w:vAlign w:val="center"/>
            <w:tcMar>
              <w:top w:w="85" w:type="dxa"/>
              <w:left w:w="85" w:type="dxa"/>
              <w:bottom w:w="85" w:type="dxa"/>
              <w:right w:w="85" w:type="dxa"/>
            </w:tcMar>
            <w:shd w:fill="F1F4F6"/>
          </w:tcPr>
          <w:p>
            <w:pPr>
              <w:spacing w:after="0" w:line="245" w:lineRule="auto"/>
              <w:jc w:val="right"/>
            </w:pPr>
            <w:r>
              <w:rPr>
                <w:color w:val="000000"/>
                <w:sz w:val="18"/>
              </w:rPr>
              <w:t>-1,342,500</w:t>
            </w:r>
          </w:p>
        </w:tc>
      </w:tr>
    </w:tbl>
    <w:p>
      <w:pPr>
        <w:spacing w:after="40" w:before="0" w:line="40" w:lineRule="exact"/>
      </w:pPr>
    </w:p>
    <w:p>
      <w:r>
        <w:t>Base cumulative result of PHP 370,000, less PHP 300,000 capex and PHP 2,450,000 receivables, gives negative PHP 2,380,000 cash. Cash payback is not reached within 24 months. Volume scenarios change profit; purchases and inventory must also be remodelled.</w:t>
      </w:r>
    </w:p>
    <w:p>
      <w:r>
        <w:br w:type="page"/>
      </w:r>
    </w:p>
    <w:p>
      <w:pPr>
        <w:pStyle w:val="Heading1"/>
      </w:pPr>
      <w:r>
        <w:t>Implementation milestones and decision gates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80"/>
        <w:gridCol w:w="3240"/>
        <w:gridCol w:w="5573"/>
      </w:tblGrid>
      <w:tr>
        <w:trPr>
          <w:cantSplit/>
          <w:tblHeader/>
        </w:trPr>
        <w:tc>
          <w:tcPr>
            <w:tcW w:type="dxa" w:w="1080"/>
            <w:vAlign w:val="center"/>
            <w:tcMar>
              <w:top w:w="85" w:type="dxa"/>
              <w:left w:w="85" w:type="dxa"/>
              <w:bottom w:w="85" w:type="dxa"/>
              <w:right w:w="85" w:type="dxa"/>
            </w:tcMar>
            <w:shd w:fill="243746"/>
          </w:tcPr>
          <w:p>
            <w:pPr>
              <w:spacing w:after="0" w:line="245" w:lineRule="auto"/>
            </w:pPr>
            <w:r>
              <w:rPr>
                <w:b/>
                <w:color w:val="FFFFFF"/>
                <w:sz w:val="18"/>
              </w:rPr>
              <w:t>Months</w:t>
            </w:r>
          </w:p>
        </w:tc>
        <w:tc>
          <w:tcPr>
            <w:tcW w:type="dxa" w:w="3240"/>
            <w:vAlign w:val="center"/>
            <w:tcMar>
              <w:top w:w="85" w:type="dxa"/>
              <w:left w:w="85" w:type="dxa"/>
              <w:bottom w:w="85" w:type="dxa"/>
              <w:right w:w="85" w:type="dxa"/>
            </w:tcMar>
            <w:shd w:fill="243746"/>
          </w:tcPr>
          <w:p>
            <w:pPr>
              <w:spacing w:after="0" w:line="245" w:lineRule="auto"/>
            </w:pPr>
            <w:r>
              <w:rPr>
                <w:b/>
                <w:color w:val="FFFFFF"/>
                <w:sz w:val="18"/>
              </w:rPr>
              <w:t>Work</w:t>
            </w:r>
          </w:p>
        </w:tc>
        <w:tc>
          <w:tcPr>
            <w:tcW w:type="dxa" w:w="5573"/>
            <w:vAlign w:val="center"/>
            <w:tcMar>
              <w:top w:w="85" w:type="dxa"/>
              <w:left w:w="85" w:type="dxa"/>
              <w:bottom w:w="85" w:type="dxa"/>
              <w:right w:w="85" w:type="dxa"/>
            </w:tcMar>
            <w:shd w:fill="243746"/>
          </w:tcPr>
          <w:p>
            <w:pPr>
              <w:spacing w:after="0" w:line="245" w:lineRule="auto"/>
            </w:pPr>
            <w:r>
              <w:rPr>
                <w:b/>
                <w:color w:val="FFFFFF"/>
                <w:sz w:val="18"/>
              </w:rPr>
              <w:t>Evidence to proceed</w:t>
            </w:r>
          </w:p>
        </w:tc>
      </w:tr>
      <w:tr>
        <w:trPr>
          <w:cantSplit/>
        </w:trPr>
        <w:tc>
          <w:tcPr>
            <w:tcW w:type="dxa" w:w="1080"/>
            <w:vAlign w:val="center"/>
            <w:tcMar>
              <w:top w:w="85" w:type="dxa"/>
              <w:left w:w="85" w:type="dxa"/>
              <w:bottom w:w="85" w:type="dxa"/>
              <w:right w:w="85" w:type="dxa"/>
            </w:tcMar>
            <w:shd w:fill="FFFFFF"/>
          </w:tcPr>
          <w:p>
            <w:pPr>
              <w:spacing w:after="0" w:line="245" w:lineRule="auto"/>
            </w:pPr>
            <w:r>
              <w:rPr>
                <w:color w:val="000000"/>
                <w:sz w:val="18"/>
              </w:rPr>
              <w:t>1 to 3</w:t>
            </w:r>
          </w:p>
        </w:tc>
        <w:tc>
          <w:tcPr>
            <w:tcW w:type="dxa" w:w="3240"/>
            <w:vAlign w:val="center"/>
            <w:tcMar>
              <w:top w:w="85" w:type="dxa"/>
              <w:left w:w="85" w:type="dxa"/>
              <w:bottom w:w="85" w:type="dxa"/>
              <w:right w:w="85" w:type="dxa"/>
            </w:tcMar>
            <w:shd w:fill="FFFFFF"/>
          </w:tcPr>
          <w:p>
            <w:pPr>
              <w:spacing w:after="0" w:line="245" w:lineRule="auto"/>
            </w:pPr>
            <w:r>
              <w:rPr>
                <w:color w:val="000000"/>
                <w:sz w:val="18"/>
              </w:rPr>
              <w:t>Demand and platform proof</w:t>
            </w:r>
          </w:p>
        </w:tc>
        <w:tc>
          <w:tcPr>
            <w:tcW w:type="dxa" w:w="5573"/>
            <w:vAlign w:val="center"/>
            <w:tcMar>
              <w:top w:w="85" w:type="dxa"/>
              <w:left w:w="85" w:type="dxa"/>
              <w:bottom w:w="85" w:type="dxa"/>
              <w:right w:w="85" w:type="dxa"/>
            </w:tcMar>
            <w:shd w:fill="FFFFFF"/>
          </w:tcPr>
          <w:p>
            <w:pPr>
              <w:spacing w:after="0" w:line="245" w:lineRule="auto"/>
            </w:pPr>
            <w:r>
              <w:rPr>
                <w:color w:val="000000"/>
                <w:sz w:val="18"/>
              </w:rPr>
              <w:t>Buyer interviews; carrier repair; target OS works</w:t>
            </w:r>
          </w:p>
        </w:tc>
      </w:tr>
      <w:tr>
        <w:trPr>
          <w:cantSplit/>
        </w:trPr>
        <w:tc>
          <w:tcPr>
            <w:tcW w:type="dxa" w:w="1080"/>
            <w:vAlign w:val="center"/>
            <w:tcMar>
              <w:top w:w="85" w:type="dxa"/>
              <w:left w:w="85" w:type="dxa"/>
              <w:bottom w:w="85" w:type="dxa"/>
              <w:right w:w="85" w:type="dxa"/>
            </w:tcMar>
            <w:shd w:fill="F1F4F6"/>
          </w:tcPr>
          <w:p>
            <w:pPr>
              <w:spacing w:after="0" w:line="245" w:lineRule="auto"/>
            </w:pPr>
            <w:r>
              <w:rPr>
                <w:color w:val="000000"/>
                <w:sz w:val="18"/>
              </w:rPr>
              <w:t>4 to 6</w:t>
            </w:r>
          </w:p>
        </w:tc>
        <w:tc>
          <w:tcPr>
            <w:tcW w:type="dxa" w:w="3240"/>
            <w:vAlign w:val="center"/>
            <w:tcMar>
              <w:top w:w="85" w:type="dxa"/>
              <w:left w:w="85" w:type="dxa"/>
              <w:bottom w:w="85" w:type="dxa"/>
              <w:right w:w="85" w:type="dxa"/>
            </w:tcMar>
            <w:shd w:fill="F1F4F6"/>
          </w:tcPr>
          <w:p>
            <w:pPr>
              <w:spacing w:after="0" w:line="245" w:lineRule="auto"/>
            </w:pPr>
            <w:r>
              <w:rPr>
                <w:color w:val="000000"/>
                <w:sz w:val="18"/>
              </w:rPr>
              <w:t>Classroom pilot and release</w:t>
            </w:r>
          </w:p>
        </w:tc>
        <w:tc>
          <w:tcPr>
            <w:tcW w:type="dxa" w:w="5573"/>
            <w:vAlign w:val="center"/>
            <w:tcMar>
              <w:top w:w="85" w:type="dxa"/>
              <w:left w:w="85" w:type="dxa"/>
              <w:bottom w:w="85" w:type="dxa"/>
              <w:right w:w="85" w:type="dxa"/>
            </w:tcMar>
            <w:shd w:fill="F1F4F6"/>
          </w:tcPr>
          <w:p>
            <w:pPr>
              <w:spacing w:after="0" w:line="245" w:lineRule="auto"/>
            </w:pPr>
            <w:r>
              <w:rPr>
                <w:color w:val="000000"/>
                <w:sz w:val="18"/>
              </w:rPr>
              <w:t>Learning, engineering and compliance criteria met</w:t>
            </w:r>
          </w:p>
        </w:tc>
      </w:tr>
      <w:tr>
        <w:trPr>
          <w:cantSplit/>
        </w:trPr>
        <w:tc>
          <w:tcPr>
            <w:tcW w:type="dxa" w:w="1080"/>
            <w:vAlign w:val="center"/>
            <w:tcMar>
              <w:top w:w="85" w:type="dxa"/>
              <w:left w:w="85" w:type="dxa"/>
              <w:bottom w:w="85" w:type="dxa"/>
              <w:right w:w="85" w:type="dxa"/>
            </w:tcMar>
            <w:shd w:fill="FFFFFF"/>
          </w:tcPr>
          <w:p>
            <w:pPr>
              <w:spacing w:after="0" w:line="245" w:lineRule="auto"/>
            </w:pPr>
            <w:r>
              <w:rPr>
                <w:color w:val="000000"/>
                <w:sz w:val="18"/>
              </w:rPr>
              <w:t>7 to 12</w:t>
            </w:r>
          </w:p>
        </w:tc>
        <w:tc>
          <w:tcPr>
            <w:tcW w:type="dxa" w:w="3240"/>
            <w:vAlign w:val="center"/>
            <w:tcMar>
              <w:top w:w="85" w:type="dxa"/>
              <w:left w:w="85" w:type="dxa"/>
              <w:bottom w:w="85" w:type="dxa"/>
              <w:right w:w="85" w:type="dxa"/>
            </w:tcMar>
            <w:shd w:fill="FFFFFF"/>
          </w:tcPr>
          <w:p>
            <w:pPr>
              <w:spacing w:after="0" w:line="245" w:lineRule="auto"/>
            </w:pPr>
            <w:r>
              <w:rPr>
                <w:color w:val="000000"/>
                <w:sz w:val="18"/>
              </w:rPr>
              <w:t>Controlled first year sales</w:t>
            </w:r>
          </w:p>
        </w:tc>
        <w:tc>
          <w:tcPr>
            <w:tcW w:type="dxa" w:w="5573"/>
            <w:vAlign w:val="center"/>
            <w:tcMar>
              <w:top w:w="85" w:type="dxa"/>
              <w:left w:w="85" w:type="dxa"/>
              <w:bottom w:w="85" w:type="dxa"/>
              <w:right w:w="85" w:type="dxa"/>
            </w:tcMar>
            <w:shd w:fill="FFFFFF"/>
          </w:tcPr>
          <w:p>
            <w:pPr>
              <w:spacing w:after="0" w:line="245" w:lineRule="auto"/>
            </w:pPr>
            <w:r>
              <w:rPr>
                <w:color w:val="000000"/>
                <w:sz w:val="18"/>
              </w:rPr>
              <w:t>100 kits and six workshops; assess repeat demand</w:t>
            </w:r>
          </w:p>
        </w:tc>
      </w:tr>
      <w:tr>
        <w:trPr>
          <w:cantSplit/>
        </w:trPr>
        <w:tc>
          <w:tcPr>
            <w:tcW w:type="dxa" w:w="1080"/>
            <w:vAlign w:val="center"/>
            <w:tcMar>
              <w:top w:w="85" w:type="dxa"/>
              <w:left w:w="85" w:type="dxa"/>
              <w:bottom w:w="85" w:type="dxa"/>
              <w:right w:w="85" w:type="dxa"/>
            </w:tcMar>
            <w:shd w:fill="F1F4F6"/>
          </w:tcPr>
          <w:p>
            <w:pPr>
              <w:spacing w:after="0" w:line="245" w:lineRule="auto"/>
            </w:pPr>
            <w:r>
              <w:rPr>
                <w:color w:val="000000"/>
                <w:sz w:val="18"/>
              </w:rPr>
              <w:t>13 to 15</w:t>
            </w:r>
          </w:p>
        </w:tc>
        <w:tc>
          <w:tcPr>
            <w:tcW w:type="dxa" w:w="3240"/>
            <w:vAlign w:val="center"/>
            <w:tcMar>
              <w:top w:w="85" w:type="dxa"/>
              <w:left w:w="85" w:type="dxa"/>
              <w:bottom w:w="85" w:type="dxa"/>
              <w:right w:w="85" w:type="dxa"/>
            </w:tcMar>
            <w:shd w:fill="F1F4F6"/>
          </w:tcPr>
          <w:p>
            <w:pPr>
              <w:spacing w:after="0" w:line="245" w:lineRule="auto"/>
            </w:pPr>
            <w:r>
              <w:rPr>
                <w:color w:val="000000"/>
                <w:sz w:val="18"/>
              </w:rPr>
              <w:t>Production and OS improvements</w:t>
            </w:r>
          </w:p>
        </w:tc>
        <w:tc>
          <w:tcPr>
            <w:tcW w:type="dxa" w:w="5573"/>
            <w:vAlign w:val="center"/>
            <w:tcMar>
              <w:top w:w="85" w:type="dxa"/>
              <w:left w:w="85" w:type="dxa"/>
              <w:bottom w:w="85" w:type="dxa"/>
              <w:right w:w="85" w:type="dxa"/>
            </w:tcMar>
            <w:shd w:fill="F1F4F6"/>
          </w:tcPr>
          <w:p>
            <w:pPr>
              <w:spacing w:after="0" w:line="245" w:lineRule="auto"/>
            </w:pPr>
            <w:r>
              <w:rPr>
                <w:color w:val="000000"/>
                <w:sz w:val="18"/>
              </w:rPr>
              <w:t>New quotes support PHP 34,500 unit cost; funding renewed</w:t>
            </w:r>
          </w:p>
        </w:tc>
      </w:tr>
      <w:tr>
        <w:trPr>
          <w:cantSplit/>
        </w:trPr>
        <w:tc>
          <w:tcPr>
            <w:tcW w:type="dxa" w:w="1080"/>
            <w:vAlign w:val="center"/>
            <w:tcMar>
              <w:top w:w="85" w:type="dxa"/>
              <w:left w:w="85" w:type="dxa"/>
              <w:bottom w:w="85" w:type="dxa"/>
              <w:right w:w="85" w:type="dxa"/>
            </w:tcMar>
            <w:shd w:fill="FFFFFF"/>
          </w:tcPr>
          <w:p>
            <w:pPr>
              <w:spacing w:after="0" w:line="245" w:lineRule="auto"/>
            </w:pPr>
            <w:r>
              <w:rPr>
                <w:color w:val="000000"/>
                <w:sz w:val="18"/>
              </w:rPr>
              <w:t>16 to 18</w:t>
            </w:r>
          </w:p>
        </w:tc>
        <w:tc>
          <w:tcPr>
            <w:tcW w:type="dxa" w:w="3240"/>
            <w:vAlign w:val="center"/>
            <w:tcMar>
              <w:top w:w="85" w:type="dxa"/>
              <w:left w:w="85" w:type="dxa"/>
              <w:bottom w:w="85" w:type="dxa"/>
              <w:right w:w="85" w:type="dxa"/>
            </w:tcMar>
            <w:shd w:fill="FFFFFF"/>
          </w:tcPr>
          <w:p>
            <w:pPr>
              <w:spacing w:after="0" w:line="245" w:lineRule="auto"/>
            </w:pPr>
            <w:r>
              <w:rPr>
                <w:color w:val="000000"/>
                <w:sz w:val="18"/>
              </w:rPr>
              <w:t>Institutional expansion</w:t>
            </w:r>
          </w:p>
        </w:tc>
        <w:tc>
          <w:tcPr>
            <w:tcW w:type="dxa" w:w="5573"/>
            <w:vAlign w:val="center"/>
            <w:tcMar>
              <w:top w:w="85" w:type="dxa"/>
              <w:left w:w="85" w:type="dxa"/>
              <w:bottom w:w="85" w:type="dxa"/>
              <w:right w:w="85" w:type="dxa"/>
            </w:tcMar>
            <w:shd w:fill="FFFFFF"/>
          </w:tcPr>
          <w:p>
            <w:pPr>
              <w:spacing w:after="0" w:line="245" w:lineRule="auto"/>
            </w:pPr>
            <w:r>
              <w:rPr>
                <w:color w:val="000000"/>
                <w:sz w:val="18"/>
              </w:rPr>
              <w:t>Service capacity and paid orders support next 75 kit batch</w:t>
            </w:r>
          </w:p>
        </w:tc>
      </w:tr>
      <w:tr>
        <w:trPr>
          <w:cantSplit/>
        </w:trPr>
        <w:tc>
          <w:tcPr>
            <w:tcW w:type="dxa" w:w="1080"/>
            <w:vAlign w:val="center"/>
            <w:tcMar>
              <w:top w:w="85" w:type="dxa"/>
              <w:left w:w="85" w:type="dxa"/>
              <w:bottom w:w="85" w:type="dxa"/>
              <w:right w:w="85" w:type="dxa"/>
            </w:tcMar>
            <w:shd w:fill="F1F4F6"/>
          </w:tcPr>
          <w:p>
            <w:pPr>
              <w:spacing w:after="0" w:line="245" w:lineRule="auto"/>
            </w:pPr>
            <w:r>
              <w:rPr>
                <w:color w:val="000000"/>
                <w:sz w:val="18"/>
              </w:rPr>
              <w:t>19 to 24</w:t>
            </w:r>
          </w:p>
        </w:tc>
        <w:tc>
          <w:tcPr>
            <w:tcW w:type="dxa" w:w="3240"/>
            <w:vAlign w:val="center"/>
            <w:tcMar>
              <w:top w:w="85" w:type="dxa"/>
              <w:left w:w="85" w:type="dxa"/>
              <w:bottom w:w="85" w:type="dxa"/>
              <w:right w:w="85" w:type="dxa"/>
            </w:tcMar>
            <w:shd w:fill="F1F4F6"/>
          </w:tcPr>
          <w:p>
            <w:pPr>
              <w:spacing w:after="0" w:line="245" w:lineRule="auto"/>
            </w:pPr>
            <w:r>
              <w:rPr>
                <w:color w:val="000000"/>
                <w:sz w:val="18"/>
              </w:rPr>
              <w:t>Commercial evaluation</w:t>
            </w:r>
          </w:p>
        </w:tc>
        <w:tc>
          <w:tcPr>
            <w:tcW w:type="dxa" w:w="5573"/>
            <w:vAlign w:val="center"/>
            <w:tcMar>
              <w:top w:w="85" w:type="dxa"/>
              <w:left w:w="85" w:type="dxa"/>
              <w:bottom w:w="85" w:type="dxa"/>
              <w:right w:w="85" w:type="dxa"/>
            </w:tcMar>
            <w:shd w:fill="F1F4F6"/>
          </w:tcPr>
          <w:p>
            <w:pPr>
              <w:spacing w:after="0" w:line="245" w:lineRule="auto"/>
            </w:pPr>
            <w:r>
              <w:rPr>
                <w:color w:val="000000"/>
                <w:sz w:val="18"/>
              </w:rPr>
              <w:t>300 year 2 kits and 12 workshops; assess cash and quality</w:t>
            </w:r>
          </w:p>
        </w:tc>
      </w:tr>
    </w:tbl>
    <w:p>
      <w:pPr>
        <w:spacing w:after="40" w:before="0" w:line="40" w:lineRule="exact"/>
      </w:pPr>
    </w:p>
    <w:p>
      <w:pPr>
        <w:pStyle w:val="Heading2"/>
      </w:pPr>
      <w:r>
        <w:t>Risks that can stop the plan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2664"/>
        <w:gridCol w:w="4133"/>
      </w:tblGrid>
      <w:tr>
        <w:trPr>
          <w:cantSplit/>
          <w:tblHeader/>
        </w:trPr>
        <w:tc>
          <w:tcPr>
            <w:tcW w:type="dxa" w:w="3096"/>
            <w:vAlign w:val="center"/>
            <w:tcMar>
              <w:top w:w="85" w:type="dxa"/>
              <w:left w:w="85" w:type="dxa"/>
              <w:bottom w:w="85" w:type="dxa"/>
              <w:right w:w="85" w:type="dxa"/>
            </w:tcMar>
            <w:shd w:fill="243746"/>
          </w:tcPr>
          <w:p>
            <w:pPr>
              <w:spacing w:after="0" w:line="245" w:lineRule="auto"/>
            </w:pPr>
            <w:r>
              <w:rPr>
                <w:b/>
                <w:color w:val="FFFFFF"/>
                <w:sz w:val="18"/>
              </w:rPr>
              <w:t>Risk</w:t>
            </w:r>
          </w:p>
        </w:tc>
        <w:tc>
          <w:tcPr>
            <w:tcW w:type="dxa" w:w="2664"/>
            <w:vAlign w:val="center"/>
            <w:tcMar>
              <w:top w:w="85" w:type="dxa"/>
              <w:left w:w="85" w:type="dxa"/>
              <w:bottom w:w="85" w:type="dxa"/>
              <w:right w:w="85" w:type="dxa"/>
            </w:tcMar>
            <w:shd w:fill="243746"/>
          </w:tcPr>
          <w:p>
            <w:pPr>
              <w:spacing w:after="0" w:line="245" w:lineRule="auto"/>
            </w:pPr>
            <w:r>
              <w:rPr>
                <w:b/>
                <w:color w:val="FFFFFF"/>
                <w:sz w:val="18"/>
              </w:rPr>
              <w:t>Assessment</w:t>
            </w:r>
          </w:p>
        </w:tc>
        <w:tc>
          <w:tcPr>
            <w:tcW w:type="dxa" w:w="4133"/>
            <w:vAlign w:val="center"/>
            <w:tcMar>
              <w:top w:w="85" w:type="dxa"/>
              <w:left w:w="85" w:type="dxa"/>
              <w:bottom w:w="85" w:type="dxa"/>
              <w:right w:w="85" w:type="dxa"/>
            </w:tcMar>
            <w:shd w:fill="243746"/>
          </w:tcPr>
          <w:p>
            <w:pPr>
              <w:spacing w:after="0" w:line="245" w:lineRule="auto"/>
            </w:pPr>
            <w:r>
              <w:rPr>
                <w:b/>
                <w:color w:val="FFFFFF"/>
                <w:sz w:val="18"/>
              </w:rPr>
              <w:t>Response and owner</w:t>
            </w:r>
          </w:p>
        </w:tc>
      </w:tr>
      <w:tr>
        <w:trPr>
          <w:cantSplit/>
        </w:trPr>
        <w:tc>
          <w:tcPr>
            <w:tcW w:type="dxa" w:w="3096"/>
            <w:vAlign w:val="center"/>
            <w:tcMar>
              <w:top w:w="85" w:type="dxa"/>
              <w:left w:w="85" w:type="dxa"/>
              <w:bottom w:w="85" w:type="dxa"/>
              <w:right w:w="85" w:type="dxa"/>
            </w:tcMar>
            <w:shd w:fill="FFFFFF"/>
          </w:tcPr>
          <w:p>
            <w:pPr>
              <w:spacing w:after="0" w:line="245" w:lineRule="auto"/>
            </w:pPr>
            <w:r>
              <w:rPr>
                <w:color w:val="000000"/>
                <w:sz w:val="18"/>
              </w:rPr>
              <w:t>Current board fails qualification</w:t>
            </w:r>
          </w:p>
        </w:tc>
        <w:tc>
          <w:tcPr>
            <w:tcW w:type="dxa" w:w="2664"/>
            <w:vAlign w:val="center"/>
            <w:tcMar>
              <w:top w:w="85" w:type="dxa"/>
              <w:left w:w="85" w:type="dxa"/>
              <w:bottom w:w="85" w:type="dxa"/>
              <w:right w:w="85" w:type="dxa"/>
            </w:tcMar>
            <w:shd w:fill="FFFFFF"/>
          </w:tcPr>
          <w:p>
            <w:pPr>
              <w:spacing w:after="0" w:line="245" w:lineRule="auto"/>
            </w:pPr>
            <w:r>
              <w:rPr>
                <w:color w:val="000000"/>
                <w:sz w:val="18"/>
              </w:rPr>
              <w:t>High impact; likelihood unmeasured</w:t>
            </w:r>
          </w:p>
        </w:tc>
        <w:tc>
          <w:tcPr>
            <w:tcW w:type="dxa" w:w="4133"/>
            <w:vAlign w:val="center"/>
            <w:tcMar>
              <w:top w:w="85" w:type="dxa"/>
              <w:left w:w="85" w:type="dxa"/>
              <w:bottom w:w="85" w:type="dxa"/>
              <w:right w:w="85" w:type="dxa"/>
            </w:tcMar>
            <w:shd w:fill="FFFFFF"/>
          </w:tcPr>
          <w:p>
            <w:pPr>
              <w:spacing w:after="0" w:line="245" w:lineRule="auto"/>
            </w:pPr>
            <w:r>
              <w:rPr>
                <w:color w:val="000000"/>
                <w:sz w:val="18"/>
              </w:rPr>
              <w:t>Hardware lead closes release blockers before sale</w:t>
            </w:r>
          </w:p>
        </w:tc>
      </w:tr>
      <w:tr>
        <w:trPr>
          <w:cantSplit/>
        </w:trPr>
        <w:tc>
          <w:tcPr>
            <w:tcW w:type="dxa" w:w="3096"/>
            <w:vAlign w:val="center"/>
            <w:tcMar>
              <w:top w:w="85" w:type="dxa"/>
              <w:left w:w="85" w:type="dxa"/>
              <w:bottom w:w="85" w:type="dxa"/>
              <w:right w:w="85" w:type="dxa"/>
            </w:tcMar>
            <w:shd w:fill="F1F4F6"/>
          </w:tcPr>
          <w:p>
            <w:pPr>
              <w:spacing w:after="0" w:line="245" w:lineRule="auto"/>
            </w:pPr>
            <w:r>
              <w:rPr>
                <w:color w:val="000000"/>
                <w:sz w:val="18"/>
              </w:rPr>
              <w:t>Schools reject price or delay payment</w:t>
            </w:r>
          </w:p>
        </w:tc>
        <w:tc>
          <w:tcPr>
            <w:tcW w:type="dxa" w:w="2664"/>
            <w:vAlign w:val="center"/>
            <w:tcMar>
              <w:top w:w="85" w:type="dxa"/>
              <w:left w:w="85" w:type="dxa"/>
              <w:bottom w:w="85" w:type="dxa"/>
              <w:right w:w="85" w:type="dxa"/>
            </w:tcMar>
            <w:shd w:fill="F1F4F6"/>
          </w:tcPr>
          <w:p>
            <w:pPr>
              <w:spacing w:after="0" w:line="245" w:lineRule="auto"/>
            </w:pPr>
            <w:r>
              <w:rPr>
                <w:color w:val="000000"/>
                <w:sz w:val="18"/>
              </w:rPr>
              <w:t>High impact; demand unproven</w:t>
            </w:r>
          </w:p>
        </w:tc>
        <w:tc>
          <w:tcPr>
            <w:tcW w:type="dxa" w:w="4133"/>
            <w:vAlign w:val="center"/>
            <w:tcMar>
              <w:top w:w="85" w:type="dxa"/>
              <w:left w:w="85" w:type="dxa"/>
              <w:bottom w:w="85" w:type="dxa"/>
              <w:right w:w="85" w:type="dxa"/>
            </w:tcMar>
            <w:shd w:fill="F1F4F6"/>
          </w:tcPr>
          <w:p>
            <w:pPr>
              <w:spacing w:after="0" w:line="245" w:lineRule="auto"/>
            </w:pPr>
            <w:r>
              <w:rPr>
                <w:color w:val="000000"/>
                <w:sz w:val="18"/>
              </w:rPr>
              <w:t>Commercial lead validates budgets and funded orders</w:t>
            </w:r>
          </w:p>
        </w:tc>
      </w:tr>
      <w:tr>
        <w:trPr>
          <w:cantSplit/>
        </w:trPr>
        <w:tc>
          <w:tcPr>
            <w:tcW w:type="dxa" w:w="3096"/>
            <w:vAlign w:val="center"/>
            <w:tcMar>
              <w:top w:w="85" w:type="dxa"/>
              <w:left w:w="85" w:type="dxa"/>
              <w:bottom w:w="85" w:type="dxa"/>
              <w:right w:w="85" w:type="dxa"/>
            </w:tcMar>
            <w:shd w:fill="FFFFFF"/>
          </w:tcPr>
          <w:p>
            <w:pPr>
              <w:spacing w:after="0" w:line="245" w:lineRule="auto"/>
            </w:pPr>
            <w:r>
              <w:rPr>
                <w:color w:val="000000"/>
                <w:sz w:val="18"/>
              </w:rPr>
              <w:t>Module cost or availability changes</w:t>
            </w:r>
          </w:p>
        </w:tc>
        <w:tc>
          <w:tcPr>
            <w:tcW w:type="dxa" w:w="2664"/>
            <w:vAlign w:val="center"/>
            <w:tcMar>
              <w:top w:w="85" w:type="dxa"/>
              <w:left w:w="85" w:type="dxa"/>
              <w:bottom w:w="85" w:type="dxa"/>
              <w:right w:w="85" w:type="dxa"/>
            </w:tcMar>
            <w:shd w:fill="FFFFFF"/>
          </w:tcPr>
          <w:p>
            <w:pPr>
              <w:spacing w:after="0" w:line="245" w:lineRule="auto"/>
            </w:pPr>
            <w:r>
              <w:rPr>
                <w:color w:val="000000"/>
                <w:sz w:val="18"/>
              </w:rPr>
              <w:t>High impact; quote absent</w:t>
            </w:r>
          </w:p>
        </w:tc>
        <w:tc>
          <w:tcPr>
            <w:tcW w:type="dxa" w:w="4133"/>
            <w:vAlign w:val="center"/>
            <w:tcMar>
              <w:top w:w="85" w:type="dxa"/>
              <w:left w:w="85" w:type="dxa"/>
              <w:bottom w:w="85" w:type="dxa"/>
              <w:right w:w="85" w:type="dxa"/>
            </w:tcMar>
            <w:shd w:fill="FFFFFF"/>
          </w:tcPr>
          <w:p>
            <w:pPr>
              <w:spacing w:after="0" w:line="245" w:lineRule="auto"/>
            </w:pPr>
            <w:r>
              <w:rPr>
                <w:color w:val="000000"/>
                <w:sz w:val="18"/>
              </w:rPr>
              <w:t>Operations lead obtains landed quotes and lead times</w:t>
            </w:r>
          </w:p>
        </w:tc>
      </w:tr>
      <w:tr>
        <w:trPr>
          <w:cantSplit/>
        </w:trPr>
        <w:tc>
          <w:tcPr>
            <w:tcW w:type="dxa" w:w="3096"/>
            <w:vAlign w:val="center"/>
            <w:tcMar>
              <w:top w:w="85" w:type="dxa"/>
              <w:left w:w="85" w:type="dxa"/>
              <w:bottom w:w="85" w:type="dxa"/>
              <w:right w:w="85" w:type="dxa"/>
            </w:tcMar>
            <w:shd w:fill="F1F4F6"/>
          </w:tcPr>
          <w:p>
            <w:pPr>
              <w:spacing w:after="0" w:line="245" w:lineRule="auto"/>
            </w:pPr>
            <w:r>
              <w:rPr>
                <w:color w:val="000000"/>
                <w:sz w:val="18"/>
              </w:rPr>
              <w:t>OS migration or recovery fails</w:t>
            </w:r>
          </w:p>
        </w:tc>
        <w:tc>
          <w:tcPr>
            <w:tcW w:type="dxa" w:w="2664"/>
            <w:vAlign w:val="center"/>
            <w:tcMar>
              <w:top w:w="85" w:type="dxa"/>
              <w:left w:w="85" w:type="dxa"/>
              <w:bottom w:w="85" w:type="dxa"/>
              <w:right w:w="85" w:type="dxa"/>
            </w:tcMar>
            <w:shd w:fill="F1F4F6"/>
          </w:tcPr>
          <w:p>
            <w:pPr>
              <w:spacing w:after="0" w:line="245" w:lineRule="auto"/>
            </w:pPr>
            <w:r>
              <w:rPr>
                <w:color w:val="000000"/>
                <w:sz w:val="18"/>
              </w:rPr>
              <w:t>High impact; work remains</w:t>
            </w:r>
          </w:p>
        </w:tc>
        <w:tc>
          <w:tcPr>
            <w:tcW w:type="dxa" w:w="4133"/>
            <w:vAlign w:val="center"/>
            <w:tcMar>
              <w:top w:w="85" w:type="dxa"/>
              <w:left w:w="85" w:type="dxa"/>
              <w:bottom w:w="85" w:type="dxa"/>
              <w:right w:w="85" w:type="dxa"/>
            </w:tcMar>
            <w:shd w:fill="F1F4F6"/>
          </w:tcPr>
          <w:p>
            <w:pPr>
              <w:spacing w:after="0" w:line="245" w:lineRule="auto"/>
            </w:pPr>
            <w:r>
              <w:rPr>
                <w:color w:val="000000"/>
                <w:sz w:val="18"/>
              </w:rPr>
              <w:t>Linux lead proves target image and recovery by month 3</w:t>
            </w:r>
          </w:p>
        </w:tc>
      </w:tr>
      <w:tr>
        <w:trPr>
          <w:cantSplit/>
        </w:trPr>
        <w:tc>
          <w:tcPr>
            <w:tcW w:type="dxa" w:w="3096"/>
            <w:vAlign w:val="center"/>
            <w:tcMar>
              <w:top w:w="85" w:type="dxa"/>
              <w:left w:w="85" w:type="dxa"/>
              <w:bottom w:w="85" w:type="dxa"/>
              <w:right w:w="85" w:type="dxa"/>
            </w:tcMar>
            <w:shd w:fill="FFFFFF"/>
          </w:tcPr>
          <w:p>
            <w:pPr>
              <w:spacing w:after="0" w:line="245" w:lineRule="auto"/>
            </w:pPr>
            <w:r>
              <w:rPr>
                <w:color w:val="000000"/>
                <w:sz w:val="18"/>
              </w:rPr>
              <w:t>Support or compliance exceeds budget</w:t>
            </w:r>
          </w:p>
        </w:tc>
        <w:tc>
          <w:tcPr>
            <w:tcW w:type="dxa" w:w="2664"/>
            <w:vAlign w:val="center"/>
            <w:tcMar>
              <w:top w:w="85" w:type="dxa"/>
              <w:left w:w="85" w:type="dxa"/>
              <w:bottom w:w="85" w:type="dxa"/>
              <w:right w:w="85" w:type="dxa"/>
            </w:tcMar>
            <w:shd w:fill="FFFFFF"/>
          </w:tcPr>
          <w:p>
            <w:pPr>
              <w:spacing w:after="0" w:line="245" w:lineRule="auto"/>
            </w:pPr>
            <w:r>
              <w:rPr>
                <w:color w:val="000000"/>
                <w:sz w:val="18"/>
              </w:rPr>
              <w:t>High impact; allowance unquoted</w:t>
            </w:r>
          </w:p>
        </w:tc>
        <w:tc>
          <w:tcPr>
            <w:tcW w:type="dxa" w:w="4133"/>
            <w:vAlign w:val="center"/>
            <w:tcMar>
              <w:top w:w="85" w:type="dxa"/>
              <w:left w:w="85" w:type="dxa"/>
              <w:bottom w:w="85" w:type="dxa"/>
              <w:right w:w="85" w:type="dxa"/>
            </w:tcMar>
            <w:shd w:fill="FFFFFF"/>
          </w:tcPr>
          <w:p>
            <w:pPr>
              <w:spacing w:after="0" w:line="245" w:lineRule="auto"/>
            </w:pPr>
            <w:r>
              <w:rPr>
                <w:color w:val="000000"/>
                <w:sz w:val="18"/>
              </w:rPr>
              <w:t>Project lead recosts before each production commitment</w:t>
            </w:r>
          </w:p>
        </w:tc>
      </w:tr>
    </w:tbl>
    <w:p>
      <w:pPr>
        <w:spacing w:after="40" w:before="0" w:line="40" w:lineRule="exact"/>
      </w:pPr>
    </w:p>
    <w:p>
      <w:pPr>
        <w:pStyle w:val="Heading2"/>
      </w:pPr>
      <w:r>
        <w:t>Release funding only against evidence</w:t>
      </w:r>
    </w:p>
    <w:p>
      <w:pPr>
        <w:pStyle w:val="ListBullet"/>
      </w:pPr>
      <w:r>
        <w:t>Approve the first three months for customer discovery and engineering proof. Delay large inventory commitments until the technical and purchasing gates pass.</w:t>
      </w:r>
    </w:p>
    <w:p>
      <w:pPr>
        <w:pStyle w:val="ListBullet"/>
      </w:pPr>
      <w:r>
        <w:t>Before the initial 50 kit batch, require at least 30 units of funded orders, a costed BOM at or below PHP 36,000 per kit, qualified prototypes and written manufacturing acceptance.</w:t>
      </w:r>
    </w:p>
    <w:p>
      <w:pPr>
        <w:pStyle w:val="ListBullet"/>
      </w:pPr>
      <w:r>
        <w:t>Require paid pilot evidence that learners complete the course and teachers can recover devices. A letter of interest alone does not establish demand.</w:t>
      </w:r>
    </w:p>
    <w:p>
      <w:pPr>
        <w:pStyle w:val="ListBullet"/>
      </w:pPr>
      <w:r>
        <w:t>Before year 2, confirm repeat demand, affordable failure and support rates, a funded order pipeline, revised supplier quotes and enough cash for the next batch. Stop scaling if these fail.</w:t>
      </w:r>
    </w:p>
    <w:p>
      <w:r>
        <w:t>Recommendation: the two year plan is the stronger route for a complete Quadro learning product. Commercial feasibility still depends on volume and cost. The modest cumulative surplus and unrecovered cash leave little room for taxes, financing or delays.</w:t>
      </w:r>
    </w:p>
    <w:p>
      <w:r>
        <w:br w:type="page"/>
      </w:r>
    </w:p>
    <w:p>
      <w:pPr>
        <w:pStyle w:val="Heading1"/>
      </w:pPr>
      <w:r>
        <w:t>Sources and basis of estimates</w:t>
      </w:r>
    </w:p>
    <w:p>
      <w:r>
        <w:t>External sources were checked on 20 October 2026. Bracketed source numbers in the study refer to the entries below. Repository statements describe documentation and recorded plans, rather than fresh electrical certification.</w:t>
      </w:r>
    </w:p>
    <w:p>
      <w:pPr>
        <w:spacing w:after="160"/>
      </w:pPr>
      <w:r>
        <w:rPr>
          <w:b/>
          <w:sz w:val="18"/>
        </w:rPr>
        <w:t xml:space="preserve">[1] </w:t>
      </w:r>
      <w:r>
        <w:rPr>
          <w:b/>
          <w:sz w:val="18"/>
        </w:rPr>
        <w:t>Quadro project README and Apache 2.0 license</w:t>
      </w:r>
      <w:r>
        <w:rPr>
          <w:sz w:val="18"/>
        </w:rPr>
        <w:t>. Repository README.md, lines 12 to 31 and 54 to 56; LICENSE, sections 4 and 6. Hardware intent and redistribution terms.</w:t>
      </w:r>
    </w:p>
    <w:p>
      <w:pPr>
        <w:spacing w:after="160"/>
      </w:pPr>
      <w:r>
        <w:rPr>
          <w:b/>
          <w:sz w:val="18"/>
        </w:rPr>
        <w:t xml:space="preserve">[2] </w:t>
      </w:r>
      <w:r>
        <w:rPr>
          <w:b/>
          <w:sz w:val="18"/>
        </w:rPr>
        <w:t>Quadro reference BSP and hardware requirements</w:t>
      </w:r>
      <w:r>
        <w:rPr>
          <w:sz w:val="18"/>
        </w:rPr>
        <w:t>. Repository doc/source/getting_started.md, lines 12 to 60, 133 to 151 and 324 onward. Reference software, kit requirements and account setup.</w:t>
      </w:r>
    </w:p>
    <w:p>
      <w:pPr>
        <w:spacing w:after="160"/>
      </w:pPr>
      <w:r>
        <w:rPr>
          <w:b/>
          <w:sz w:val="18"/>
        </w:rPr>
        <w:t xml:space="preserve">[3] </w:t>
      </w:r>
      <w:r>
        <w:rPr>
          <w:b/>
          <w:sz w:val="18"/>
        </w:rPr>
        <w:t>Quadro PCB repair implementation plan</w:t>
      </w:r>
      <w:r>
        <w:rPr>
          <w:sz w:val="18"/>
        </w:rPr>
        <w:t>. Repository doc/PCB_REPAIR_PLAN.md, baseline dated 14 October 2026 and release gates at lines 138 to 153. Historical record; refresh before fabrication.</w:t>
      </w:r>
    </w:p>
    <w:p>
      <w:pPr>
        <w:spacing w:after="160"/>
      </w:pPr>
      <w:r>
        <w:rPr>
          <w:b/>
          <w:sz w:val="18"/>
        </w:rPr>
        <w:t xml:space="preserve">[4] </w:t>
      </w:r>
      <w:hyperlink r:id="rId10">
        <w:r>
          <w:rPr>
            <w:color w:val="17476B"/>
          </w:rPr>
          <w:t>NVIDIA Jetson FAQ</w:t>
        </w:r>
      </w:hyperlink>
      <w:r>
        <w:rPr>
          <w:sz w:val="18"/>
        </w:rPr>
        <w:t>. Production module distinction and official suggested USD pricing. Module prices apply at 1000 or more units.</w:t>
      </w:r>
    </w:p>
    <w:p>
      <w:pPr>
        <w:spacing w:after="160"/>
      </w:pPr>
      <w:r>
        <w:rPr>
          <w:b/>
          <w:sz w:val="18"/>
        </w:rPr>
        <w:t xml:space="preserve">[5] </w:t>
      </w:r>
      <w:hyperlink r:id="rId11">
        <w:r>
          <w:rPr>
            <w:color w:val="17476B"/>
          </w:rPr>
          <w:t>NVIDIA JetPack 7.2.1 release</w:t>
        </w:r>
      </w:hyperlink>
      <w:r>
        <w:rPr>
          <w:sz w:val="18"/>
        </w:rPr>
        <w:t>. Orin family support and Ubuntu 24.04 baseline with Jetson Linux 39.2.1.</w:t>
      </w:r>
    </w:p>
    <w:p>
      <w:pPr>
        <w:spacing w:after="160"/>
      </w:pPr>
      <w:r>
        <w:rPr>
          <w:b/>
          <w:sz w:val="18"/>
        </w:rPr>
        <w:t xml:space="preserve">[6] </w:t>
      </w:r>
      <w:hyperlink r:id="rId12">
        <w:r>
          <w:rPr>
            <w:color w:val="17476B"/>
          </w:rPr>
          <w:t>NVIDIA Orin adaptation guide</w:t>
        </w:r>
      </w:hyperlink>
      <w:r>
        <w:rPr>
          <w:sz w:val="18"/>
        </w:rPr>
        <w:t>. Carrier configuration, device tree, flashing and custom root filesystems.</w:t>
      </w:r>
    </w:p>
    <w:p>
      <w:pPr>
        <w:spacing w:after="160"/>
      </w:pPr>
      <w:r>
        <w:rPr>
          <w:b/>
          <w:sz w:val="18"/>
        </w:rPr>
        <w:t xml:space="preserve">[7] </w:t>
      </w:r>
      <w:hyperlink r:id="rId13">
        <w:r>
          <w:rPr>
            <w:color w:val="17476B"/>
          </w:rPr>
          <w:t>NVIDIA Jetson AI education</w:t>
        </w:r>
      </w:hyperlink>
      <w:r>
        <w:rPr>
          <w:sz w:val="18"/>
        </w:rPr>
        <w:t>. Hands-on educational resources; these do not establish Quadro learning outcomes.</w:t>
      </w:r>
    </w:p>
    <w:p>
      <w:pPr>
        <w:spacing w:after="160"/>
      </w:pPr>
      <w:r>
        <w:rPr>
          <w:b/>
          <w:sz w:val="18"/>
        </w:rPr>
        <w:t xml:space="preserve">[8] </w:t>
      </w:r>
      <w:hyperlink r:id="rId14">
        <w:r>
          <w:rPr>
            <w:color w:val="17476B"/>
          </w:rPr>
          <w:t>NVIDIA release specific software license</w:t>
        </w:r>
      </w:hyperlink>
      <w:r>
        <w:rPr>
          <w:sz w:val="18"/>
        </w:rPr>
        <w:t>. Redistribution conditions and separate component licenses for Jetson Linux 39.2.1.</w:t>
      </w:r>
    </w:p>
    <w:p>
      <w:pPr>
        <w:spacing w:after="160"/>
      </w:pPr>
      <w:r>
        <w:rPr>
          <w:b/>
          <w:sz w:val="18"/>
        </w:rPr>
        <w:t xml:space="preserve">[9] </w:t>
      </w:r>
      <w:hyperlink r:id="rId15">
        <w:r>
          <w:rPr>
            <w:color w:val="17476B"/>
          </w:rPr>
          <w:t>National Privacy Commission</w:t>
        </w:r>
      </w:hyperlink>
      <w:r>
        <w:rPr>
          <w:sz w:val="18"/>
        </w:rPr>
        <w:t>. Data Privacy Act and implementing rules.</w:t>
      </w:r>
    </w:p>
    <w:p>
      <w:pPr>
        <w:spacing w:after="160"/>
      </w:pPr>
      <w:r>
        <w:rPr>
          <w:b/>
          <w:sz w:val="18"/>
        </w:rPr>
        <w:t xml:space="preserve">[10] </w:t>
      </w:r>
      <w:hyperlink r:id="rId16">
        <w:r>
          <w:rPr>
            <w:color w:val="17476B"/>
          </w:rPr>
          <w:t>National Telecommunications Commission Region 7</w:t>
        </w:r>
      </w:hyperlink>
      <w:r>
        <w:rPr>
          <w:sz w:val="18"/>
        </w:rPr>
        <w:t>. Equipment approval guidance; obtain product-specific applicability advice.</w:t>
      </w:r>
    </w:p>
    <w:p>
      <w:pPr>
        <w:spacing w:after="160"/>
      </w:pPr>
      <w:r>
        <w:rPr>
          <w:b/>
          <w:sz w:val="18"/>
        </w:rPr>
        <w:t xml:space="preserve">[11] </w:t>
      </w:r>
      <w:hyperlink r:id="rId17">
        <w:r>
          <w:rPr>
            <w:color w:val="17476B"/>
          </w:rPr>
          <w:t>Bureau of Internal Revenue ruling ITAD-027-25</w:t>
        </w:r>
      </w:hyperlink>
      <w:r>
        <w:rPr>
          <w:sz w:val="18"/>
        </w:rPr>
        <w:t>. General 12 percent VAT rule in the cited ruling. Actual registration, credits and timing require tax review.</w:t>
      </w:r>
    </w:p>
    <w:p>
      <w:pPr>
        <w:spacing w:after="160"/>
      </w:pPr>
      <w:r>
        <w:rPr>
          <w:b/>
          <w:sz w:val="18"/>
        </w:rPr>
        <w:t xml:space="preserve">[12] </w:t>
      </w:r>
      <w:hyperlink r:id="rId18">
        <w:r>
          <w:rPr>
            <w:color w:val="17476B"/>
          </w:rPr>
          <w:t>IPOPHL trademark search tools</w:t>
        </w:r>
      </w:hyperlink>
      <w:r>
        <w:rPr>
          <w:sz w:val="18"/>
        </w:rPr>
        <w:t>. Search resources for brand clearance; no Quadro clearance is implied.</w:t>
      </w:r>
    </w:p>
    <w:p>
      <w:pPr>
        <w:pStyle w:val="Heading2"/>
      </w:pPr>
      <w:r>
        <w:t>Assumptions that need validation</w:t>
      </w:r>
    </w:p>
    <w:p>
      <w:r>
        <w:t>The study does not estimate a national market size or claim completed customer research. Sales volumes, school conversion, staffing allocations, supplier costs, exchange rate, learning outcomes, collection terms and cost reductions are planning assumptions. No purchase commitments or investment returns are guaranteed.</w:t>
      </w:r>
    </w:p>
    <w:p>
      <w:r>
        <w:t>The first year in both versions uses the same 100 kit and six workshop scenario. Prototype units are funded through development expenditure. Production units generate variable costs. Equipment purchases are separate from development and recurring costs. A current priced BOM, payroll plan, tax cash schedule and monthly supplier terms must replace allowances before a commercial funding decision.</w:t>
      </w:r>
    </w:p>
    <w:p>
      <w:r>
        <w:t>Electrical verification, physical performance tests, trademark clearance, legal opinions and supplier quotations remain required launch work. The product must pass these checks before the team commits to commercial shipment.</w:t>
      </w:r>
    </w:p>
    <w:sectPr w:rsidR="00FC693F" w:rsidRPr="0006063C" w:rsidSect="00034616">
      <w:footerReference w:type="default" r:id="rId9"/>
      <w:pgSz w:w="11909" w:h="16834"/>
      <w:pgMar w:top="936" w:right="1008" w:bottom="936" w:left="1008"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Quadro  |  2 year feasibility study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Arial" w:hAnsi="Arial"/>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4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Arial" w:hAnsi="Arial"/>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eveloper.nvidia.com/embedded/faq" TargetMode="External"/><Relationship Id="rId11" Type="http://schemas.openxmlformats.org/officeDocument/2006/relationships/hyperlink" Target="https://developer.nvidia.com/embedded/jetpack/downloads/archive-7.2.1" TargetMode="External"/><Relationship Id="rId12" Type="http://schemas.openxmlformats.org/officeDocument/2006/relationships/hyperlink" Target="https://docs.nvidia.com/jetson/archives/r39.2.1/DeveloperGuide/HR/JetsonModuleAdaptationAndBringUp/JetsonOrinNxNanoSeries.html" TargetMode="External"/><Relationship Id="rId13" Type="http://schemas.openxmlformats.org/officeDocument/2006/relationships/hyperlink" Target="https://developer.nvidia.com/embedded/learn/jetson-ai-education" TargetMode="External"/><Relationship Id="rId14" Type="http://schemas.openxmlformats.org/officeDocument/2006/relationships/hyperlink" Target="https://developer.download.nvidia.com/embedded/L4T/r39_Release_v2.1/release/Tegra_Software_License_Agreement-Tegra-Linux.txt" TargetMode="External"/><Relationship Id="rId15" Type="http://schemas.openxmlformats.org/officeDocument/2006/relationships/hyperlink" Target="https://privacy.gov.ph/the-data-privacy-act-and-its-irr/" TargetMode="External"/><Relationship Id="rId16" Type="http://schemas.openxmlformats.org/officeDocument/2006/relationships/hyperlink" Target="https://region7.ntc.gov.ph/faqs/" TargetMode="External"/><Relationship Id="rId17" Type="http://schemas.openxmlformats.org/officeDocument/2006/relationships/hyperlink" Target="https://bir-cdn.bir.gov.ph/BIR/pdf/BIR%20Ruling%20No.%20ITAD-027-25.pdf" TargetMode="External"/><Relationship Id="rId18" Type="http://schemas.openxmlformats.org/officeDocument/2006/relationships/hyperlink" Target="https://www.ipophil.gov.ph/trademark/trademark-online-too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Quadro feasibility study 2 year</dc:title>
  <dc:subject>AI and Linux education hardware in the Philippines</dc:subject>
  <dc:creator>Quadro</dc:creator>
  <cp:keywords>Quadro, feasibility, Philippines, AI education, Linux</cp:keywords>
  <dc:description>generated by python-docx</dc:description>
  <cp:lastModifiedBy/>
  <cp:revision>1</cp:revision>
  <dcterms:created xsi:type="dcterms:W3CDTF">2013-12-23T23:15:00Z</dcterms:created>
  <dcterms:modified xsi:type="dcterms:W3CDTF">2013-12-23T23:15:00Z</dcterms:modified>
  <cp:category/>
</cp:coreProperties>
</file>