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1</w:t>
        <w:br w:type="textWrapping"/>
        <w:t xml:space="preserve">Two-axis thrust vectoring gimbal. The nested structure pivots the motor about independent pitch and yaw axes, each driven by an MG90S servo through a linkage. The deflection angle δ is measured between the motor centerline and the vehicle's longitudinal axis.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2</w:t>
        <w:br w:type="textWrapping"/>
        <w:t xml:space="preserve">Estes E12-4 Thrust Curve - NAR Certified Data (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ThrustCurve.org</w:t>
        </w:r>
      </w:hyperlink>
      <w:r w:rsidDel="00000000" w:rsidR="00000000" w:rsidRPr="00000000">
        <w:rPr>
          <w:sz w:val="21"/>
          <w:szCs w:val="21"/>
          <w:rtl w:val="0"/>
        </w:rPr>
        <w:t xml:space="preserve">). Peak = 33.0~N at t = 0.29s, Mean = 11.12N, Burn time = 2.44s.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3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Attitude Stabilization Using TVC - Baseline Closed-Loop Response. Top: pitch angle (true vs.\ Kalman estimate). Middle: angular rate. Bottom: gimbal deflection with 10° mechanical limits shown. Motor burn window shaded; post-burnout gyroscopic drift annotated.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4: Open-Loop vs. Closed-Loop Attitude Response (Finless Configuration, 𝜃 = 5°). Without active control, the initial offset persists throughout the burn. Closed-loop TVC corrects the disturbance within ∼0.3 s.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5: Disturbance Rejection Response Under TVC Control (𝜏 = 0.12 N·m, 50 ms at 𝑡 = 0.6 s). Disturbance window highlighted. Nominal (no-disturbance) trace shown for comparison.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6: Control effort. Top: commanded versus achieved gimbal deflection. Bottom: cumulative actuator saturation as a fraction of burn time. Saturation is confined to the initial tip-over correction (𝑡 &lt; 0.06 s) and settles near 1.0% of the burn.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7: Kalman filter performance against the raw measurement (MPU-6050 noise model, Section 3.2). The filter suppresses the ±4° peak accelerometer noise during powered flight. Post-burnout gyroscopic drift is annotated.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8: TVC Corrective Torque Authority vs. Time (𝜏 max = 𝐹𝑇 · 𝑟 · sin(𝛿max)). Green shading: control authority margin above typical disturbance (dashed red). Burnout at 2.44 s marked; torque collapses immediately thereafter.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9: Parametric Sensitivity Analysis - Pitch Response (𝜃0 = 5°). (a) Motor thrust variation (±30%). (b) CoM-to-nozzle distance variation (±20%). (c) Maximum gimbal angle (6°, 8°, 10° design, 12°).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10: TVC controllability boundary in the plane of initial tilt 𝜃0 and initial angular rate 𝜃. Green marks stable recovery (|𝜃| &lt; 15° during the burn) and red marks unrecoverable divergence. The dashed vertical line is the maximum gimbal limit (10.0°).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11: Two-axis Monte Carlo simulation under realistic launch variability (100 trials; 𝜃0 ∈ [0.5°, 6°], 𝑇 scale ∈ [±8%], sensor noise included). Pitch (left) and yaw (right) axes are shown independently. All 100 trials were recovered. The mean and 5th–95th percentile envelope are shown.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rustcurv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