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衍生品市场监管格局及期货市场法规体系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一．衍生品市场监管格局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 期货市场：上海期货交易所、郑州商品交易所（中国第一家）、大连商品交易所、中国金融期货交易所、广州期货交易所（覆盖国民经济的主要能源、化工等九十多个品种）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场外衍生品市场：主要有银行间衍生品市场，证券公司间衍生品市场以及交易所场外平台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主要品种为：利率类、外汇类、权益类、商品类（能够满足银行等大机构的个性化管理需求）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二．监管框架</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期货市场由中国证监会集中统一监督</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不同的场外衍生品市场的自律管理及监督管理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 xml:space="preserve"> （例如银行间的衍生品市场就由人民银行履行行政监管责任）</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非法期货交易场所由县以上地方人民政府清理整顿</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 xml:space="preserve"> （国家坚决取缔，一倍以上五倍以下的罚款，不到二十万的处二十万到一百万处罚）</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非法期货的认定标准与程序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目的性而言，主要是以标准化合约为交易对象，允许交易者以对冲平仓方式了结交易而不必以实物交收为目的，或者不必交割实物；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形式性而言，具有交易对象为标准化合约，交易方式为集中交易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集中交易即在交易市场安排众多的买卖方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主要体现在：人员、信息、商品的集中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具体为：集合竞价、连续竞价、电子撮合、匿名交易、做市商机制等交易方式</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期货市场法制沿革</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无序发展：由于期货市场建设初期，短时间内各地各部门多头管理，竞相争办期货交易所或以期货交易所为目的的批发市场，期货交易所和期货品种过多导致了市场秩序混乱、风险频发、投机盛行</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规范发展与制度保障：两千年之后，在风险得到控制的情况下，逐步推出为大宗商品生产生产者和消费者提供发现价格和套期保值功能的商品期货品种，把期货公司建设成为有竞争力的现代金融企业（定义为现代金融企业为期货公司的创新发展提供了支持）</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创新发展与制度供给：06年设立了期货保证金安全存管监控机构（中国期货市场监控中心），通过信息化的手段监控和比对期货公司、期货交易所和存管银行的三方数据，有效地确保资金安全，防止了挪用保证金的企图（市场化、法制化、国际化）</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《期货法》立法展望：国民经济、期货市场、投资者、国际竞争力</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期货法律法规体系的组成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效力等级从高到低，调整范围从高到低</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基础：民法典、公司法、刑法</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核心：期货交易管理条例</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主体：期货交易所（公司监督、从业人员、市场开户）管理办法（管理规定）等</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补充：期货从业人员执业行为准则等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期货交易管理条例</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总则</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立法宗旨：强监管、稳秩序、防风险、保权益、促发展</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适用范围：场外衍生品不在该条例调整范围之内</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基本原则：公开、公平、公正，诚实守信，反对欺诈、内幕交易，操纵期货交易价格</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监管体制：中国证监会对期货市场进行集中统一的监管监督</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期货交易的基本规则</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开户及其禁止：除期货交易所自营会员和经批准的境外交易者，绝大多数投资者都只能够作为期货公司的客户委托期货公司进行期货交易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期货公司不得接受以下委托：国家机关和事业单位、中国证监会及其派出机构、期货交易所、期货市场监控安全存管机构、中国期货业协会的工作人员及其配偶、以及期货公司工作人员及其配偶，证券、期货市场禁止进入者，未能提供开户证明材料的机构或个人）</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一户一码及禁止混码交易：落实实名制的要求（期货公司为客户申请交易编码应当向中国期货市场监控中心提交申请）</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全员结算与分级结算：全员结算即所有交易所的会员包括自营会员和期货公司会员都有资格与期货交易所进行结算，而会员的客户只能通过会员与交易所进行结算（上郑大都是全员结算制度）；分级结算即总体上将会员分为两种即结算会员与非结算会员，结算会员具有与交易所进行结算的资格，反之。期货交易所对结算会员结算，结算会员对非结算会员结算，非结算会员对其受托的客户结算。结算会员由交易结算会员、全面结算会员和特别结算会员组成，其中交易结算会员不得为非交易结算会员办理业务（中国金融期货交易所执行分级结算制度）</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“违约瀑布”与风险处置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财务资源被使用的概率从高到低，财务资源被使用的顺序从前到后：</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违约会员的保证金、违约会员的自有资金、分级结算期货交易所的结算担保金、期货交易所的风险准备金、期货交易所的自有资金</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default"/>
          <w:b w:val="0"/>
          <w:bCs w:val="0"/>
          <w:lang w:val="en-US" w:eastAsia="zh-CN"/>
        </w:rPr>
      </w:pPr>
      <w:r>
        <w:rPr>
          <w:rFonts w:hint="eastAsia"/>
          <w:b w:val="0"/>
          <w:bCs w:val="0"/>
          <w:lang w:val="en-US" w:eastAsia="zh-CN"/>
        </w:rPr>
        <w:t>交割及其禁止</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交割方式：实物交割（商品期货与国债期货）和现金交割（股指期货）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 xml:space="preserve"> 交割的是商品或商品权本身；到期强行平仓，直接将盈亏划到投资者的账户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 期货交易所的组织管理：期货交易所不得限制实物交割总量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交割仓库的规范运营（“五个不可为”）：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xml:space="preserve">  不可出具虚假仓单、不可违反期货交易所业务规则并限制交割商品的入出库、不可泄露与期货交易所有关的商业秘密、不可违反国家有关规定参与期货交易、不可违反中国证监会规定的其他行为</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期货业协会</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设立与运作：社会团体（重要的是不以盈利为目的，具有行业自律管理）</w:t>
      </w:r>
    </w:p>
    <w:p>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主要职责：教育培训、从业管理、自律规范、纠纷调解、权益维护、研究交流</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监督管理与法律责任</w:t>
      </w:r>
    </w:p>
    <w:p>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调查权 2.检察权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调查事先会有特定的行政相对人，是独立的行政行为，需要法律授权或法律依据，可诉行为；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检查是随机的，一般不可诉，目的主要为收集证据，确认事实是否存在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3 .处罚权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4.主要违法类型及责任（一倍以上五倍以下，不到十万的处十万到五十万）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操纵市场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xml:space="preserve"> 单独或合谋利用信息优势联合或连续买卖合约，操纵期货交易价格的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xml:space="preserve"> 蓄意串通，按照事先约定的方式进行期货交易，影响期货交易价格或者期货交易量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xml:space="preserve"> 以自己为交易对象自买自卖，影响期货交易价格或者交易量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 xml:space="preserve"> 为影响期货行情，囤积现货的其他操纵期货价格的行为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 xml:space="preserve"> 证监会规定的其他违规行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内幕交易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欺诈客户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val="0"/>
          <w:bCs w:val="0"/>
          <w:lang w:val="en-US" w:eastAsia="zh-CN"/>
        </w:rPr>
      </w:pPr>
      <w:r>
        <w:rPr>
          <w:rFonts w:hint="eastAsia"/>
          <w:b w:val="0"/>
          <w:bCs w:val="0"/>
          <w:lang w:val="en-US" w:eastAsia="zh-CN"/>
        </w:rPr>
        <w:t xml:space="preserve">  向客户作获利保证或者不按照规定向客户出示风险说明书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 xml:space="preserve">  在经济业务中与客户约定分享利益，共担风险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不按照规定接受客户委托或者不按照客户委托内容擅自进行期货交易的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隐瞒重要事项或使用其他不正当手段诱骗客户发出交易指令</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向客户提供虚假成交回报的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未将客户交易指令下达到期货交易所的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挪用客户保证金</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不按照规定在期货保证金存管银行开立保证金账户或者违规划转客户保证金的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xml:space="preserve">  证监会规定的其他违法行为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lang w:val="en-US" w:eastAsia="zh-CN"/>
        </w:rPr>
      </w:pPr>
      <w:r>
        <w:rPr>
          <w:rFonts w:hint="eastAsia"/>
          <w:b/>
          <w:bCs/>
          <w:lang w:val="en-US" w:eastAsia="zh-CN"/>
        </w:rPr>
        <w:t>期货交易所管理办法</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期货交易所的设立与运作</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设立审批（不能模仿交易所的名称）</w:t>
      </w:r>
    </w:p>
    <w:p>
      <w:pPr>
        <w:keepNext w:val="0"/>
        <w:keepLines w:val="0"/>
        <w:pageBreakBefore w:val="0"/>
        <w:widowControl w:val="0"/>
        <w:numPr>
          <w:ilvl w:val="0"/>
          <w:numId w:val="11"/>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法人治理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会员制交易所（上期所、郑商所、大商所）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 公司制交易所（中金所、广期所）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二者异同：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val="0"/>
          <w:bCs w:val="0"/>
          <w:lang w:val="en-US" w:eastAsia="zh-CN"/>
        </w:rPr>
      </w:pPr>
      <w:r>
        <w:rPr>
          <w:rFonts w:hint="eastAsia"/>
          <w:b w:val="0"/>
          <w:bCs w:val="0"/>
          <w:lang w:val="en-US" w:eastAsia="zh-CN"/>
        </w:rPr>
        <w:t>设立目的：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无盈利需求；有盈利需求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法律适用：民法；公司法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val="0"/>
          <w:bCs w:val="0"/>
          <w:lang w:val="en-US" w:eastAsia="zh-CN"/>
        </w:rPr>
      </w:pPr>
      <w:r>
        <w:rPr>
          <w:rFonts w:hint="eastAsia"/>
          <w:b w:val="0"/>
          <w:bCs w:val="0"/>
          <w:lang w:val="en-US" w:eastAsia="zh-CN"/>
        </w:rPr>
        <w:t>资金来源：会员缴纳；股东</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主要职责</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提供交易的场所、设施和服务</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设计合约，安排合约上市（不是由买卖双方设定的），但无权决定合约的上市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组织并监督交易、结算和交割</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为期货交易提供集中履约担保</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按照章程和交易规则对会员进行监督管理</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default"/>
          <w:b w:val="0"/>
          <w:bCs w:val="0"/>
          <w:lang w:val="en-US" w:eastAsia="zh-CN"/>
        </w:rPr>
      </w:pPr>
      <w:r>
        <w:rPr>
          <w:rFonts w:hint="eastAsia"/>
          <w:b w:val="0"/>
          <w:bCs w:val="0"/>
          <w:lang w:val="en-US" w:eastAsia="zh-CN"/>
        </w:rPr>
        <w:t>风险管理制度</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保证金制度：最低交易保证金，梯度保证金（持仓、数量的不同而不同）</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涨跌停章制度：期货合约在一个交易日内成交价格不能够高于或低于该合约上一交易日结算价为基准的某一涨跌幅度，超过该范围的报价视为无效不能够成交</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持仓限额和大户持仓报告制度</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当日无负债结算制度（当日结算）</w:t>
      </w:r>
    </w:p>
    <w:p>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风险准备金制度</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textAlignment w:val="auto"/>
        <w:rPr>
          <w:rFonts w:hint="eastAsia"/>
          <w:b w:val="0"/>
          <w:bCs w:val="0"/>
          <w:lang w:val="en-US" w:eastAsia="zh-CN"/>
        </w:rPr>
      </w:pPr>
      <w:r>
        <w:rPr>
          <w:rFonts w:hint="eastAsia"/>
          <w:b w:val="0"/>
          <w:bCs w:val="0"/>
          <w:lang w:val="en-US" w:eastAsia="zh-CN"/>
        </w:rPr>
        <w:t>监督管理</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重大事项审批：交易所的设立、品种上市、章程和交易规则</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检查、调查及其他监管要求</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重大事项报告</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紧急监管措施</w:t>
      </w:r>
    </w:p>
    <w:p>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auto"/>
        <w:rPr>
          <w:rFonts w:hint="default"/>
          <w:b w:val="0"/>
          <w:bCs w:val="0"/>
          <w:lang w:val="en-US" w:eastAsia="zh-CN"/>
        </w:rPr>
      </w:pPr>
      <w:r>
        <w:rPr>
          <w:rFonts w:hint="eastAsia"/>
          <w:b w:val="0"/>
          <w:bCs w:val="0"/>
          <w:lang w:val="en-US" w:eastAsia="zh-CN"/>
        </w:rPr>
        <w:t>违法行为处罚（重点关注欺诈、操纵等）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期货公司监督管理办法</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期货公司的设立与运作</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设立审批：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最低注册资本限额为RMB 3000万元；董事、监事、高级管理人员具备任职资格，从业人员具有从业资格；有法律行政法规规定的公司章程；主要股东及实际负责人具有持续盈利能力，信誉良好，最近三年无重大违法违规记录；有合格的经营场所和业务设施；有健全的风险管理和内部控制制度（货币出资比例不得低于85%，中国证监会六个月内做出批准决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补充：注册资本不低于RMB 一亿元；具有期货从业人员资格的人不少于15人；具备条件的高级管理人员不少于3人</w:t>
      </w:r>
    </w:p>
    <w:p>
      <w:pPr>
        <w:keepNext w:val="0"/>
        <w:keepLines w:val="0"/>
        <w:pageBreakBefore w:val="0"/>
        <w:widowControl w:val="0"/>
        <w:numPr>
          <w:ilvl w:val="0"/>
          <w:numId w:val="16"/>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法人治理：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关联交易管理、重大事项报告（股权被冻结；质押或解除质押股权；转让股权；可能造成公司治理的缺陷；变更业务范围或经营范围；董事等高级管理人员的变动；不可抗力造成的重大影响；重大违法违规受到处罚；变更名称；合并、分立或债务重组；进入解散破产） </w:t>
      </w:r>
    </w:p>
    <w:p>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0" w:firstLineChars="0"/>
        <w:jc w:val="both"/>
        <w:textAlignment w:val="auto"/>
        <w:rPr>
          <w:rFonts w:hint="eastAsia"/>
          <w:b w:val="0"/>
          <w:bCs w:val="0"/>
          <w:lang w:val="en-US" w:eastAsia="zh-CN"/>
        </w:rPr>
      </w:pPr>
      <w:r>
        <w:rPr>
          <w:rFonts w:hint="eastAsia"/>
          <w:b w:val="0"/>
          <w:bCs w:val="0"/>
          <w:lang w:val="en-US" w:eastAsia="zh-CN"/>
        </w:rPr>
        <w:t>主要业务及监管要求</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一般规定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适当性制度（了解并评估客户的实力）、业务公示和投诉处理制度（从业人员的资料公示）、数据备份制度、客户资产保护（客户资料保存期限自账户销毁之日起不得少于20年）、风险隔离制度</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期货经济业务：</w:t>
      </w:r>
      <w:r>
        <w:rPr>
          <w:rFonts w:hint="eastAsia"/>
          <w:b w:val="0"/>
          <w:bCs w:val="0"/>
          <w:lang w:val="en-US" w:eastAsia="zh-CN"/>
        </w:rPr>
        <w:br w:type="textWrapping"/>
      </w:r>
      <w:r>
        <w:rPr>
          <w:rFonts w:hint="eastAsia"/>
          <w:b w:val="0"/>
          <w:bCs w:val="0"/>
          <w:lang w:val="en-US" w:eastAsia="zh-CN"/>
        </w:rPr>
        <w:t>不适格客户（工作人员及其配偶，无材料的等）、开户信息审核、交易指令审核（书面、电话、计算机互联网，不得私下进行委托）、交易行为管理、错单处理</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期货投资咨询业务：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即风险管理顾问、研究分析、交易咨询等。禁止采取不当行为，如不当投资依据、确定性判断、谋取不当利益、传播虚假信息、个人名义取酬等</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资产管理业务：</w:t>
      </w:r>
      <w:r>
        <w:rPr>
          <w:rFonts w:hint="eastAsia"/>
          <w:b w:val="0"/>
          <w:bCs w:val="0"/>
          <w:lang w:val="en-US" w:eastAsia="zh-CN"/>
        </w:rPr>
        <w:br w:type="textWrapping"/>
      </w:r>
      <w:r>
        <w:rPr>
          <w:rFonts w:hint="eastAsia"/>
          <w:b w:val="0"/>
          <w:bCs w:val="0"/>
          <w:lang w:val="en-US" w:eastAsia="zh-CN"/>
        </w:rPr>
        <w:t>资管合同与专门合同、“一对一与一对多”、禁止从事行为</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风险管理业务：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基差贸易、仓单服务、合作套保、场外衍生品业务、做市业务、其他与风险管理服务相关的业务等，并对不同类型业务实施分类管理</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中间介绍业务：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目前主要是证券公司为期货公司介绍客户，理论上期货公司也可以为证券公司介绍业务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b/>
          <w:bCs/>
          <w:lang w:val="en-US" w:eastAsia="zh-CN"/>
        </w:rPr>
      </w:pPr>
      <w:r>
        <w:rPr>
          <w:rFonts w:hint="eastAsia"/>
          <w:b/>
          <w:bCs/>
          <w:lang w:val="en-US" w:eastAsia="zh-CN"/>
        </w:rPr>
        <w:t>其他衍生品交易的监管政策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相较之场内交易，场外衍生品交易更加注重从交易行为的角度规范交易主体：银保监会、国资委</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银行业金融机构衍生产品</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类别：套期保值类交易（划入银行账户管理），非套期保值类交易（划入交易账户管理）</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资格：经中国银保监会的审核</w:t>
      </w:r>
    </w:p>
    <w:p>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强监管：不得自主持有或向客户销售可能出现无限损失的裸卖空衍生产品，以及以衍生生产品为基础资产或挂钩指标的再衍生产品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二．保险资金参与金融衍生产品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1. 参与目的，对冲或规避风险（完全禁止投机）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2. 参与形式与资质（自行或委托机构）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3. 动态风险管理机制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4. 监督管理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三．保险资金参与国债期货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所持有的买入国债期货合约价值不得超过该资产组合净值的50%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卖出国债期货合约价值与买入国债期货合约价值，不得合并轧差计算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四．保险资金参与股指期货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所持有的买入股指期货合约价值与股票、股票型基金及其他净值型权益类资产管理产品之和，不得超过资产组合净值的100%</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0" w:firstLineChars="0"/>
        <w:jc w:val="both"/>
        <w:textAlignment w:val="auto"/>
        <w:rPr>
          <w:rFonts w:hint="eastAsia"/>
          <w:b w:val="0"/>
          <w:bCs w:val="0"/>
          <w:lang w:val="en-US" w:eastAsia="zh-CN"/>
        </w:rPr>
      </w:pPr>
      <w:r>
        <w:rPr>
          <w:rFonts w:hint="eastAsia"/>
          <w:b w:val="0"/>
          <w:bCs w:val="0"/>
          <w:lang w:val="en-US" w:eastAsia="zh-CN"/>
        </w:rPr>
        <w:t>加强金融衍生业务管理</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目标：严格管控，规范操作，风险可控</w:t>
      </w:r>
    </w:p>
    <w:p>
      <w:pPr>
        <w:keepNext w:val="0"/>
        <w:keepLines w:val="0"/>
        <w:pageBreakBefore w:val="0"/>
        <w:widowControl w:val="0"/>
        <w:numPr>
          <w:ilvl w:val="0"/>
          <w:numId w:val="2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原则：商品类衍生业务年度保值不超过年度实货经营规模的90%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衍生品业务内部控制的基本概念</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定义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企业基于价值创造或降低风险的目的而在其内部建立的一种内部规定、政策或流程</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三大目标</w:t>
      </w:r>
    </w:p>
    <w:p>
      <w:pPr>
        <w:keepNext w:val="0"/>
        <w:keepLines w:val="0"/>
        <w:pageBreakBefore w:val="0"/>
        <w:widowControl w:val="0"/>
        <w:numPr>
          <w:ilvl w:val="0"/>
          <w:numId w:val="2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财务报告目标：为企业编制财务与非财务的内外部报告提供可靠信息</w:t>
      </w:r>
    </w:p>
    <w:p>
      <w:pPr>
        <w:keepNext w:val="0"/>
        <w:keepLines w:val="0"/>
        <w:pageBreakBefore w:val="0"/>
        <w:widowControl w:val="0"/>
        <w:numPr>
          <w:ilvl w:val="0"/>
          <w:numId w:val="2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运营目标：战略、机制、措施</w:t>
      </w:r>
    </w:p>
    <w:p>
      <w:pPr>
        <w:keepNext w:val="0"/>
        <w:keepLines w:val="0"/>
        <w:pageBreakBefore w:val="0"/>
        <w:widowControl w:val="0"/>
        <w:numPr>
          <w:ilvl w:val="0"/>
          <w:numId w:val="22"/>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合规目标：</w:t>
      </w:r>
    </w:p>
    <w:p>
      <w:pPr>
        <w:keepNext w:val="0"/>
        <w:keepLines w:val="0"/>
        <w:pageBreakBefore w:val="0"/>
        <w:widowControl w:val="0"/>
        <w:numPr>
          <w:ilvl w:val="0"/>
          <w:numId w:val="21"/>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val="0"/>
          <w:bCs w:val="0"/>
          <w:lang w:val="en-US" w:eastAsia="zh-CN"/>
        </w:rPr>
        <w:t>五大基本要素</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内部环境：内部控制的基础，一般包括治理结构、机构设置及权责分配、人力资源政策（董事、监事、高级管理人员、员工）、企业文化、内部审计</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风险评估：风险规避、风险分散、风险转移、风险承受</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控制活动：隔离、系统建设、制度建设 </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信息沟通</w:t>
      </w:r>
    </w:p>
    <w:p>
      <w:pPr>
        <w:keepNext w:val="0"/>
        <w:keepLines w:val="0"/>
        <w:pageBreakBefore w:val="0"/>
        <w:widowControl w:val="0"/>
        <w:numPr>
          <w:ilvl w:val="0"/>
          <w:numId w:val="23"/>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内部监督：制度及机构人员、监督、整改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衍生品业务内部控制与公司治理、风险管理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一．内部控制与公司治理、风险管理之间的关系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内部控制是风险管理的组成部分，是公司治理的要素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二．以期货经营机构为例的内部控制介绍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1. 业务线：经济业务、投资咨询业务、资产管理业务、业务创新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业务通用的基本要求：市场营销及客户服务-投资者适当性-反洗钱-回访-投诉及处理-应急处理-印章管理-合同管理-档案管理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 经济业务：账户管理、交易管理、异常交易管理、客户资产保护、员工行为监督、结算交割、居间和IB管理、资料保存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 投资咨询服务：信息管理、防火墙设置、留痕管理、禁止行为管理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 资产管理业务：业务信息隔离、投资决策与授权管理、募集管理、交易监控、特殊交易管理、流动性管理、信用风险管理、关联交易管理、估值清算、投资业务评价、信息披露 </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 - 场外衍生品业务：产品设计、定价模型、询价报价、交易管理、对冲管理、结算管理、客户管理、系统管理、授信管理、风险管理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2. 机构线：子公司管理、分支机构管理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3. 管理线：信心披露管理、信息系统管理、财务会计系统管理、人力资源管理、监察稽核</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三．以期货经营机构为例的风险管理介绍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原则：准确识别、审慎评估、全程管理、及时管理、及时应对、动态监控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分类：合规、市场、模型、信用、法律、操作性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（市场：具体至场外期权，指因场外期权挂钩的标的价格变动而导致损失的风险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 xml:space="preserve">        度量指标如敏感性指标、VaR、压力测试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信用：与公司进行场外期权交易的对手违约导致公司发生损失的风险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 xml:space="preserve">        交易对手信用风险 = 交易对手违约风险 + 信用估值调整风险 CCR + CVA）、</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新环境下衍生品业务内部控制要求的变化</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治理监管的需求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股东：准入条件、持续经营指标、资产安全性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董事会：决策机制、专业委员会、最终管理责任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关联交易：防范利益输送</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服务实体的需求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鼓励社会影响，解决各种风险</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经营主体业务多元化的需求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各主营业务间相互隔离、公司与子公司的业务协同、创新业务使用衍生品业务的复杂性</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法律法规变化及合规的需求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期货法及期货交易管理条例、个人信息保护法、反洗钱等</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信息技术发展的需求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关注点：网络安全、虚拟化存储、技术外包、云计算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理解：IT控制、管理、治理</w:t>
      </w:r>
    </w:p>
    <w:p>
      <w:pPr>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廉洁从业的需求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风险：利用职权谋取私利、损害本企业利益</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涉及：销售、交易、结算、交割等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bCs/>
          <w:lang w:val="en-US" w:eastAsia="zh-CN"/>
        </w:rPr>
      </w:pPr>
      <w:r>
        <w:rPr>
          <w:rFonts w:hint="eastAsia"/>
          <w:b/>
          <w:bCs/>
          <w:lang w:val="en-US" w:eastAsia="zh-CN"/>
        </w:rPr>
        <w:t>期货与衍生品市场违法违规行为的主要类型</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市场交易类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市场操纵、内幕交易、国有企业违规从事期货交易、违规从事境外期货交易等</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信息报送与传播违规类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期货公司不按照规定报送文件、交易所或非期货公司结算会员不按规定报送资料、编造传播期货虚假信息、中介机构未勤勉尽责出具虚假文件</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机构管理违规类：机构管理不当</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机构业务运营违规类</w:t>
      </w:r>
    </w:p>
    <w:p>
      <w:pPr>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0" w:firstLineChars="0"/>
        <w:jc w:val="both"/>
        <w:textAlignment w:val="auto"/>
        <w:rPr>
          <w:rFonts w:hint="default"/>
          <w:b w:val="0"/>
          <w:bCs w:val="0"/>
          <w:lang w:val="en-US" w:eastAsia="zh-CN"/>
        </w:rPr>
      </w:pPr>
      <w:r>
        <w:rPr>
          <w:rFonts w:hint="eastAsia"/>
          <w:b w:val="0"/>
          <w:bCs w:val="0"/>
          <w:lang w:val="en-US" w:eastAsia="zh-CN"/>
        </w:rPr>
        <w:t>非法经营类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val="0"/>
          <w:bCs w:val="0"/>
          <w:lang w:val="en-US" w:eastAsia="zh-CN"/>
        </w:rPr>
      </w:pPr>
      <w:r>
        <w:rPr>
          <w:rFonts w:hint="eastAsia"/>
          <w:b w:val="0"/>
          <w:bCs w:val="0"/>
          <w:lang w:val="en-US" w:eastAsia="zh-CN"/>
        </w:rPr>
        <w:t>非法设立期货交易所、非法设立期货经营机构、违规开展期货业务、骗取期货业务许可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bCs/>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b/>
          <w:bCs/>
          <w:lang w:val="en-US" w:eastAsia="zh-CN"/>
        </w:rPr>
      </w:pPr>
      <w:r>
        <w:rPr>
          <w:rFonts w:hint="eastAsia"/>
          <w:b/>
          <w:bCs/>
          <w:lang w:val="en-US" w:eastAsia="zh-CN"/>
        </w:rPr>
        <w:t>查处期货与衍生品市场违法违规行为的机制</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监管部门查处违法违规行为总体情况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期货交易所：异常交易、限制开仓、关系账户、重点监控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证监会：监督检查、行政监管、行政处罚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中国人民银行：行政处罚</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异常交易监管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两个层面四个维度：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市场、品种、客户、会员（委托、价量、频率、账户）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典型的异常行为：自成交、对倒、频繁报撤单、大额报撤单、超额持仓、日内超量开仓、非正常程序化交易（处理机制：电话提醒、列入名单、会员通报、约见谈话、限制平仓、限制开仓、强行平仓）</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监管措施（依据：实体依据、程序依据）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申戒类、限制财产权类、限制行为类、限制资格类</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案件调查与处罚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行政处罚的实体种类：警告、罚款、没收违法所得、公开谴责、市场禁入、撤销部分或者全部期货业务许可、关闭分支机构</w:t>
      </w:r>
    </w:p>
    <w:p>
      <w:pPr>
        <w:keepNext w:val="0"/>
        <w:keepLines w:val="0"/>
        <w:pageBreakBefore w:val="0"/>
        <w:widowControl w:val="0"/>
        <w:numPr>
          <w:ilvl w:val="0"/>
          <w:numId w:val="26"/>
        </w:numPr>
        <w:kinsoku/>
        <w:wordWrap/>
        <w:overflowPunct/>
        <w:topLinePunct w:val="0"/>
        <w:autoSpaceDE/>
        <w:autoSpaceDN/>
        <w:bidi w:val="0"/>
        <w:adjustRightInd/>
        <w:snapToGrid/>
        <w:spacing w:line="360" w:lineRule="auto"/>
        <w:ind w:leftChars="0"/>
        <w:jc w:val="both"/>
        <w:textAlignment w:val="auto"/>
        <w:rPr>
          <w:rFonts w:hint="default"/>
          <w:b w:val="0"/>
          <w:bCs w:val="0"/>
          <w:lang w:val="en-US" w:eastAsia="zh-CN"/>
        </w:rPr>
      </w:pPr>
      <w:r>
        <w:rPr>
          <w:rFonts w:hint="eastAsia"/>
          <w:b w:val="0"/>
          <w:bCs w:val="0"/>
          <w:lang w:val="en-US" w:eastAsia="zh-CN"/>
        </w:rPr>
        <w:t>诚信措施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操纵市场的查处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操纵行为的认定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类型：抢帽子、挤仓、约定交易操纵、洗售、囤积现货、连续交易操纵、蛊惑交易、幌骗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相关案例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期货经营机构违规经营行为的查处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主要表现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经纪业务：诱导或参与配资行为，为配资行为提供便利；未对客户的异常交易行为实施有效监控，或期货居间人员管理方面存在缺陷。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资管业务：经营不独立、未能准确报告情况、未实地调研、报告雷同的情况等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非法经营的查处</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查处机制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处非机制（处置非法集资），打非机制，清整机制，执法处罚</w:t>
      </w:r>
    </w:p>
    <w:p>
      <w:pPr>
        <w:keepNext w:val="0"/>
        <w:keepLines w:val="0"/>
        <w:pageBreakBefore w:val="0"/>
        <w:widowControl w:val="0"/>
        <w:numPr>
          <w:ilvl w:val="0"/>
          <w:numId w:val="27"/>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r>
        <w:rPr>
          <w:rFonts w:hint="eastAsia"/>
          <w:b w:val="0"/>
          <w:bCs w:val="0"/>
          <w:lang w:val="en-US" w:eastAsia="zh-CN"/>
        </w:rPr>
        <w:t>组织非法期货交易活动的认定标准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就目的而言：以标准化合约为交易对象，允许交易者以对冲平仓方式了结交易，而不以实物交收为目的或不必交易实物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bCs w:val="0"/>
          <w:lang w:val="en-US" w:eastAsia="zh-CN"/>
        </w:rPr>
      </w:pPr>
      <w:r>
        <w:rPr>
          <w:rFonts w:hint="eastAsia"/>
          <w:b w:val="0"/>
          <w:bCs w:val="0"/>
          <w:lang w:val="en-US" w:eastAsia="zh-CN"/>
        </w:rPr>
        <w:t>就交易形式而言：交易对象为标准化合约；交易方式为集中交易</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w:t>
      </w:r>
      <w:r>
        <w:rPr>
          <w:rFonts w:hint="eastAsia"/>
          <w:b/>
          <w:bCs/>
          <w:lang w:val="en-US" w:eastAsia="zh-CN"/>
        </w:rPr>
        <w:t>信义义务、守法与职业道德要求司法案例分析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判断受托人是否违反勤勉义务：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一般人的注意义务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受托人所处行业中的最低注意水平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受托人所处行业中的最高注意水平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（若受托人连第一层次的水平都未达到，就会被以存在显著过失行为由进行追责）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忠实义务的具体要求：</w:t>
      </w:r>
      <w:r>
        <w:rPr>
          <w:rFonts w:hint="eastAsia"/>
          <w:lang w:val="en-US" w:eastAsia="zh-CN"/>
        </w:rPr>
        <w:br w:type="textWrapping"/>
      </w:r>
      <w:r>
        <w:rPr>
          <w:rFonts w:hint="eastAsia"/>
          <w:lang w:val="en-US" w:eastAsia="zh-CN"/>
        </w:rPr>
        <w:t>客户利益优先原则、不欺诈客户、不进行内幕交易和操纵市场、不进行不正当的竞争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勤勉义务的具体要求：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敬畏风险，审慎执业、严格遵守所在期货经营机构的授权制度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背信运用受托财产罪：</w:t>
      </w:r>
      <w:r>
        <w:rPr>
          <w:rFonts w:hint="eastAsia"/>
          <w:lang w:val="en-US" w:eastAsia="zh-CN"/>
        </w:rPr>
        <w:br w:type="textWrapping"/>
      </w:r>
      <w:r>
        <w:rPr>
          <w:rFonts w:hint="eastAsia"/>
          <w:lang w:val="en-US" w:eastAsia="zh-CN"/>
        </w:rPr>
        <w:t>擅自运用客户资金或者其他委托、信托的财产数额在三十万元以上的；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虽未达到上述数额标准，但多次擅自运用客户资金或者其他委托、信托的财产，或者擅自运用多个客户资金或者其他委托、信托的财产的；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其他情节严重的情节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9D35B"/>
    <w:multiLevelType w:val="singleLevel"/>
    <w:tmpl w:val="8C39D35B"/>
    <w:lvl w:ilvl="0" w:tentative="0">
      <w:start w:val="1"/>
      <w:numFmt w:val="decimal"/>
      <w:suff w:val="space"/>
      <w:lvlText w:val="%1."/>
      <w:lvlJc w:val="left"/>
    </w:lvl>
  </w:abstractNum>
  <w:abstractNum w:abstractNumId="1">
    <w:nsid w:val="8D92BC86"/>
    <w:multiLevelType w:val="singleLevel"/>
    <w:tmpl w:val="8D92BC86"/>
    <w:lvl w:ilvl="0" w:tentative="0">
      <w:start w:val="1"/>
      <w:numFmt w:val="decimal"/>
      <w:suff w:val="space"/>
      <w:lvlText w:val="%1."/>
      <w:lvlJc w:val="left"/>
    </w:lvl>
  </w:abstractNum>
  <w:abstractNum w:abstractNumId="2">
    <w:nsid w:val="91D03FF2"/>
    <w:multiLevelType w:val="singleLevel"/>
    <w:tmpl w:val="91D03FF2"/>
    <w:lvl w:ilvl="0" w:tentative="0">
      <w:start w:val="1"/>
      <w:numFmt w:val="decimal"/>
      <w:suff w:val="space"/>
      <w:lvlText w:val="%1."/>
      <w:lvlJc w:val="left"/>
    </w:lvl>
  </w:abstractNum>
  <w:abstractNum w:abstractNumId="3">
    <w:nsid w:val="ADFFAE79"/>
    <w:multiLevelType w:val="singleLevel"/>
    <w:tmpl w:val="ADFFAE79"/>
    <w:lvl w:ilvl="0" w:tentative="0">
      <w:start w:val="1"/>
      <w:numFmt w:val="decimal"/>
      <w:suff w:val="space"/>
      <w:lvlText w:val="%1."/>
      <w:lvlJc w:val="left"/>
    </w:lvl>
  </w:abstractNum>
  <w:abstractNum w:abstractNumId="4">
    <w:nsid w:val="BFC0E8D6"/>
    <w:multiLevelType w:val="singleLevel"/>
    <w:tmpl w:val="BFC0E8D6"/>
    <w:lvl w:ilvl="0" w:tentative="0">
      <w:start w:val="1"/>
      <w:numFmt w:val="decimal"/>
      <w:suff w:val="space"/>
      <w:lvlText w:val="%1."/>
      <w:lvlJc w:val="left"/>
    </w:lvl>
  </w:abstractNum>
  <w:abstractNum w:abstractNumId="5">
    <w:nsid w:val="C1BA9C2E"/>
    <w:multiLevelType w:val="singleLevel"/>
    <w:tmpl w:val="C1BA9C2E"/>
    <w:lvl w:ilvl="0" w:tentative="0">
      <w:start w:val="1"/>
      <w:numFmt w:val="decimal"/>
      <w:suff w:val="space"/>
      <w:lvlText w:val="%1."/>
      <w:lvlJc w:val="left"/>
    </w:lvl>
  </w:abstractNum>
  <w:abstractNum w:abstractNumId="6">
    <w:nsid w:val="C307BFF3"/>
    <w:multiLevelType w:val="singleLevel"/>
    <w:tmpl w:val="C307BFF3"/>
    <w:lvl w:ilvl="0" w:tentative="0">
      <w:start w:val="1"/>
      <w:numFmt w:val="chineseCounting"/>
      <w:suff w:val="nothing"/>
      <w:lvlText w:val="%1．"/>
      <w:lvlJc w:val="left"/>
      <w:rPr>
        <w:rFonts w:hint="eastAsia"/>
      </w:rPr>
    </w:lvl>
  </w:abstractNum>
  <w:abstractNum w:abstractNumId="7">
    <w:nsid w:val="C5BCB5BA"/>
    <w:multiLevelType w:val="singleLevel"/>
    <w:tmpl w:val="C5BCB5BA"/>
    <w:lvl w:ilvl="0" w:tentative="0">
      <w:start w:val="1"/>
      <w:numFmt w:val="decimal"/>
      <w:suff w:val="space"/>
      <w:lvlText w:val="%1."/>
      <w:lvlJc w:val="left"/>
    </w:lvl>
  </w:abstractNum>
  <w:abstractNum w:abstractNumId="8">
    <w:nsid w:val="C853AAE0"/>
    <w:multiLevelType w:val="singleLevel"/>
    <w:tmpl w:val="C853AAE0"/>
    <w:lvl w:ilvl="0" w:tentative="0">
      <w:start w:val="1"/>
      <w:numFmt w:val="decimal"/>
      <w:suff w:val="space"/>
      <w:lvlText w:val="%1."/>
      <w:lvlJc w:val="left"/>
    </w:lvl>
  </w:abstractNum>
  <w:abstractNum w:abstractNumId="9">
    <w:nsid w:val="CD04E68E"/>
    <w:multiLevelType w:val="singleLevel"/>
    <w:tmpl w:val="CD04E68E"/>
    <w:lvl w:ilvl="0" w:tentative="0">
      <w:start w:val="1"/>
      <w:numFmt w:val="decimal"/>
      <w:suff w:val="space"/>
      <w:lvlText w:val="%1."/>
      <w:lvlJc w:val="left"/>
    </w:lvl>
  </w:abstractNum>
  <w:abstractNum w:abstractNumId="10">
    <w:nsid w:val="CE70585A"/>
    <w:multiLevelType w:val="singleLevel"/>
    <w:tmpl w:val="CE70585A"/>
    <w:lvl w:ilvl="0" w:tentative="0">
      <w:start w:val="1"/>
      <w:numFmt w:val="decimal"/>
      <w:suff w:val="space"/>
      <w:lvlText w:val="%1."/>
      <w:lvlJc w:val="left"/>
    </w:lvl>
  </w:abstractNum>
  <w:abstractNum w:abstractNumId="11">
    <w:nsid w:val="E19A6068"/>
    <w:multiLevelType w:val="singleLevel"/>
    <w:tmpl w:val="E19A6068"/>
    <w:lvl w:ilvl="0" w:tentative="0">
      <w:start w:val="3"/>
      <w:numFmt w:val="chineseCounting"/>
      <w:suff w:val="nothing"/>
      <w:lvlText w:val="%1．"/>
      <w:lvlJc w:val="left"/>
      <w:rPr>
        <w:rFonts w:hint="eastAsia"/>
      </w:rPr>
    </w:lvl>
  </w:abstractNum>
  <w:abstractNum w:abstractNumId="12">
    <w:nsid w:val="E75AE6C7"/>
    <w:multiLevelType w:val="singleLevel"/>
    <w:tmpl w:val="E75AE6C7"/>
    <w:lvl w:ilvl="0" w:tentative="0">
      <w:start w:val="1"/>
      <w:numFmt w:val="decimal"/>
      <w:suff w:val="space"/>
      <w:lvlText w:val="%1."/>
      <w:lvlJc w:val="left"/>
    </w:lvl>
  </w:abstractNum>
  <w:abstractNum w:abstractNumId="13">
    <w:nsid w:val="E776D0CD"/>
    <w:multiLevelType w:val="singleLevel"/>
    <w:tmpl w:val="E776D0CD"/>
    <w:lvl w:ilvl="0" w:tentative="0">
      <w:start w:val="1"/>
      <w:numFmt w:val="decimal"/>
      <w:suff w:val="space"/>
      <w:lvlText w:val="%1."/>
      <w:lvlJc w:val="left"/>
    </w:lvl>
  </w:abstractNum>
  <w:abstractNum w:abstractNumId="14">
    <w:nsid w:val="EC89205C"/>
    <w:multiLevelType w:val="singleLevel"/>
    <w:tmpl w:val="EC89205C"/>
    <w:lvl w:ilvl="0" w:tentative="0">
      <w:start w:val="1"/>
      <w:numFmt w:val="decimal"/>
      <w:suff w:val="space"/>
      <w:lvlText w:val="%1."/>
      <w:lvlJc w:val="left"/>
    </w:lvl>
  </w:abstractNum>
  <w:abstractNum w:abstractNumId="15">
    <w:nsid w:val="F486783D"/>
    <w:multiLevelType w:val="singleLevel"/>
    <w:tmpl w:val="F486783D"/>
    <w:lvl w:ilvl="0" w:tentative="0">
      <w:start w:val="1"/>
      <w:numFmt w:val="chineseCounting"/>
      <w:suff w:val="nothing"/>
      <w:lvlText w:val="%1．"/>
      <w:lvlJc w:val="left"/>
      <w:rPr>
        <w:rFonts w:hint="eastAsia"/>
      </w:rPr>
    </w:lvl>
  </w:abstractNum>
  <w:abstractNum w:abstractNumId="16">
    <w:nsid w:val="F6BAF8AA"/>
    <w:multiLevelType w:val="singleLevel"/>
    <w:tmpl w:val="F6BAF8AA"/>
    <w:lvl w:ilvl="0" w:tentative="0">
      <w:start w:val="1"/>
      <w:numFmt w:val="decimal"/>
      <w:suff w:val="space"/>
      <w:lvlText w:val="%1."/>
      <w:lvlJc w:val="left"/>
    </w:lvl>
  </w:abstractNum>
  <w:abstractNum w:abstractNumId="17">
    <w:nsid w:val="029494A0"/>
    <w:multiLevelType w:val="singleLevel"/>
    <w:tmpl w:val="029494A0"/>
    <w:lvl w:ilvl="0" w:tentative="0">
      <w:start w:val="1"/>
      <w:numFmt w:val="decimal"/>
      <w:suff w:val="space"/>
      <w:lvlText w:val="%1."/>
      <w:lvlJc w:val="left"/>
    </w:lvl>
  </w:abstractNum>
  <w:abstractNum w:abstractNumId="18">
    <w:nsid w:val="02D873C0"/>
    <w:multiLevelType w:val="singleLevel"/>
    <w:tmpl w:val="02D873C0"/>
    <w:lvl w:ilvl="0" w:tentative="0">
      <w:start w:val="1"/>
      <w:numFmt w:val="decimal"/>
      <w:suff w:val="space"/>
      <w:lvlText w:val="%1."/>
      <w:lvlJc w:val="left"/>
    </w:lvl>
  </w:abstractNum>
  <w:abstractNum w:abstractNumId="19">
    <w:nsid w:val="08AEEA9A"/>
    <w:multiLevelType w:val="singleLevel"/>
    <w:tmpl w:val="08AEEA9A"/>
    <w:lvl w:ilvl="0" w:tentative="0">
      <w:start w:val="1"/>
      <w:numFmt w:val="chineseCounting"/>
      <w:suff w:val="nothing"/>
      <w:lvlText w:val="%1、"/>
      <w:lvlJc w:val="left"/>
      <w:rPr>
        <w:rFonts w:hint="eastAsia"/>
      </w:rPr>
    </w:lvl>
  </w:abstractNum>
  <w:abstractNum w:abstractNumId="20">
    <w:nsid w:val="122EE93C"/>
    <w:multiLevelType w:val="singleLevel"/>
    <w:tmpl w:val="122EE93C"/>
    <w:lvl w:ilvl="0" w:tentative="0">
      <w:start w:val="1"/>
      <w:numFmt w:val="chineseCounting"/>
      <w:suff w:val="nothing"/>
      <w:lvlText w:val="%1．"/>
      <w:lvlJc w:val="left"/>
      <w:rPr>
        <w:rFonts w:hint="eastAsia"/>
      </w:rPr>
    </w:lvl>
  </w:abstractNum>
  <w:abstractNum w:abstractNumId="21">
    <w:nsid w:val="205F1B2D"/>
    <w:multiLevelType w:val="singleLevel"/>
    <w:tmpl w:val="205F1B2D"/>
    <w:lvl w:ilvl="0" w:tentative="0">
      <w:start w:val="1"/>
      <w:numFmt w:val="chineseCounting"/>
      <w:suff w:val="nothing"/>
      <w:lvlText w:val="%1．"/>
      <w:lvlJc w:val="left"/>
      <w:rPr>
        <w:rFonts w:hint="eastAsia"/>
      </w:rPr>
    </w:lvl>
  </w:abstractNum>
  <w:abstractNum w:abstractNumId="22">
    <w:nsid w:val="29422779"/>
    <w:multiLevelType w:val="singleLevel"/>
    <w:tmpl w:val="29422779"/>
    <w:lvl w:ilvl="0" w:tentative="0">
      <w:start w:val="1"/>
      <w:numFmt w:val="decimal"/>
      <w:suff w:val="space"/>
      <w:lvlText w:val="%1."/>
      <w:lvlJc w:val="left"/>
    </w:lvl>
  </w:abstractNum>
  <w:abstractNum w:abstractNumId="23">
    <w:nsid w:val="3D931D6F"/>
    <w:multiLevelType w:val="singleLevel"/>
    <w:tmpl w:val="3D931D6F"/>
    <w:lvl w:ilvl="0" w:tentative="0">
      <w:start w:val="1"/>
      <w:numFmt w:val="decimal"/>
      <w:suff w:val="space"/>
      <w:lvlText w:val="%1."/>
      <w:lvlJc w:val="left"/>
    </w:lvl>
  </w:abstractNum>
  <w:abstractNum w:abstractNumId="24">
    <w:nsid w:val="3F456593"/>
    <w:multiLevelType w:val="singleLevel"/>
    <w:tmpl w:val="3F456593"/>
    <w:lvl w:ilvl="0" w:tentative="0">
      <w:start w:val="1"/>
      <w:numFmt w:val="decimal"/>
      <w:suff w:val="space"/>
      <w:lvlText w:val="%1."/>
      <w:lvlJc w:val="left"/>
    </w:lvl>
  </w:abstractNum>
  <w:abstractNum w:abstractNumId="25">
    <w:nsid w:val="478DF681"/>
    <w:multiLevelType w:val="singleLevel"/>
    <w:tmpl w:val="478DF681"/>
    <w:lvl w:ilvl="0" w:tentative="0">
      <w:start w:val="1"/>
      <w:numFmt w:val="decimal"/>
      <w:suff w:val="space"/>
      <w:lvlText w:val="%1."/>
      <w:lvlJc w:val="left"/>
    </w:lvl>
  </w:abstractNum>
  <w:abstractNum w:abstractNumId="26">
    <w:nsid w:val="6E3260DA"/>
    <w:multiLevelType w:val="singleLevel"/>
    <w:tmpl w:val="6E3260DA"/>
    <w:lvl w:ilvl="0" w:tentative="0">
      <w:start w:val="1"/>
      <w:numFmt w:val="decimal"/>
      <w:suff w:val="space"/>
      <w:lvlText w:val="%1."/>
      <w:lvlJc w:val="left"/>
    </w:lvl>
  </w:abstractNum>
  <w:num w:numId="1">
    <w:abstractNumId w:val="5"/>
  </w:num>
  <w:num w:numId="2">
    <w:abstractNumId w:val="11"/>
  </w:num>
  <w:num w:numId="3">
    <w:abstractNumId w:val="13"/>
  </w:num>
  <w:num w:numId="4">
    <w:abstractNumId w:val="7"/>
  </w:num>
  <w:num w:numId="5">
    <w:abstractNumId w:val="6"/>
  </w:num>
  <w:num w:numId="6">
    <w:abstractNumId w:val="10"/>
  </w:num>
  <w:num w:numId="7">
    <w:abstractNumId w:val="8"/>
  </w:num>
  <w:num w:numId="8">
    <w:abstractNumId w:val="24"/>
  </w:num>
  <w:num w:numId="9">
    <w:abstractNumId w:val="4"/>
  </w:num>
  <w:num w:numId="10">
    <w:abstractNumId w:val="15"/>
  </w:num>
  <w:num w:numId="11">
    <w:abstractNumId w:val="3"/>
  </w:num>
  <w:num w:numId="12">
    <w:abstractNumId w:val="0"/>
  </w:num>
  <w:num w:numId="13">
    <w:abstractNumId w:val="14"/>
  </w:num>
  <w:num w:numId="14">
    <w:abstractNumId w:val="22"/>
  </w:num>
  <w:num w:numId="15">
    <w:abstractNumId w:val="21"/>
  </w:num>
  <w:num w:numId="16">
    <w:abstractNumId w:val="2"/>
  </w:num>
  <w:num w:numId="17">
    <w:abstractNumId w:val="25"/>
  </w:num>
  <w:num w:numId="18">
    <w:abstractNumId w:val="19"/>
  </w:num>
  <w:num w:numId="19">
    <w:abstractNumId w:val="17"/>
  </w:num>
  <w:num w:numId="20">
    <w:abstractNumId w:val="12"/>
  </w:num>
  <w:num w:numId="21">
    <w:abstractNumId w:val="20"/>
  </w:num>
  <w:num w:numId="22">
    <w:abstractNumId w:val="18"/>
  </w:num>
  <w:num w:numId="23">
    <w:abstractNumId w:val="9"/>
  </w:num>
  <w:num w:numId="24">
    <w:abstractNumId w:val="26"/>
  </w:num>
  <w:num w:numId="25">
    <w:abstractNumId w:val="1"/>
  </w:num>
  <w:num w:numId="26">
    <w:abstractNumId w:val="2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22E7372"/>
    <w:rsid w:val="03EF77DC"/>
    <w:rsid w:val="0B2E4844"/>
    <w:rsid w:val="10D05937"/>
    <w:rsid w:val="12B1240A"/>
    <w:rsid w:val="25982C4A"/>
    <w:rsid w:val="30D97F66"/>
    <w:rsid w:val="3310569F"/>
    <w:rsid w:val="33811EB9"/>
    <w:rsid w:val="36DC5DBE"/>
    <w:rsid w:val="37A571E0"/>
    <w:rsid w:val="3DAC10FA"/>
    <w:rsid w:val="48784B25"/>
    <w:rsid w:val="4C497143"/>
    <w:rsid w:val="56DC26F2"/>
    <w:rsid w:val="5D15354E"/>
    <w:rsid w:val="6069373D"/>
    <w:rsid w:val="631A06C6"/>
    <w:rsid w:val="6B07327D"/>
    <w:rsid w:val="6D2F2EE9"/>
    <w:rsid w:val="701547C0"/>
    <w:rsid w:val="71176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5906</Words>
  <Characters>5942</Characters>
  <Lines>0</Lines>
  <Paragraphs>0</Paragraphs>
  <TotalTime>0</TotalTime>
  <ScaleCrop>false</ScaleCrop>
  <LinksUpToDate>false</LinksUpToDate>
  <CharactersWithSpaces>6037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2024-06-25T01:03:00Z</dcterms:created>
  <dc:creator>ASUS</dc:creator>
  <cp:lastModifiedBy>今天小马又打球了</cp:lastModifiedBy>
  <dcterms:modified xsi:type="dcterms:W3CDTF">2024-07-03T02:54:50Z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A2E5BC14D16B4BFFB5C7B871ACE8D69D_12</vt:lpwstr>
  </property>
</Properties>
</file>