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9E3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期货：期货与现货相对应，并由现货衍生而来，期货不是货，而是标准化合约</w:t>
      </w:r>
    </w:p>
    <w:p w14:paraId="380AFA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期货市场：标准化期货合约交易的场所，期货合约种类繁多，不同的期货交易所上市不同的期货合约产品</w:t>
      </w:r>
    </w:p>
    <w:p w14:paraId="71A209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1848年芝加哥期货交易所CBOT的诞生标志着现代期货市场的产生，1865年所推出的标准化期货合约和保证金制度标志着期货交易的诞生。</w:t>
      </w:r>
    </w:p>
    <w:p w14:paraId="7B08BC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07F566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商品期货：指标的物为实物商品的期货合约。包括农产品期货，金属期货，能源化工期货</w:t>
      </w:r>
    </w:p>
    <w:p w14:paraId="2E32E0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1876年伦敦金属交易所LME开金属期货交易先河，主要交易有色金属品种；</w:t>
      </w:r>
    </w:p>
    <w:p w14:paraId="6E0A2A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1848年芝加哥期货交易所CBOT开始推出玉米大豆等谷物期货；</w:t>
      </w:r>
    </w:p>
    <w:p w14:paraId="72CC8B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目前纽约商业交易所NYMEX和伦敦的洲际交易所ICE是世界最具影响力的能源期货交易所。</w:t>
      </w:r>
    </w:p>
    <w:p w14:paraId="251D41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3E2A1B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金融期货</w:t>
      </w:r>
    </w:p>
    <w:p w14:paraId="5D9C64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1972年芝加哥商业交易所CME推出的外汇期货标志着金融期货的产生</w:t>
      </w:r>
    </w:p>
    <w:p w14:paraId="093991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第一个推出股指期货的交易所是堪萨斯期货交易所KCBT</w:t>
      </w:r>
    </w:p>
    <w:p w14:paraId="1E930F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芝加哥期货交易所上市的国民抵押协会债券GNMA期货合约是世界上第一个利率期货合约</w:t>
      </w:r>
    </w:p>
    <w:p w14:paraId="7B1FEF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种类包括外汇期货（欧元美元、日元美元）、利率期货、股指期货、股票期货</w:t>
      </w:r>
    </w:p>
    <w:p w14:paraId="5B2EAC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303D8C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国际期货市场发展现状</w:t>
      </w:r>
    </w:p>
    <w:p w14:paraId="7BA1724B">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全球场内衍生品成交规模不断扩大</w:t>
      </w:r>
    </w:p>
    <w:p w14:paraId="0984873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 金融商品成交均增长，市场占比八二开；金融衍生品中期货期权四六开，商品衍生品以期货为主</w:t>
      </w:r>
    </w:p>
    <w:p w14:paraId="17313C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利率、能源类成交下降，其他类别均增长</w:t>
      </w:r>
    </w:p>
    <w:p w14:paraId="52DD68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亚太地区成交手数继续领先全球</w:t>
      </w:r>
    </w:p>
    <w:p w14:paraId="635C2B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中国大陆居衍生品成交</w:t>
      </w:r>
    </w:p>
    <w:p w14:paraId="2EDEB10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lang w:val="en-US" w:eastAsia="zh-CN"/>
        </w:rPr>
        <w:t>全球场内衍生品交易排名情况</w:t>
      </w:r>
    </w:p>
    <w:p w14:paraId="76B0A0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 印度国民证券交易所NSE，巴西圣保罗证券期货交易所B3，芝加哥商业交易所集团CME</w:t>
      </w:r>
    </w:p>
    <w:p w14:paraId="453989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p>
    <w:p w14:paraId="4DCF68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p>
    <w:p w14:paraId="0C1CE6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p>
    <w:p w14:paraId="003804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p>
    <w:p w14:paraId="526D9E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国际期货市场的发展趋势</w:t>
      </w:r>
    </w:p>
    <w:p w14:paraId="6E696BD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交易中心日益集中：主要集中在芝加哥，纽约等期货市场发展快的国家（中国自2010年起已经成为全球交易量最大的商品期货市场）</w:t>
      </w:r>
    </w:p>
    <w:p w14:paraId="3AC26FC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交易所由会员制向公司制发展：公司制改革和公开发行上市成为全球交易所发展的一个新方向</w:t>
      </w:r>
    </w:p>
    <w:p w14:paraId="0CF76EB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交易所兼并重组趋势明显：市场规模越集中，市场流动性越大，形成的价格越公平</w:t>
      </w:r>
    </w:p>
    <w:p w14:paraId="0DD8F6B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金融期货发展后来居上：如今金融期货品种的交易量已经远超商品期货，上市品种呈现金融化的趋势</w:t>
      </w:r>
    </w:p>
    <w:p w14:paraId="3E940EE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交易所竞争加剧，服务质量不断提高</w:t>
      </w:r>
    </w:p>
    <w:p w14:paraId="41B7D32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7A8C20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期货市场产生的背景</w:t>
      </w:r>
    </w:p>
    <w:p w14:paraId="4F9D030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价格改革（价格改革最早从农产品开始）和企业改革</w:t>
      </w:r>
    </w:p>
    <w:p w14:paraId="630845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1990年郑州粮食批发市场诞生，以现货交易为基础，引入期货交易机制</w:t>
      </w:r>
    </w:p>
    <w:p w14:paraId="1BEEA3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期货交易所：</w:t>
      </w:r>
    </w:p>
    <w:p w14:paraId="72A365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由50家缩减为15家，对期货交易所进行会员制改造；</w:t>
      </w:r>
    </w:p>
    <w:p w14:paraId="4B3C0B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由15家精简为3家（上海期货交易所SHFE，大连商品交易所DCE，郑州商品交易所CZCE）</w:t>
      </w:r>
    </w:p>
    <w:p w14:paraId="663266C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期货品种：</w:t>
      </w:r>
    </w:p>
    <w:p w14:paraId="75B060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期货频中削减为35个；品种削减为12种</w:t>
      </w:r>
    </w:p>
    <w:p w14:paraId="2AC3BB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中国期货市场走向法制化和规范化，监管体制和法规体系不断完善，新的期货品种不断推出</w:t>
      </w:r>
    </w:p>
    <w:p w14:paraId="239FD7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14:paraId="0D2DBB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期货市场的功能和作用</w:t>
      </w:r>
    </w:p>
    <w:p w14:paraId="45927D0B">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规避风险的功能（规避风险功能通过套期保值实现）</w:t>
      </w:r>
    </w:p>
    <w:p w14:paraId="2C4F17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基本原理：同种商品在同一时空受相同经济因素的影响，现货市场和期货市场价格变动趋势相同，随着交割时间的临近，两价格收敛</w:t>
      </w:r>
    </w:p>
    <w:p w14:paraId="6644C89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both"/>
        <w:textAlignment w:val="auto"/>
        <w:rPr>
          <w:rFonts w:hint="default"/>
          <w:lang w:val="en-US" w:eastAsia="zh-CN"/>
        </w:rPr>
      </w:pPr>
      <w:r>
        <w:rPr>
          <w:rFonts w:hint="eastAsia"/>
          <w:lang w:val="en-US" w:eastAsia="zh-CN"/>
        </w:rPr>
        <w:t>价格发现的功能</w:t>
      </w:r>
    </w:p>
    <w:p w14:paraId="6C1331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lang w:val="en-US" w:eastAsia="zh-CN"/>
        </w:rPr>
      </w:pPr>
      <w:r>
        <w:rPr>
          <w:rFonts w:hint="eastAsia"/>
          <w:lang w:val="en-US" w:eastAsia="zh-CN"/>
        </w:rPr>
        <w:t>价格发现是指预期未来现货价格变动，发现未来的现货价格（信息不完全和不对称会导致价格的扭曲和市场失灵），期货市场可以使各类信息高度集中并迅速传播。特点：预期性，连续性，公开性，权威性。</w:t>
      </w:r>
    </w:p>
    <w:p w14:paraId="29D8253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both"/>
        <w:textAlignment w:val="auto"/>
        <w:rPr>
          <w:rFonts w:hint="default"/>
          <w:lang w:val="en-US" w:eastAsia="zh-CN"/>
        </w:rPr>
      </w:pPr>
      <w:r>
        <w:rPr>
          <w:rFonts w:hint="eastAsia"/>
          <w:lang w:val="en-US" w:eastAsia="zh-CN"/>
        </w:rPr>
        <w:t>资源配置的功能</w:t>
      </w:r>
    </w:p>
    <w:p w14:paraId="4A3A74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lang w:val="en-US" w:eastAsia="zh-CN"/>
        </w:rPr>
      </w:pPr>
      <w:r>
        <w:rPr>
          <w:rFonts w:hint="eastAsia"/>
          <w:lang w:val="en-US" w:eastAsia="zh-CN"/>
        </w:rPr>
        <w:t>期货以套期保值的方式为现货资产或投资组合对冲风险，从而起到降低风险的作用</w:t>
      </w:r>
    </w:p>
    <w:p w14:paraId="5BEE1D7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jc w:val="both"/>
        <w:textAlignment w:val="auto"/>
        <w:rPr>
          <w:rFonts w:hint="default"/>
          <w:lang w:val="en-US" w:eastAsia="zh-CN"/>
        </w:rPr>
      </w:pPr>
      <w:r>
        <w:rPr>
          <w:rFonts w:hint="eastAsia"/>
          <w:lang w:val="en-US" w:eastAsia="zh-CN"/>
        </w:rPr>
        <w:t>宏观经济中的作用：提供风散、转移风险的工具，有利于产业发展和国民经济稳定；为政府制定宏观经济政策；促进本国经济国际化；有助于市场体系的完善</w:t>
      </w:r>
    </w:p>
    <w:p w14:paraId="5F4CD73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jc w:val="both"/>
        <w:textAlignment w:val="auto"/>
        <w:rPr>
          <w:rFonts w:hint="default"/>
          <w:lang w:val="en-US" w:eastAsia="zh-CN"/>
        </w:rPr>
      </w:pPr>
      <w:r>
        <w:rPr>
          <w:rFonts w:hint="eastAsia"/>
          <w:lang w:val="en-US" w:eastAsia="zh-CN"/>
        </w:rPr>
        <w:t>微观经济中的作用：锁定生产成本，实现预期利润；利用期货价格信号，组织安排现货生产；拓展现货销售和采购渠道</w:t>
      </w:r>
    </w:p>
    <w:p w14:paraId="65A15E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026231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期货交易所</w:t>
      </w:r>
    </w:p>
    <w:p w14:paraId="3C2A4E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性质：为期货交易提供场所设施相关服务和交易规则的机构，其并不参与交易</w:t>
      </w:r>
    </w:p>
    <w:p w14:paraId="789095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职能：提供交易的场所设施和服务，设计合约与安排合约上市，制定并实施期货市场制度与交易规则，发布市场信息，组织并监督期货交易</w:t>
      </w:r>
    </w:p>
    <w:p w14:paraId="721996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组织架构：会员制的交易所（全体会员共同出资组建，缴纳一定的会员资格费作为注册资本，以其全部财产承担有限公司的非营利性法人；创办发起人、发起人资格转让、会员的资格转让、规则转让）、公司制的交易所（由若干股东出资以营利为目的，股份按照有关规定转让）</w:t>
      </w:r>
    </w:p>
    <w:p w14:paraId="1E734D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境内期货交易所：上海，郑州，大连，中国金融期货交易所，广州（前三为会员制，其余为公司制）</w:t>
      </w:r>
    </w:p>
    <w:p w14:paraId="37C9E9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p>
    <w:p w14:paraId="36FC37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期货结算机构</w:t>
      </w:r>
    </w:p>
    <w:p w14:paraId="0796D1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性质：结算机构负责的是交易所期货交易的统一结算，保证金管理，结算风险管理</w:t>
      </w:r>
    </w:p>
    <w:p w14:paraId="55E55D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职能：</w:t>
      </w:r>
    </w:p>
    <w:p w14:paraId="56E110E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担保交易履约：结算机构承担保证每笔交易按期履约的责任，结算机构代替了原始对手，因而交易者可以随时对冲合约</w:t>
      </w:r>
    </w:p>
    <w:p w14:paraId="2ABEF9E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lang w:val="en-US" w:eastAsia="zh-CN"/>
        </w:rPr>
        <w:t>结算交易盈亏：每一交易日结束后，期货结算机构对会员的盈亏进行计算</w:t>
      </w:r>
    </w:p>
    <w:p w14:paraId="2F86EF9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lang w:val="en-US" w:eastAsia="zh-CN"/>
        </w:rPr>
        <w:t>控制市场风险：结算机构通过对会员保证金的结算和动态监控来实现</w:t>
      </w:r>
    </w:p>
    <w:p w14:paraId="330212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和期货交易所的关系：</w:t>
      </w:r>
    </w:p>
    <w:p w14:paraId="474FEA4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是某一交易所的内部机构，只为该交易所提供服务</w:t>
      </w:r>
    </w:p>
    <w:p w14:paraId="571CFCB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独立的结算公司，可为一家或者多家期货交易所提供服务</w:t>
      </w:r>
    </w:p>
    <w:p w14:paraId="5F3C500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期货结算制度：</w:t>
      </w:r>
    </w:p>
    <w:p w14:paraId="2F611F19">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结算机构只对会员结算</w:t>
      </w:r>
    </w:p>
    <w:p w14:paraId="32C7F252">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非结算会员只能够通过结算会员提供结算服务</w:t>
      </w:r>
    </w:p>
    <w:p w14:paraId="4AD42A2D">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结算会员和非结算会员再对客户进行结算</w:t>
      </w:r>
    </w:p>
    <w:p w14:paraId="2A28476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（分级结算形成多层次的风险控制体系，提高了结算机构整体的抗风险能力）</w:t>
      </w:r>
    </w:p>
    <w:p w14:paraId="101B6B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我国的结算机构：</w:t>
      </w:r>
    </w:p>
    <w:p w14:paraId="68F99BC8">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会员结算制度：会员均既是交易会员也是结算会员，由期货公司会员和非期货公司会员组成，三家商品交易所实行全员结算制度</w:t>
      </w:r>
    </w:p>
    <w:p w14:paraId="1F50A57C">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会员分级结算：会员区分为结算会员和非结算会员（结算会员对非结算会员结算，非结算会员对其受托的客户结算）</w:t>
      </w:r>
    </w:p>
    <w:p w14:paraId="2C8818B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0C60796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期货公司</w:t>
      </w:r>
    </w:p>
    <w:p w14:paraId="5B3F02D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职能：根据客户指令代理买卖期货合约、办理结算和交割手续；对客户账户进行管理，控制客户交易风险；为客户提供市场信息，进行期货交易咨询，充当客户的交易顾问；为客户管理资产，实现财富管理</w:t>
      </w:r>
    </w:p>
    <w:p w14:paraId="60AD9C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与其他金融机构相比：期货公司依托商品资本货币市场等衍生出来的市场提供风险管理服务的中介服务；期货公司有独特的风险特征；期货公司高度重视客户利益，面临双重代理关系</w:t>
      </w:r>
    </w:p>
    <w:p w14:paraId="7562AC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业务类型：通过自己的交易通道代理客户进行期货交易，并收取交易佣金的中介业务；基于客户委托，取得期货投资者咨询资格的期货公司向客户提供风险管理等业务，并收取相应的咨询费；通过成立风险管理公司，提供风险管理服务和产品的业务模式；可以接受客户委托，运用客户资产进行投资，并按照合约约定收取费用或者报酬的业务活动</w:t>
      </w:r>
    </w:p>
    <w:p w14:paraId="1A65D5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功能：作为衔接期货交易者与期货交易所之间的纽带，降低了期货市场的交易成本；可以降低期货交易中的信息不对称程度；可以高效的实现风险转移，并通过结算环节防范系统性风险的发生；可以通过专业服务实现资产管理的功能</w:t>
      </w:r>
    </w:p>
    <w:p w14:paraId="2D2B2E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对分支机构的管控：统一结算，统一风险管理，统一资金调控，统一财务管理和会计核算</w:t>
      </w:r>
    </w:p>
    <w:p w14:paraId="5211C4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发展现状：资本实力不断增强，代理交易规模逐步扩大；收入及盈利情况明显改善；期货公司业务更加多元；服务实体经济能力不断增强</w:t>
      </w:r>
    </w:p>
    <w:p w14:paraId="2D933F9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试点业务：基差贸易，仓单服务，合作套保，场外衍生品业务，做市业务</w:t>
      </w:r>
    </w:p>
    <w:p w14:paraId="1D5CD52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居间人：受期货公司委托为期货公司提供订立期货经济合同的中介服务，独立承担基于中介服务所产生的民事责任，期货公司按照约定向其支付报酬的机构或自然人</w:t>
      </w:r>
    </w:p>
    <w:p w14:paraId="3CEBA9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为期货公司提供中间介绍业务的证券公司就是券商IB</w:t>
      </w:r>
    </w:p>
    <w:p w14:paraId="2CB38B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开展居间服务的居间人</w:t>
      </w:r>
    </w:p>
    <w:p w14:paraId="51C7BC0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41D8ABA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12225DB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1FFBFFD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期货服务机构</w:t>
      </w:r>
    </w:p>
    <w:p w14:paraId="2B8ADA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中国期货市场监控中心：为期货投资者提供交易结算信息查询；期货市场统一开户；宏观和产业分析研究；商品及其他指数的编制和发布；为监管机构和期货等提供信息服务</w:t>
      </w:r>
    </w:p>
    <w:p w14:paraId="75A478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期货保证金存管银行：属于期货服务机构，是由交易所制定协助交易所办理期货交易结算业务的银行</w:t>
      </w:r>
    </w:p>
    <w:p w14:paraId="09D4ED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交割仓库：包括交割仓库和交割厂库，是期货品种进入实物交割环节提供交割服务和生成标准仓单必经的期货服务机构（日常业务阶段：商品入库，商品保管，商品出库）</w:t>
      </w:r>
    </w:p>
    <w:p w14:paraId="7D112F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中证商品指数公司：由上海、郑州、大连商品交易所和中国金融期货交易所共同发起并出资，成为全国首家商品指数编制运营服务平台</w:t>
      </w:r>
    </w:p>
    <w:p w14:paraId="0AEBF7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期货信息技术服务结构：主要提供期货行情软件，交易系统，相关信息技术服务</w:t>
      </w:r>
    </w:p>
    <w:p w14:paraId="4F121E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2272B3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6BBEC6B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期货交易者</w:t>
      </w:r>
    </w:p>
    <w:p w14:paraId="00578913">
      <w:pPr>
        <w:keepNext w:val="0"/>
        <w:keepLines w:val="0"/>
        <w:pageBreakBefore w:val="0"/>
        <w:widowControl w:val="0"/>
        <w:numPr>
          <w:ilvl w:val="0"/>
          <w:numId w:val="9"/>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按照交易者身份划分分为自然人，法人和法人组织</w:t>
      </w:r>
    </w:p>
    <w:p w14:paraId="7E5CEA3C">
      <w:pPr>
        <w:keepNext w:val="0"/>
        <w:keepLines w:val="0"/>
        <w:pageBreakBefore w:val="0"/>
        <w:widowControl w:val="0"/>
        <w:numPr>
          <w:ilvl w:val="0"/>
          <w:numId w:val="9"/>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根据进入市场的目的不同可以分为套期保值者和投机者</w:t>
      </w:r>
    </w:p>
    <w:p w14:paraId="3D045E42">
      <w:pPr>
        <w:keepNext w:val="0"/>
        <w:keepLines w:val="0"/>
        <w:pageBreakBefore w:val="0"/>
        <w:widowControl w:val="0"/>
        <w:numPr>
          <w:ilvl w:val="0"/>
          <w:numId w:val="9"/>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根据财产状况，金融资产状况等因素可以分为普通交易者和专业交易者</w:t>
      </w:r>
    </w:p>
    <w:p w14:paraId="5D7BE29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349819D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期货投资基金和做市商</w:t>
      </w:r>
    </w:p>
    <w:p w14:paraId="1807B4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商品投资基金CP：指的是广大交易者将资金集中起来委托给专业的投资机构，并通过商品交易顾问CTA进行期货和期权交易，交易者承担风险并享受投资收益的一种集合投资方式</w:t>
      </w:r>
    </w:p>
    <w:p w14:paraId="52106C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对冲基金：风险对冲过的基金</w:t>
      </w:r>
    </w:p>
    <w:p w14:paraId="398015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做市商：经交易所认可，为指定品种的期货、期权合约提供双边报价等服务的法人或非法人组织（需要具备：净资产，专业人员，风控制度，诚信合规，交易经验，做市商系统，实施方案）</w:t>
      </w:r>
    </w:p>
    <w:p w14:paraId="3CB544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义务：持续报价，回应报价，协议规定的其他业务，交易所业务规则</w:t>
      </w:r>
    </w:p>
    <w:p w14:paraId="63B345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管理：对报价价差宽度，数量进行实时监控；对不满足义务要求的报价区间进行预警</w:t>
      </w:r>
    </w:p>
    <w:p w14:paraId="7ED068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35AE4C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2A2603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4B35B7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252CFEB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期货合约</w:t>
      </w:r>
    </w:p>
    <w:p w14:paraId="33C943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期货合约是指期货交易场所统一制定的、规定在将来一特定时间和地点交割一定数量标的物的标准化合约。</w:t>
      </w:r>
    </w:p>
    <w:p w14:paraId="44520F6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主要内容：</w:t>
      </w:r>
    </w:p>
    <w:p w14:paraId="1C8DEF9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合约名称，交易单位，报价单位，每日价格最大波动限制，最小变动价位，交割月份，交易时间，最后交易日，交割日期，交割等级，交割地点，保证金，交易手续费，交割方式，交易代码</w:t>
      </w:r>
    </w:p>
    <w:p w14:paraId="6709B1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具备条件：储藏和保存较长时间不变质；品质容易划分，质量可以评价；商品可供量较大，不易形成市场垄断；买卖者众多，市场交投活跃；价格波动频繁</w:t>
      </w:r>
    </w:p>
    <w:p w14:paraId="55C094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35A416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保证金制度：在期货交易中期货买房和卖方必须按照其所买卖期货合约价值的一定比率（百分之五到百分之十五）缴纳保证金，用于结算和保证履约（风险管理的重要手段）</w:t>
      </w:r>
    </w:p>
    <w:p w14:paraId="6822359A">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对交易者的保证金要求与其面临的风险相对应</w:t>
      </w:r>
    </w:p>
    <w:p w14:paraId="47D6A7CC">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交易所根据合约特定设定最低保证金标准，并可以根据市场风险状况等调节保证金水平</w:t>
      </w:r>
    </w:p>
    <w:p w14:paraId="5764A2B6">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保证金的收取分级进行，分为会员保证金和客户保证金</w:t>
      </w:r>
    </w:p>
    <w:p w14:paraId="2156B096">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商品期货一般对期货合约上市运行的不同阶段规定不同的交易保证金比例；随着合约持仓量的增大，交易所将逐步提高该合约交易保证金比例；当某期货合约出现连续张跌停板时，交易保证金比例相应提高</w:t>
      </w:r>
    </w:p>
    <w:p w14:paraId="366A43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bookmarkStart w:id="0" w:name="_GoBack"/>
      <w:bookmarkEnd w:id="0"/>
    </w:p>
    <w:p w14:paraId="0A3AC7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强行平仓制度</w:t>
      </w:r>
    </w:p>
    <w:p w14:paraId="709999E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是按照有关规定对会员或客户的持仓实行平仓的一种强制措施，其目的是控制期货交易风险</w:t>
      </w:r>
    </w:p>
    <w:p w14:paraId="48E99FA5">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会员结算准备金余额小于零，并未能在规定时限内补足的</w:t>
      </w:r>
    </w:p>
    <w:p w14:paraId="1B09ADDD">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客户、从事自营业务的交易会员的持仓量超出限仓规定</w:t>
      </w:r>
    </w:p>
    <w:p w14:paraId="01784465">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因违规受到交易所强行平仓处罚的</w:t>
      </w:r>
    </w:p>
    <w:p w14:paraId="6D511444">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根据交易所的紧急措施给予强行平仓的</w:t>
      </w:r>
    </w:p>
    <w:p w14:paraId="77041D6C">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其他应于强行平仓的</w:t>
      </w:r>
    </w:p>
    <w:p w14:paraId="60DF17F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714B163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4D05D7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54BD3B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4F1B8B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涨跌停板与强制减仓制度</w:t>
      </w:r>
    </w:p>
    <w:p w14:paraId="05AC88A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涨跌停板：又称为每日价格最大波动限制制度，期货合约在一个交易日中的交易价格波动不得高于或者低于规定的张跌停板幅度，超过该幅度的报价被视为无效报价，不能够成交。</w:t>
      </w:r>
    </w:p>
    <w:p w14:paraId="4F0C40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特点：对期货价格波动幅度较大的品种及合约设定的张跌停板幅度也相应大一些</w:t>
      </w:r>
    </w:p>
    <w:p w14:paraId="4F7C7D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4A29F1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强制减仓：当某期货合约以张跌停板价格成交时，成交撮合实行平仓优先和时间优先的原则，但平当日新开仓位不适用平仓优先的原则（有效的抑制一些突发事件和过度投机行为对期货价格的冲击而造成的狂涨暴跌，减少交易日当日价格波动幅度，会员和客户的当日损失也被控制在相对较小的范围内）</w:t>
      </w:r>
    </w:p>
    <w:p w14:paraId="744DDC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59E1BF9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持仓限额与大户报告制度、信息披露制度</w:t>
      </w:r>
    </w:p>
    <w:p w14:paraId="214E31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持仓限额是交易所规定会员或客户可以持有的，按单边计算的某一合约投机头寸的最大数额。</w:t>
      </w:r>
    </w:p>
    <w:p w14:paraId="0CE95E4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大户报告制度是交易所会员或客户某品种或合约持仓达到交易所规定的持仓报告标准时，会员或客户应当向交易所报告。</w:t>
      </w:r>
    </w:p>
    <w:p w14:paraId="19EAAD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特点：</w:t>
      </w:r>
    </w:p>
    <w:p w14:paraId="68783D5B">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根据不同期货品种合约的具体情况和市场风险状况指定和调整持仓限额和持仓报告标准</w:t>
      </w:r>
    </w:p>
    <w:p w14:paraId="7174BD6A">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一般月份合约的持仓限额和持仓报告标准高，临近交割时持仓限额及持仓报告标准低</w:t>
      </w:r>
    </w:p>
    <w:p w14:paraId="2DBA135A">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持仓限额通常只是针对一般投机头寸，套期保值头寸、风险管理头寸及套利头寸可以向交易所申请豁免持仓限额。</w:t>
      </w:r>
    </w:p>
    <w:p w14:paraId="68A7E70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作用：重点监控，了解意图，有效防范操纵市场价格的行为，同时也可以防范期货市场风险过度集中于少数投资者。</w:t>
      </w:r>
    </w:p>
    <w:p w14:paraId="05D6F8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信息披露制度：期货交易所不得发布价格预测信息，未经期货交易所许可，任何单位和个人不得发布期货交易即时行情。</w:t>
      </w:r>
    </w:p>
    <w:p w14:paraId="6BE4C545">
      <w:pPr>
        <w:keepNext w:val="0"/>
        <w:keepLines w:val="0"/>
        <w:pageBreakBefore w:val="0"/>
        <w:widowControl w:val="0"/>
        <w:numPr>
          <w:ilvl w:val="0"/>
          <w:numId w:val="13"/>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即时行情</w:t>
      </w:r>
    </w:p>
    <w:p w14:paraId="6AF38EC1">
      <w:pPr>
        <w:keepNext w:val="0"/>
        <w:keepLines w:val="0"/>
        <w:pageBreakBefore w:val="0"/>
        <w:widowControl w:val="0"/>
        <w:numPr>
          <w:ilvl w:val="0"/>
          <w:numId w:val="13"/>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交易规则和实施细则规定等</w:t>
      </w:r>
    </w:p>
    <w:p w14:paraId="6F767D8D">
      <w:pPr>
        <w:keepNext w:val="0"/>
        <w:keepLines w:val="0"/>
        <w:pageBreakBefore w:val="0"/>
        <w:widowControl w:val="0"/>
        <w:numPr>
          <w:ilvl w:val="0"/>
          <w:numId w:val="13"/>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持仓量成交量等排名情况（材料的保存期限不应当少于20年）</w:t>
      </w:r>
    </w:p>
    <w:p w14:paraId="5D0232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461AF44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6DD247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0FE30F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49A2AA7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期货交易流程</w:t>
      </w:r>
    </w:p>
    <w:p w14:paraId="167FE294">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开户（中国期货市场监控中心负责）：申请开户-阅读并签署期货交易风险说明书-签署期货经纪合同书-申请交易编码并确定资金账号</w:t>
      </w:r>
    </w:p>
    <w:p w14:paraId="75EA7A00">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下单</w:t>
      </w:r>
    </w:p>
    <w:p w14:paraId="0209B2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期货交易的品种及合约月份、交易方向、数量价格、开平仓等；</w:t>
      </w:r>
    </w:p>
    <w:p w14:paraId="5CC16BA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现价指令、市价指令、止损指令、停止限价指令、套利指令、取消指令；</w:t>
      </w:r>
    </w:p>
    <w:p w14:paraId="095FB7E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书面下单，电话下单，互联网下单</w:t>
      </w:r>
    </w:p>
    <w:p w14:paraId="016435B2">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竞价</w:t>
      </w:r>
    </w:p>
    <w:p w14:paraId="16DF71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方式：公开喊价（连续竞价和一节一价制）、计算机撮合成交（集合竞价和连续竞价）、做市商报价  回报与确认</w:t>
      </w:r>
    </w:p>
    <w:p w14:paraId="3F4D5126">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结算（根据期货交易所公布的结算价对交易双方的交易结果进行的资金清算和划转）</w:t>
      </w:r>
    </w:p>
    <w:p w14:paraId="18C443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 结算程序：交易所对会员和客户的结算</w:t>
      </w:r>
    </w:p>
    <w:p w14:paraId="3D10D1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 期货的开仓平仓持仓与结算价（全天的加权平均价）</w:t>
      </w:r>
    </w:p>
    <w:p w14:paraId="05471246">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交割（期货到期时，按照期货交易所的规则程序，交易双方通过该合约所载标的物所有权的转移，或者按照结算价进行现金差价结算，了结到期未平仓合约的过程。期货交割是促使期货价格和现货价格趋向一致的制度保证）</w:t>
      </w:r>
    </w:p>
    <w:p w14:paraId="235076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 实物交割：集中交割和滚动交割、实物交割结算价、实物交割的标准仓单</w:t>
      </w:r>
    </w:p>
    <w:p w14:paraId="098CAE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 现金交割：一般指期货采用现金交割方式</w:t>
      </w:r>
    </w:p>
    <w:p w14:paraId="3B05C7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p>
    <w:p w14:paraId="2CD2A7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衍生品的概念类型以及场外参与者</w:t>
      </w:r>
    </w:p>
    <w:p w14:paraId="6D8FEC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衍生品：他们的价值是由其他资产或利率指数等变量所确定的，并且随着这些资产价值的变化而变化；标的资产：可以是利率、信用等</w:t>
      </w:r>
    </w:p>
    <w:p w14:paraId="252484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类型：按照交易所的不同，衍生品可以分为场内衍生品和场外衍生品</w:t>
      </w:r>
    </w:p>
    <w:p w14:paraId="58E36780">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场内衍生品是在交易所市场交易和结算的衍生产品，主要包括期货、场内期权等。</w:t>
      </w:r>
    </w:p>
    <w:p w14:paraId="122E42E9">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场外衍生品是在交易所之外的市场进行交易的衍生产品</w:t>
      </w:r>
    </w:p>
    <w:p w14:paraId="51573D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default"/>
          <w:b w:val="0"/>
          <w:bCs w:val="0"/>
          <w:lang w:val="en-US" w:eastAsia="zh-CN"/>
        </w:rPr>
        <w:drawing>
          <wp:inline distT="0" distB="0" distL="114300" distR="114300">
            <wp:extent cx="2574925" cy="1280795"/>
            <wp:effectExtent l="0" t="0" r="6350" b="5080"/>
            <wp:docPr id="1" name="图片 1" descr="屏幕截图 2024-08-11 21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08-11 211555"/>
                    <pic:cNvPicPr>
                      <a:picLocks noChangeAspect="1"/>
                    </pic:cNvPicPr>
                  </pic:nvPicPr>
                  <pic:blipFill>
                    <a:blip r:embed="rId4"/>
                    <a:stretch>
                      <a:fillRect/>
                    </a:stretch>
                  </pic:blipFill>
                  <pic:spPr>
                    <a:xfrm>
                      <a:off x="0" y="0"/>
                      <a:ext cx="2574925" cy="1280795"/>
                    </a:xfrm>
                    <a:prstGeom prst="rect">
                      <a:avLst/>
                    </a:prstGeom>
                  </pic:spPr>
                </pic:pic>
              </a:graphicData>
            </a:graphic>
          </wp:inline>
        </w:drawing>
      </w:r>
    </w:p>
    <w:p w14:paraId="21FE81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按照标的资产的不同进行分类：利率 汇率 股权 信用 商品</w:t>
      </w:r>
    </w:p>
    <w:p w14:paraId="07DE57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default"/>
          <w:b w:val="0"/>
          <w:bCs w:val="0"/>
          <w:lang w:val="en-US" w:eastAsia="zh-CN"/>
        </w:rPr>
        <w:drawing>
          <wp:inline distT="0" distB="0" distL="114300" distR="114300">
            <wp:extent cx="2821305" cy="1701165"/>
            <wp:effectExtent l="0" t="0" r="7620" b="3810"/>
            <wp:docPr id="2" name="图片 2" descr="屏幕截图 2024-08-11 21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08-11 211748"/>
                    <pic:cNvPicPr>
                      <a:picLocks noChangeAspect="1"/>
                    </pic:cNvPicPr>
                  </pic:nvPicPr>
                  <pic:blipFill>
                    <a:blip r:embed="rId5"/>
                    <a:stretch>
                      <a:fillRect/>
                    </a:stretch>
                  </pic:blipFill>
                  <pic:spPr>
                    <a:xfrm>
                      <a:off x="0" y="0"/>
                      <a:ext cx="2821305" cy="1701165"/>
                    </a:xfrm>
                    <a:prstGeom prst="rect">
                      <a:avLst/>
                    </a:prstGeom>
                  </pic:spPr>
                </pic:pic>
              </a:graphicData>
            </a:graphic>
          </wp:inline>
        </w:drawing>
      </w:r>
    </w:p>
    <w:p w14:paraId="4F23C1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按照金融产品的形态不同进行分类：远期、期货、期权、互换、资产支持证券、信用衍生品（包括信用互换、期权、远期、联系票据等）</w:t>
      </w:r>
    </w:p>
    <w:p w14:paraId="5587F7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69E2424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场外衍生品市场的参与者</w:t>
      </w:r>
    </w:p>
    <w:p w14:paraId="54BDB1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报告交易商（商业银行、投资银行）、其他金融机构、非金融机构</w:t>
      </w:r>
    </w:p>
    <w:p w14:paraId="5EAE9A5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74B318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p>
    <w:p w14:paraId="0473320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场外衍生品的交易方式</w:t>
      </w:r>
    </w:p>
    <w:p w14:paraId="517528B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主要参与主体：投资者，交易商，第三方清算机构，监管和自律组织</w:t>
      </w:r>
    </w:p>
    <w:p w14:paraId="2B5FAD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三种组织方式：</w:t>
      </w:r>
    </w:p>
    <w:p w14:paraId="2CC748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传统的交易商（双边协商） 整个流程仅有两个市场参与者直接参与</w:t>
      </w:r>
    </w:p>
    <w:p w14:paraId="00E6FC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电子经济市场</w:t>
      </w:r>
    </w:p>
    <w:p w14:paraId="543AD9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混合模式 传统做市模式与电子竞技平台相结合</w:t>
      </w:r>
    </w:p>
    <w:p w14:paraId="6C7A18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14:paraId="26CDF6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场外衍生品清算模式</w:t>
      </w:r>
    </w:p>
    <w:p w14:paraId="0C5C4640">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非标准化双边清算：双方仅凭信用或第三方信用作为履约担保，面临巨大信用风险</w:t>
      </w:r>
    </w:p>
    <w:p w14:paraId="5C72AE75">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标准化双边清算：增加抵押金的措施，降低交易双方的违约风险，提高市场效率</w:t>
      </w:r>
    </w:p>
    <w:p w14:paraId="5F8FCBE8">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b w:val="0"/>
          <w:bCs w:val="0"/>
          <w:lang w:val="en-US" w:eastAsia="zh-CN"/>
        </w:rPr>
        <w:t>中央对手方清算：使得原来的场外成交合约转化为两张与中央对手方的清算型合约</w:t>
      </w:r>
    </w:p>
    <w:p w14:paraId="2E3D09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b w:val="0"/>
          <w:bCs w:val="0"/>
          <w:lang w:val="en-US" w:eastAsia="zh-CN"/>
        </w:rPr>
        <w:t>（中央对手方：证券交割过程中，以原始市场参与人的法定对手方身份介入交易结算，充当原买方的卖方和原卖方的买方，并保证交易的顺利进行，核心是合约的更替与担保）</w:t>
      </w:r>
    </w:p>
    <w:p w14:paraId="31D7FC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14:paraId="154E3D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14:paraId="6F2F864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14:paraId="4DA29C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全球场外衍生品市场的发展情况</w:t>
      </w:r>
    </w:p>
    <w:p w14:paraId="74EADFE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场外衍生品市场规模大于交易所规模</w:t>
      </w:r>
    </w:p>
    <w:p w14:paraId="47F6EB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在场外金融衍生品中，利率类衍生品占绝大比重</w:t>
      </w:r>
    </w:p>
    <w:p w14:paraId="2BECFD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7F98703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1AE23E3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我国场外衍生品市场的发展状况</w:t>
      </w:r>
    </w:p>
    <w:p w14:paraId="530FCCAF">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市场体系：商业银行为主的银行间场外市场，证券公司主导的柜台交易市场，期货风险管理公司主导的大宗商品类场外市场</w:t>
      </w:r>
    </w:p>
    <w:p w14:paraId="35C8A3C7">
      <w:pPr>
        <w:keepNext w:val="0"/>
        <w:keepLines w:val="0"/>
        <w:pageBreakBefore w:val="0"/>
        <w:widowControl w:val="0"/>
        <w:numPr>
          <w:ilvl w:val="0"/>
          <w:numId w:val="17"/>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交易规模：银行间市场是场外衍生品市场交易的主要市场之一</w:t>
      </w:r>
    </w:p>
    <w:p w14:paraId="749F90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我国证券公司和期货公司的场外衍生品业务处于初步发展阶段，市场交易规模虽然有波动，但增长的趋势较为明显</w:t>
      </w:r>
    </w:p>
    <w:p w14:paraId="24046F39">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0" w:firstLineChars="0"/>
        <w:jc w:val="both"/>
        <w:textAlignment w:val="auto"/>
        <w:rPr>
          <w:rFonts w:hint="default"/>
          <w:lang w:val="en-US" w:eastAsia="zh-CN"/>
        </w:rPr>
      </w:pPr>
      <w:r>
        <w:rPr>
          <w:rFonts w:hint="eastAsia"/>
          <w:lang w:val="en-US" w:eastAsia="zh-CN"/>
        </w:rPr>
        <w:t>市场参与者：呈现多元化，商业银行和证券公司等银行间金融机构以及众多实体企业是主要的参与者（银行间场外衍生品业务以汇率类衍生品为主，人民币对美元的汇率是主要标的；证券公司场外衍生品业务主要以权益类资产为主要标的；期货公司的场外衍生品业务主要以大宗商品类场外衍生品为主）</w:t>
      </w:r>
    </w:p>
    <w:p w14:paraId="12C80C0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2F94D4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12CEEA3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国际场外衍生品市场主协议</w:t>
      </w:r>
    </w:p>
    <w:p w14:paraId="2E04BA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国际互换与衍生品协会ISDA；成立于1985，主要促进场外衍生品市场的高效与稳健的发展（降低交易对手的信用风险，增加市场透明度）</w:t>
      </w:r>
    </w:p>
    <w:p w14:paraId="7F0A7C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协议包括：主协议，交易定义协议，信用支持文件</w:t>
      </w:r>
    </w:p>
    <w:p w14:paraId="18BCDA5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主协议包括：主协议正文，主协议附件，交易确认书</w:t>
      </w:r>
    </w:p>
    <w:p w14:paraId="577800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主协议核心</w:t>
      </w:r>
    </w:p>
    <w:p w14:paraId="45E0C0F5">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单一协议制度：将主协议作为整个文件群的唯一代表，标准化文本以及在此基础上签订的所有协议将被视为同一个法律关系，双方进行的每一次交易均是这个合同法律关系下的一项具体交易</w:t>
      </w:r>
    </w:p>
    <w:p w14:paraId="1B5C8798">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净额结算制度：互相抵消按照净额进行结算，从而降低交易成本和交易双方的违约风险</w:t>
      </w:r>
    </w:p>
    <w:p w14:paraId="634580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794FF50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745FE9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65EC28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我国场外衍生品市场主协议</w:t>
      </w:r>
    </w:p>
    <w:p w14:paraId="0418D14B">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中国银行间市场交易商协会NAFMII主协议（2007年制定）：采用单一协议制度和净额结算制度，文件群包括主协议，补充协议，交易有效约定，履约保障文件和定义文件。覆盖了利率，债券，外汇，信用类等大部分金融场外衍生品。提供了开放性选择机制，安排交易双方之间提供履约保障品，第三方担保等形式（原创性和本土性）。单一协议的确立为终止净额制度的实施提供了重要的基础。</w:t>
      </w:r>
    </w:p>
    <w:p w14:paraId="37218DE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基础性条款：明确了主协议文件群的构成与各文件间的效力等级以及其他范围</w:t>
      </w:r>
    </w:p>
    <w:p w14:paraId="01DA9B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核心条款：违约事件和终止事件的类型等</w:t>
      </w:r>
    </w:p>
    <w:p w14:paraId="03BECAD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 辅助性条款：对主协议下的合同货币与终止货币等一般性问题的约定</w:t>
      </w:r>
    </w:p>
    <w:p w14:paraId="3DC95DC8">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中国证券期货市场衍生品交易主协议SAC主协议</w:t>
      </w:r>
    </w:p>
    <w:p w14:paraId="529B52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138BA2"/>
    <w:multiLevelType w:val="singleLevel"/>
    <w:tmpl w:val="8D138BA2"/>
    <w:lvl w:ilvl="0" w:tentative="0">
      <w:start w:val="1"/>
      <w:numFmt w:val="decimal"/>
      <w:suff w:val="space"/>
      <w:lvlText w:val="%1."/>
      <w:lvlJc w:val="left"/>
    </w:lvl>
  </w:abstractNum>
  <w:abstractNum w:abstractNumId="1">
    <w:nsid w:val="9AAD73B2"/>
    <w:multiLevelType w:val="singleLevel"/>
    <w:tmpl w:val="9AAD73B2"/>
    <w:lvl w:ilvl="0" w:tentative="0">
      <w:start w:val="1"/>
      <w:numFmt w:val="decimal"/>
      <w:suff w:val="space"/>
      <w:lvlText w:val="%1."/>
      <w:lvlJc w:val="left"/>
    </w:lvl>
  </w:abstractNum>
  <w:abstractNum w:abstractNumId="2">
    <w:nsid w:val="A3D39960"/>
    <w:multiLevelType w:val="singleLevel"/>
    <w:tmpl w:val="A3D39960"/>
    <w:lvl w:ilvl="0" w:tentative="0">
      <w:start w:val="1"/>
      <w:numFmt w:val="decimal"/>
      <w:suff w:val="space"/>
      <w:lvlText w:val="%1."/>
      <w:lvlJc w:val="left"/>
    </w:lvl>
  </w:abstractNum>
  <w:abstractNum w:abstractNumId="3">
    <w:nsid w:val="A59ADD96"/>
    <w:multiLevelType w:val="singleLevel"/>
    <w:tmpl w:val="A59ADD96"/>
    <w:lvl w:ilvl="0" w:tentative="0">
      <w:start w:val="1"/>
      <w:numFmt w:val="decimal"/>
      <w:suff w:val="space"/>
      <w:lvlText w:val="%1."/>
      <w:lvlJc w:val="left"/>
    </w:lvl>
  </w:abstractNum>
  <w:abstractNum w:abstractNumId="4">
    <w:nsid w:val="CE186189"/>
    <w:multiLevelType w:val="singleLevel"/>
    <w:tmpl w:val="CE186189"/>
    <w:lvl w:ilvl="0" w:tentative="0">
      <w:start w:val="1"/>
      <w:numFmt w:val="decimal"/>
      <w:suff w:val="space"/>
      <w:lvlText w:val="%1."/>
      <w:lvlJc w:val="left"/>
    </w:lvl>
  </w:abstractNum>
  <w:abstractNum w:abstractNumId="5">
    <w:nsid w:val="DB12987E"/>
    <w:multiLevelType w:val="singleLevel"/>
    <w:tmpl w:val="DB12987E"/>
    <w:lvl w:ilvl="0" w:tentative="0">
      <w:start w:val="1"/>
      <w:numFmt w:val="decimal"/>
      <w:suff w:val="space"/>
      <w:lvlText w:val="%1."/>
      <w:lvlJc w:val="left"/>
    </w:lvl>
  </w:abstractNum>
  <w:abstractNum w:abstractNumId="6">
    <w:nsid w:val="DB841C99"/>
    <w:multiLevelType w:val="singleLevel"/>
    <w:tmpl w:val="DB841C99"/>
    <w:lvl w:ilvl="0" w:tentative="0">
      <w:start w:val="1"/>
      <w:numFmt w:val="decimal"/>
      <w:suff w:val="space"/>
      <w:lvlText w:val="%1."/>
      <w:lvlJc w:val="left"/>
    </w:lvl>
  </w:abstractNum>
  <w:abstractNum w:abstractNumId="7">
    <w:nsid w:val="E27918B4"/>
    <w:multiLevelType w:val="singleLevel"/>
    <w:tmpl w:val="E27918B4"/>
    <w:lvl w:ilvl="0" w:tentative="0">
      <w:start w:val="1"/>
      <w:numFmt w:val="decimal"/>
      <w:suff w:val="space"/>
      <w:lvlText w:val="%1."/>
      <w:lvlJc w:val="left"/>
    </w:lvl>
  </w:abstractNum>
  <w:abstractNum w:abstractNumId="8">
    <w:nsid w:val="E9B03BFF"/>
    <w:multiLevelType w:val="singleLevel"/>
    <w:tmpl w:val="E9B03BFF"/>
    <w:lvl w:ilvl="0" w:tentative="0">
      <w:start w:val="1"/>
      <w:numFmt w:val="decimal"/>
      <w:suff w:val="space"/>
      <w:lvlText w:val="%1."/>
      <w:lvlJc w:val="left"/>
    </w:lvl>
  </w:abstractNum>
  <w:abstractNum w:abstractNumId="9">
    <w:nsid w:val="F07F6E7D"/>
    <w:multiLevelType w:val="singleLevel"/>
    <w:tmpl w:val="F07F6E7D"/>
    <w:lvl w:ilvl="0" w:tentative="0">
      <w:start w:val="1"/>
      <w:numFmt w:val="decimal"/>
      <w:suff w:val="space"/>
      <w:lvlText w:val="%1."/>
      <w:lvlJc w:val="left"/>
    </w:lvl>
  </w:abstractNum>
  <w:abstractNum w:abstractNumId="10">
    <w:nsid w:val="F505ADA2"/>
    <w:multiLevelType w:val="singleLevel"/>
    <w:tmpl w:val="F505ADA2"/>
    <w:lvl w:ilvl="0" w:tentative="0">
      <w:start w:val="1"/>
      <w:numFmt w:val="decimal"/>
      <w:suff w:val="space"/>
      <w:lvlText w:val="%1."/>
      <w:lvlJc w:val="left"/>
    </w:lvl>
  </w:abstractNum>
  <w:abstractNum w:abstractNumId="11">
    <w:nsid w:val="1474391B"/>
    <w:multiLevelType w:val="singleLevel"/>
    <w:tmpl w:val="1474391B"/>
    <w:lvl w:ilvl="0" w:tentative="0">
      <w:start w:val="1"/>
      <w:numFmt w:val="decimal"/>
      <w:suff w:val="space"/>
      <w:lvlText w:val="%1."/>
      <w:lvlJc w:val="left"/>
    </w:lvl>
  </w:abstractNum>
  <w:abstractNum w:abstractNumId="12">
    <w:nsid w:val="33DB3C10"/>
    <w:multiLevelType w:val="singleLevel"/>
    <w:tmpl w:val="33DB3C10"/>
    <w:lvl w:ilvl="0" w:tentative="0">
      <w:start w:val="1"/>
      <w:numFmt w:val="decimal"/>
      <w:suff w:val="space"/>
      <w:lvlText w:val="%1."/>
      <w:lvlJc w:val="left"/>
    </w:lvl>
  </w:abstractNum>
  <w:abstractNum w:abstractNumId="13">
    <w:nsid w:val="4B0C5E51"/>
    <w:multiLevelType w:val="singleLevel"/>
    <w:tmpl w:val="4B0C5E51"/>
    <w:lvl w:ilvl="0" w:tentative="0">
      <w:start w:val="1"/>
      <w:numFmt w:val="decimal"/>
      <w:suff w:val="space"/>
      <w:lvlText w:val="%1."/>
      <w:lvlJc w:val="left"/>
    </w:lvl>
  </w:abstractNum>
  <w:abstractNum w:abstractNumId="14">
    <w:nsid w:val="5C49E9CA"/>
    <w:multiLevelType w:val="singleLevel"/>
    <w:tmpl w:val="5C49E9CA"/>
    <w:lvl w:ilvl="0" w:tentative="0">
      <w:start w:val="1"/>
      <w:numFmt w:val="decimal"/>
      <w:suff w:val="space"/>
      <w:lvlText w:val="%1."/>
      <w:lvlJc w:val="left"/>
    </w:lvl>
  </w:abstractNum>
  <w:abstractNum w:abstractNumId="15">
    <w:nsid w:val="6758A267"/>
    <w:multiLevelType w:val="singleLevel"/>
    <w:tmpl w:val="6758A267"/>
    <w:lvl w:ilvl="0" w:tentative="0">
      <w:start w:val="1"/>
      <w:numFmt w:val="decimal"/>
      <w:suff w:val="space"/>
      <w:lvlText w:val="%1."/>
      <w:lvlJc w:val="left"/>
    </w:lvl>
  </w:abstractNum>
  <w:abstractNum w:abstractNumId="16">
    <w:nsid w:val="6A133763"/>
    <w:multiLevelType w:val="singleLevel"/>
    <w:tmpl w:val="6A133763"/>
    <w:lvl w:ilvl="0" w:tentative="0">
      <w:start w:val="1"/>
      <w:numFmt w:val="decimal"/>
      <w:suff w:val="space"/>
      <w:lvlText w:val="%1."/>
      <w:lvlJc w:val="left"/>
    </w:lvl>
  </w:abstractNum>
  <w:abstractNum w:abstractNumId="17">
    <w:nsid w:val="6D0FA17A"/>
    <w:multiLevelType w:val="singleLevel"/>
    <w:tmpl w:val="6D0FA17A"/>
    <w:lvl w:ilvl="0" w:tentative="0">
      <w:start w:val="1"/>
      <w:numFmt w:val="decimal"/>
      <w:suff w:val="space"/>
      <w:lvlText w:val="%1."/>
      <w:lvlJc w:val="left"/>
    </w:lvl>
  </w:abstractNum>
  <w:abstractNum w:abstractNumId="18">
    <w:nsid w:val="77D7EF39"/>
    <w:multiLevelType w:val="singleLevel"/>
    <w:tmpl w:val="77D7EF39"/>
    <w:lvl w:ilvl="0" w:tentative="0">
      <w:start w:val="1"/>
      <w:numFmt w:val="decimal"/>
      <w:suff w:val="space"/>
      <w:lvlText w:val="%1."/>
      <w:lvlJc w:val="left"/>
    </w:lvl>
  </w:abstractNum>
  <w:num w:numId="1">
    <w:abstractNumId w:val="8"/>
  </w:num>
  <w:num w:numId="2">
    <w:abstractNumId w:val="18"/>
  </w:num>
  <w:num w:numId="3">
    <w:abstractNumId w:val="16"/>
  </w:num>
  <w:num w:numId="4">
    <w:abstractNumId w:val="12"/>
  </w:num>
  <w:num w:numId="5">
    <w:abstractNumId w:val="11"/>
  </w:num>
  <w:num w:numId="6">
    <w:abstractNumId w:val="17"/>
  </w:num>
  <w:num w:numId="7">
    <w:abstractNumId w:val="9"/>
  </w:num>
  <w:num w:numId="8">
    <w:abstractNumId w:val="3"/>
  </w:num>
  <w:num w:numId="9">
    <w:abstractNumId w:val="4"/>
  </w:num>
  <w:num w:numId="10">
    <w:abstractNumId w:val="5"/>
  </w:num>
  <w:num w:numId="11">
    <w:abstractNumId w:val="15"/>
  </w:num>
  <w:num w:numId="12">
    <w:abstractNumId w:val="13"/>
  </w:num>
  <w:num w:numId="13">
    <w:abstractNumId w:val="14"/>
  </w:num>
  <w:num w:numId="14">
    <w:abstractNumId w:val="7"/>
  </w:num>
  <w:num w:numId="15">
    <w:abstractNumId w:val="10"/>
  </w:num>
  <w:num w:numId="16">
    <w:abstractNumId w:val="6"/>
  </w:num>
  <w:num w:numId="17">
    <w:abstractNumId w:val="0"/>
  </w:num>
  <w:num w:numId="18">
    <w:abstractNumId w:val="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00D43877"/>
    <w:rsid w:val="0544310E"/>
    <w:rsid w:val="065668D5"/>
    <w:rsid w:val="09C4265E"/>
    <w:rsid w:val="15CD71D0"/>
    <w:rsid w:val="1655615E"/>
    <w:rsid w:val="189E0A74"/>
    <w:rsid w:val="192C2D09"/>
    <w:rsid w:val="1FC10F6D"/>
    <w:rsid w:val="20AB362C"/>
    <w:rsid w:val="20B31A76"/>
    <w:rsid w:val="237C12D2"/>
    <w:rsid w:val="329D0ECA"/>
    <w:rsid w:val="331A417F"/>
    <w:rsid w:val="3EB81A99"/>
    <w:rsid w:val="44F16ACB"/>
    <w:rsid w:val="4E791BD4"/>
    <w:rsid w:val="5AF942A6"/>
    <w:rsid w:val="5F0232A0"/>
    <w:rsid w:val="5FAE3326"/>
    <w:rsid w:val="6031718C"/>
    <w:rsid w:val="62895279"/>
    <w:rsid w:val="67665E83"/>
    <w:rsid w:val="691649C5"/>
    <w:rsid w:val="6DD13E39"/>
    <w:rsid w:val="6F4E568C"/>
    <w:rsid w:val="725044E5"/>
    <w:rsid w:val="768D28C6"/>
    <w:rsid w:val="7B971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6386</Words>
  <Characters>6468</Characters>
  <Lines>0</Lines>
  <Paragraphs>0</Paragraphs>
  <TotalTime>253</TotalTime>
  <ScaleCrop>false</ScaleCrop>
  <LinksUpToDate>false</LinksUpToDate>
  <CharactersWithSpaces>6493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2024-08-09T02:16:00Z</dcterms:created>
  <dc:creator>ASUS</dc:creator>
  <cp:lastModifiedBy>今天小马又打球了</cp:lastModifiedBy>
  <dcterms:modified xsi:type="dcterms:W3CDTF">2024-10-29T10:48:38Z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BF40766EAE3E44419B86DAD11F6BB31A_12</vt:lpwstr>
  </property>
</Properties>
</file>