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44B87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 远期合约：交易双方签订的在未来某一确定的时间以确定的价格买入或卖出确定数量的某种资产的合约。它的实质是通过商业合约的形式将双方未来交易的权利义务确定下来。在未来确定的时间，无论利益盈亏，双方都有按合约完成交易的权利与义务（双方事先约定，未来定期交易）。</w:t>
      </w:r>
    </w:p>
    <w:p w14:paraId="242EF3F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 期货交易：远期交易集中化，标准化。期货合约是由期货交易所设计开发的，规定交易双方在未来特定的时间和地点按照合约规定的特定价格交割特定数量和质量的实物商品或金融资产，并经特定监督部门许可在交易所上市交易的标准化合约。期货合约的持有者可以通过交收现货或进行相反方向的对冲交易来履行或解除合约合同。</w:t>
      </w:r>
    </w:p>
    <w:p w14:paraId="5F08215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 互换合约：两个或两个以上当事人按照商定条件，在约定的时间内交换一系列现金流的合约。（计算或确定现金流的方法有很多，互换的种类也很多，最重要和最常见的是利益互换IRS和货币互换SWAP）</w:t>
      </w:r>
    </w:p>
    <w:p w14:paraId="6F20B93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p>
    <w:p w14:paraId="148C9C8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 期权合约：也叫做选择权，指赋予其购买者在规定期限内按双方约定的价格（执行价格）购买或出售一定数量的某种资产（标的资产或潜含资产）的权利的合约。根据期权购买者的权利不同、执行时限不同和标的资产不同，期权又有着多种不同的分类。</w:t>
      </w:r>
    </w:p>
    <w:p w14:paraId="39E0A16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 期权买方的权利可以是买入标的资产，也可以是卖出标的的资产，所以行权方向有买入和卖出两种。行权方向为买入的期权就是看涨期权，行权方向为卖出的期权就是看跌期权。</w:t>
      </w:r>
    </w:p>
    <w:p w14:paraId="3D7C6DE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 xml:space="preserve">- 期货合约可以分为两大类：商品期货（具体商品）与金融期货（金融工具）。例如：农产品期货、金属期货、能源化工类期货；股票指数期货、利率期货、外汇期货。 </w:t>
      </w:r>
    </w:p>
    <w:p w14:paraId="1ACD6D6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p>
    <w:p w14:paraId="58D82A6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远期合约（最早产生的）的基本要素</w:t>
      </w:r>
    </w:p>
    <w:p w14:paraId="66E5C46B">
      <w:pPr>
        <w:keepNext w:val="0"/>
        <w:keepLines w:val="0"/>
        <w:pageBreakBefore w:val="0"/>
        <w:widowControl w:val="0"/>
        <w:numPr>
          <w:ilvl w:val="0"/>
          <w:numId w:val="1"/>
        </w:numPr>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标的资产：合约中约定未来买卖的资产称为合约的标的资产（商品远期合约，金融远期合约）</w:t>
      </w:r>
    </w:p>
    <w:p w14:paraId="47653863">
      <w:pPr>
        <w:keepNext w:val="0"/>
        <w:keepLines w:val="0"/>
        <w:pageBreakBefore w:val="0"/>
        <w:widowControl w:val="0"/>
        <w:numPr>
          <w:ilvl w:val="0"/>
          <w:numId w:val="1"/>
        </w:numPr>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多头与空头：未来买入标的资产的一方称为多头，未来卖出标的资产的一方称为空头。</w:t>
      </w:r>
    </w:p>
    <w:p w14:paraId="083EE643">
      <w:pPr>
        <w:keepNext w:val="0"/>
        <w:keepLines w:val="0"/>
        <w:pageBreakBefore w:val="0"/>
        <w:widowControl w:val="0"/>
        <w:numPr>
          <w:ilvl w:val="0"/>
          <w:numId w:val="1"/>
        </w:numPr>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交割价格：远期合约中规定的交易双方未来实际买卖标的资产的价格</w:t>
      </w:r>
    </w:p>
    <w:p w14:paraId="725768AB">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 xml:space="preserve">   远期价值：是标的资产远期交易的理论价格，也就是使当时同样到期期限、同种标的资      </w:t>
      </w:r>
    </w:p>
    <w:p w14:paraId="079F1C8C">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 xml:space="preserve">   产的远期合约价值为零的交割价格（远期价值=远期价格-交割价格，肯定是一方为正一</w:t>
      </w:r>
    </w:p>
    <w:p w14:paraId="7D3314F7">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 xml:space="preserve">   方为负，即一方盈利一方亏损）</w:t>
      </w:r>
    </w:p>
    <w:p w14:paraId="507AA8E8">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0" w:leftChars="0" w:firstLine="0" w:firstLineChars="0"/>
        <w:textAlignment w:val="auto"/>
        <w:rPr>
          <w:rFonts w:hint="default"/>
          <w:lang w:val="en-US" w:eastAsia="zh-CN"/>
        </w:rPr>
      </w:pPr>
      <w:r>
        <w:rPr>
          <w:rFonts w:hint="eastAsia"/>
          <w:lang w:val="en-US" w:eastAsia="zh-CN"/>
        </w:rPr>
        <w:t>如果远期价格高于即期价格称为远期升水；远期价格低于即期价格称为远期贴水；平价则是两者相等的情况。（远期价格=即期价格+-远期升贴水）</w:t>
      </w:r>
    </w:p>
    <w:p w14:paraId="0EE48CED">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0" w:leftChars="0" w:firstLine="0" w:firstLineChars="0"/>
        <w:textAlignment w:val="auto"/>
        <w:rPr>
          <w:rFonts w:hint="default"/>
          <w:lang w:val="en-US" w:eastAsia="zh-CN"/>
        </w:rPr>
      </w:pPr>
      <w:r>
        <w:rPr>
          <w:rFonts w:hint="eastAsia"/>
          <w:lang w:val="en-US" w:eastAsia="zh-CN"/>
        </w:rPr>
        <w:t>到期日：远期合约中所确定的交割时间。到期日可以是一个确定的日期，也可以是约定的一段时间。</w:t>
      </w:r>
    </w:p>
    <w:p w14:paraId="0B3F97AA">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360" w:lineRule="auto"/>
        <w:jc w:val="both"/>
        <w:textAlignment w:val="auto"/>
        <w:rPr>
          <w:rFonts w:hint="eastAsia"/>
          <w:lang w:val="en-US" w:eastAsia="zh-CN"/>
        </w:rPr>
      </w:pPr>
    </w:p>
    <w:p w14:paraId="55BFC86D">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远期合约外汇</w:t>
      </w:r>
    </w:p>
    <w:p w14:paraId="06CF3434">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以外汇作为标的资产的远期合约，是交易双方在未来某一确定的时间以确定的汇率买入或卖出确定数量的特定外汇的远期合约</w:t>
      </w:r>
    </w:p>
    <w:p w14:paraId="2522E288">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主要包含：将来交割的外汇的币种和数额；将来交割外汇的日期地点与方式；合约未来的交割汇率即交割价格</w:t>
      </w:r>
    </w:p>
    <w:p w14:paraId="42259395">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即期汇率的报价方法</w:t>
      </w:r>
    </w:p>
    <w:p w14:paraId="1F63C3B7">
      <w:pPr>
        <w:keepNext w:val="0"/>
        <w:keepLines w:val="0"/>
        <w:pageBreakBefore w:val="0"/>
        <w:widowControl w:val="0"/>
        <w:numPr>
          <w:ilvl w:val="0"/>
          <w:numId w:val="2"/>
        </w:numPr>
        <w:tabs>
          <w:tab w:val="left" w:pos="312"/>
        </w:tabs>
        <w:kinsoku/>
        <w:wordWrap/>
        <w:overflowPunct/>
        <w:topLinePunct w:val="0"/>
        <w:autoSpaceDE/>
        <w:autoSpaceDN/>
        <w:bidi w:val="0"/>
        <w:adjustRightInd/>
        <w:snapToGrid/>
        <w:spacing w:line="360" w:lineRule="auto"/>
        <w:jc w:val="both"/>
        <w:textAlignment w:val="auto"/>
        <w:rPr>
          <w:rFonts w:hint="default"/>
          <w:lang w:val="en-US" w:eastAsia="zh-CN"/>
        </w:rPr>
      </w:pPr>
      <w:r>
        <w:rPr>
          <w:rFonts w:hint="eastAsia"/>
          <w:lang w:val="en-US" w:eastAsia="zh-CN"/>
        </w:rPr>
        <w:t>直接报价法：以一定单位的外汇货币为标准来计算应付出多少单位的本国货币</w:t>
      </w:r>
    </w:p>
    <w:p w14:paraId="073C103D">
      <w:pPr>
        <w:keepNext w:val="0"/>
        <w:keepLines w:val="0"/>
        <w:pageBreakBefore w:val="0"/>
        <w:widowControl w:val="0"/>
        <w:numPr>
          <w:ilvl w:val="0"/>
          <w:numId w:val="2"/>
        </w:numPr>
        <w:tabs>
          <w:tab w:val="left" w:pos="312"/>
        </w:tabs>
        <w:kinsoku/>
        <w:wordWrap/>
        <w:overflowPunct/>
        <w:topLinePunct w:val="0"/>
        <w:autoSpaceDE/>
        <w:autoSpaceDN/>
        <w:bidi w:val="0"/>
        <w:adjustRightInd/>
        <w:snapToGrid/>
        <w:spacing w:line="360" w:lineRule="auto"/>
        <w:jc w:val="both"/>
        <w:textAlignment w:val="auto"/>
        <w:rPr>
          <w:rFonts w:hint="default"/>
          <w:lang w:val="en-US" w:eastAsia="zh-CN"/>
        </w:rPr>
      </w:pPr>
      <w:r>
        <w:rPr>
          <w:rFonts w:hint="eastAsia"/>
          <w:lang w:val="en-US" w:eastAsia="zh-CN"/>
        </w:rPr>
        <w:t>间接报价法：以一定单位的本国货币为标准来计算应收多少单位的外国货币</w:t>
      </w:r>
    </w:p>
    <w:p w14:paraId="445E7F91">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银行对外汇汇率的报价</w:t>
      </w:r>
    </w:p>
    <w:p w14:paraId="5E661D55">
      <w:pPr>
        <w:keepNext w:val="0"/>
        <w:keepLines w:val="0"/>
        <w:pageBreakBefore w:val="0"/>
        <w:widowControl w:val="0"/>
        <w:numPr>
          <w:ilvl w:val="0"/>
          <w:numId w:val="3"/>
        </w:numPr>
        <w:tabs>
          <w:tab w:val="left" w:pos="312"/>
        </w:tabs>
        <w:kinsoku/>
        <w:wordWrap/>
        <w:overflowPunct/>
        <w:topLinePunct w:val="0"/>
        <w:autoSpaceDE/>
        <w:autoSpaceDN/>
        <w:bidi w:val="0"/>
        <w:adjustRightInd/>
        <w:snapToGrid/>
        <w:spacing w:line="360" w:lineRule="auto"/>
        <w:jc w:val="both"/>
        <w:textAlignment w:val="auto"/>
        <w:rPr>
          <w:rFonts w:hint="default"/>
          <w:lang w:val="en-US" w:eastAsia="zh-CN"/>
        </w:rPr>
      </w:pPr>
      <w:r>
        <w:rPr>
          <w:rFonts w:hint="eastAsia"/>
          <w:lang w:val="en-US" w:eastAsia="zh-CN"/>
        </w:rPr>
        <w:t>买入价：银行从客户或同业那里买入外汇时使用的汇率</w:t>
      </w:r>
    </w:p>
    <w:p w14:paraId="3674FC74">
      <w:pPr>
        <w:keepNext w:val="0"/>
        <w:keepLines w:val="0"/>
        <w:pageBreakBefore w:val="0"/>
        <w:widowControl w:val="0"/>
        <w:numPr>
          <w:ilvl w:val="0"/>
          <w:numId w:val="3"/>
        </w:numPr>
        <w:tabs>
          <w:tab w:val="left" w:pos="312"/>
        </w:tabs>
        <w:kinsoku/>
        <w:wordWrap/>
        <w:overflowPunct/>
        <w:topLinePunct w:val="0"/>
        <w:autoSpaceDE/>
        <w:autoSpaceDN/>
        <w:bidi w:val="0"/>
        <w:adjustRightInd/>
        <w:snapToGrid/>
        <w:spacing w:line="360" w:lineRule="auto"/>
        <w:jc w:val="both"/>
        <w:textAlignment w:val="auto"/>
        <w:rPr>
          <w:rFonts w:hint="default"/>
          <w:lang w:val="en-US" w:eastAsia="zh-CN"/>
        </w:rPr>
      </w:pPr>
      <w:r>
        <w:rPr>
          <w:rFonts w:hint="eastAsia"/>
          <w:lang w:val="en-US" w:eastAsia="zh-CN"/>
        </w:rPr>
        <w:t>卖出价：银行向客户或同业卖出外汇时使用的汇率</w:t>
      </w:r>
    </w:p>
    <w:p w14:paraId="420DE966">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（直接报价法中，买入价低于卖出价；反之）</w:t>
      </w:r>
    </w:p>
    <w:p w14:paraId="756E9830">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360" w:lineRule="auto"/>
        <w:jc w:val="both"/>
        <w:textAlignment w:val="auto"/>
        <w:rPr>
          <w:rFonts w:hint="default"/>
          <w:lang w:val="en-US" w:eastAsia="zh-CN"/>
        </w:rPr>
      </w:pPr>
      <w:r>
        <w:rPr>
          <w:rFonts w:hint="eastAsia"/>
          <w:lang w:val="en-US" w:eastAsia="zh-CN"/>
        </w:rPr>
        <w:t>远期汇率（外汇远期合约的交割汇率）的识别方法</w:t>
      </w:r>
    </w:p>
    <w:p w14:paraId="4045CA38">
      <w:pPr>
        <w:keepNext w:val="0"/>
        <w:keepLines w:val="0"/>
        <w:pageBreakBefore w:val="0"/>
        <w:widowControl w:val="0"/>
        <w:numPr>
          <w:ilvl w:val="0"/>
          <w:numId w:val="4"/>
        </w:numPr>
        <w:tabs>
          <w:tab w:val="left" w:pos="312"/>
        </w:tabs>
        <w:kinsoku/>
        <w:wordWrap/>
        <w:overflowPunct/>
        <w:topLinePunct w:val="0"/>
        <w:autoSpaceDE/>
        <w:autoSpaceDN/>
        <w:bidi w:val="0"/>
        <w:adjustRightInd/>
        <w:snapToGrid/>
        <w:spacing w:line="360" w:lineRule="auto"/>
        <w:jc w:val="both"/>
        <w:textAlignment w:val="auto"/>
        <w:rPr>
          <w:rFonts w:hint="default"/>
          <w:lang w:val="en-US" w:eastAsia="zh-CN"/>
        </w:rPr>
      </w:pPr>
      <w:r>
        <w:rPr>
          <w:rFonts w:hint="eastAsia"/>
          <w:lang w:val="en-US" w:eastAsia="zh-CN"/>
        </w:rPr>
        <w:t>直接报价法：直接标出不同期限的远期外汇的实际买入价和卖出价</w:t>
      </w:r>
    </w:p>
    <w:p w14:paraId="29F52C6D">
      <w:pPr>
        <w:keepNext w:val="0"/>
        <w:keepLines w:val="0"/>
        <w:pageBreakBefore w:val="0"/>
        <w:widowControl w:val="0"/>
        <w:numPr>
          <w:ilvl w:val="0"/>
          <w:numId w:val="4"/>
        </w:numPr>
        <w:tabs>
          <w:tab w:val="left" w:pos="312"/>
        </w:tabs>
        <w:kinsoku/>
        <w:wordWrap/>
        <w:overflowPunct/>
        <w:topLinePunct w:val="0"/>
        <w:autoSpaceDE/>
        <w:autoSpaceDN/>
        <w:bidi w:val="0"/>
        <w:adjustRightInd/>
        <w:snapToGrid/>
        <w:spacing w:line="360" w:lineRule="auto"/>
        <w:jc w:val="both"/>
        <w:textAlignment w:val="auto"/>
        <w:rPr>
          <w:rFonts w:hint="default"/>
          <w:lang w:val="en-US" w:eastAsia="zh-CN"/>
        </w:rPr>
      </w:pPr>
      <w:r>
        <w:rPr>
          <w:rFonts w:hint="eastAsia"/>
          <w:lang w:val="en-US" w:eastAsia="zh-CN"/>
        </w:rPr>
        <w:t>远期差价标价法：某一时间点远期汇率与即期汇率的差价，又叫掉期率</w:t>
      </w:r>
    </w:p>
    <w:p w14:paraId="1D32B5A6">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360" w:lineRule="auto"/>
        <w:jc w:val="both"/>
        <w:textAlignment w:val="auto"/>
        <w:rPr>
          <w:rFonts w:hint="eastAsia"/>
          <w:lang w:val="en-US" w:eastAsia="zh-CN"/>
        </w:rPr>
      </w:pPr>
    </w:p>
    <w:p w14:paraId="27E1B506">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远期利率协议</w:t>
      </w:r>
    </w:p>
    <w:p w14:paraId="6F74DBF0">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除远期外汇合约之外另一个运用广泛，交易规模巨大的远期交易，是以利率为标的金融变量的远期合约（远期利率协议可以锁定未来的利率，规避未来利率波动的风险）</w:t>
      </w:r>
    </w:p>
    <w:p w14:paraId="6E7DA4C5">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FRABBA主要条款和术语</w:t>
      </w:r>
    </w:p>
    <w:p w14:paraId="342038FF">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协议本金：名义上的金额；协议货币：协议金额的货币币种；</w:t>
      </w:r>
    </w:p>
    <w:p w14:paraId="413654E9">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 xml:space="preserve">交易日：协议成交的日期；结算日：协议借贷开始的日期，也就是协议中规定的借贷款的起息日，是交易双方计算并交付利息差额的日期 </w:t>
      </w:r>
    </w:p>
    <w:p w14:paraId="2899E0BF">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远期利率的表示方法是m*n（m为远期合约到结算日的期限，n-m为协议的贷款时间）</w:t>
      </w:r>
    </w:p>
    <w:p w14:paraId="454B22BF">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360" w:lineRule="auto"/>
        <w:jc w:val="both"/>
        <w:textAlignment w:val="auto"/>
        <w:rPr>
          <w:rFonts w:hint="default"/>
          <w:lang w:val="en-US" w:eastAsia="zh-CN"/>
        </w:rPr>
      </w:pPr>
      <w:r>
        <w:rPr>
          <w:rFonts w:hint="eastAsia"/>
          <w:lang w:val="en-US" w:eastAsia="zh-CN"/>
        </w:rPr>
        <w:t>银行常作为远期利率协议的做市商同时报出远期利率协议的买卖价格，远期利率协议的报价以远期利率为基础，这种利率包含了现货市场收益率和利率期货价格因素，实际交易价格有银行也决定。</w:t>
      </w:r>
    </w:p>
    <w:p w14:paraId="5E1CECB6">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期货合约的主要条款和相关术语</w:t>
      </w:r>
    </w:p>
    <w:p w14:paraId="68797AF8">
      <w:pPr>
        <w:keepNext w:val="0"/>
        <w:keepLines w:val="0"/>
        <w:pageBreakBefore w:val="0"/>
        <w:widowControl w:val="0"/>
        <w:numPr>
          <w:ilvl w:val="0"/>
          <w:numId w:val="5"/>
        </w:numPr>
        <w:tabs>
          <w:tab w:val="left" w:pos="312"/>
        </w:tabs>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合约名称与交易代码：合约名称注明了该合约的品种名称及其上市交易所的名称。</w:t>
      </w:r>
    </w:p>
    <w:p w14:paraId="664FECC1">
      <w:pPr>
        <w:keepNext w:val="0"/>
        <w:keepLines w:val="0"/>
        <w:pageBreakBefore w:val="0"/>
        <w:widowControl w:val="0"/>
        <w:numPr>
          <w:ilvl w:val="0"/>
          <w:numId w:val="5"/>
        </w:numPr>
        <w:tabs>
          <w:tab w:val="left" w:pos="312"/>
        </w:tabs>
        <w:kinsoku/>
        <w:wordWrap/>
        <w:overflowPunct/>
        <w:topLinePunct w:val="0"/>
        <w:autoSpaceDE/>
        <w:autoSpaceDN/>
        <w:bidi w:val="0"/>
        <w:adjustRightInd/>
        <w:snapToGrid/>
        <w:spacing w:line="360" w:lineRule="auto"/>
        <w:ind w:left="0" w:leftChars="0" w:firstLine="0" w:firstLineChars="0"/>
        <w:jc w:val="both"/>
        <w:textAlignment w:val="auto"/>
        <w:rPr>
          <w:rFonts w:hint="eastAsia"/>
          <w:lang w:val="en-US" w:eastAsia="zh-CN"/>
        </w:rPr>
      </w:pPr>
      <w:r>
        <w:rPr>
          <w:rFonts w:hint="eastAsia"/>
          <w:lang w:val="en-US" w:eastAsia="zh-CN"/>
        </w:rPr>
        <w:t>交易单位|合约价值：交易单位是在期货交易所交易的每手期货合约代表的标的物的数量；3. 合约价值是指每手期货合约代表的标的物的价值。股指期货常用合约表示交易规模。</w:t>
      </w:r>
    </w:p>
    <w:p w14:paraId="40C63F6C">
      <w:pPr>
        <w:keepNext w:val="0"/>
        <w:keepLines w:val="0"/>
        <w:pageBreakBefore w:val="0"/>
        <w:widowControl w:val="0"/>
        <w:numPr>
          <w:ilvl w:val="0"/>
          <w:numId w:val="5"/>
        </w:numPr>
        <w:tabs>
          <w:tab w:val="left" w:pos="312"/>
        </w:tabs>
        <w:kinsoku/>
        <w:wordWrap/>
        <w:overflowPunct/>
        <w:topLinePunct w:val="0"/>
        <w:autoSpaceDE/>
        <w:autoSpaceDN/>
        <w:bidi w:val="0"/>
        <w:adjustRightInd/>
        <w:snapToGrid/>
        <w:spacing w:line="360" w:lineRule="auto"/>
        <w:ind w:left="0" w:leftChars="0" w:firstLine="0" w:firstLineChars="0"/>
        <w:jc w:val="both"/>
        <w:textAlignment w:val="auto"/>
        <w:rPr>
          <w:rFonts w:hint="eastAsia"/>
          <w:lang w:val="en-US" w:eastAsia="zh-CN"/>
        </w:rPr>
      </w:pPr>
      <w:r>
        <w:rPr>
          <w:rFonts w:hint="eastAsia"/>
          <w:lang w:val="en-US" w:eastAsia="zh-CN"/>
        </w:rPr>
        <w:t>报价单位与最小变动单位：报价单位是指在公开竞价过程中对期货合约报价所使用的单位，即每计量单位的货币价格。例如国内的小麦大豆等期货合约的报价单位以元/吨表示，最小变动单位是指在期货交易所的公开竞价过程中，对合约每计量单位报价的最小变动数值。</w:t>
      </w:r>
    </w:p>
    <w:p w14:paraId="5D0C03B1">
      <w:pPr>
        <w:keepNext w:val="0"/>
        <w:keepLines w:val="0"/>
        <w:pageBreakBefore w:val="0"/>
        <w:widowControl w:val="0"/>
        <w:numPr>
          <w:ilvl w:val="0"/>
          <w:numId w:val="5"/>
        </w:numPr>
        <w:tabs>
          <w:tab w:val="left" w:pos="312"/>
        </w:tabs>
        <w:kinsoku/>
        <w:wordWrap/>
        <w:overflowPunct/>
        <w:topLinePunct w:val="0"/>
        <w:autoSpaceDE/>
        <w:autoSpaceDN/>
        <w:bidi w:val="0"/>
        <w:adjustRightInd/>
        <w:snapToGrid/>
        <w:spacing w:line="360" w:lineRule="auto"/>
        <w:ind w:left="0" w:leftChars="0" w:firstLine="0" w:firstLineChars="0"/>
        <w:jc w:val="both"/>
        <w:textAlignment w:val="auto"/>
        <w:rPr>
          <w:rFonts w:hint="eastAsia"/>
          <w:lang w:val="en-US" w:eastAsia="zh-CN"/>
        </w:rPr>
      </w:pPr>
      <w:r>
        <w:rPr>
          <w:rFonts w:hint="eastAsia"/>
          <w:lang w:val="en-US" w:eastAsia="zh-CN"/>
        </w:rPr>
        <w:t>每日价格最大波动限制：张跌停板，一般是以合约上一交易日的结算价为基准确定的。主要取决于该种标的物市场价格波动的频繁程度和波动大小，一般来说波动得越频繁越剧烈该商品期货合约允许的每日价格最大波动幅度就要设置得越大。</w:t>
      </w:r>
    </w:p>
    <w:p w14:paraId="52BEBA3F">
      <w:pPr>
        <w:keepNext w:val="0"/>
        <w:keepLines w:val="0"/>
        <w:pageBreakBefore w:val="0"/>
        <w:widowControl w:val="0"/>
        <w:numPr>
          <w:ilvl w:val="0"/>
          <w:numId w:val="5"/>
        </w:numPr>
        <w:tabs>
          <w:tab w:val="left" w:pos="312"/>
        </w:tabs>
        <w:kinsoku/>
        <w:wordWrap/>
        <w:overflowPunct/>
        <w:topLinePunct w:val="0"/>
        <w:autoSpaceDE/>
        <w:autoSpaceDN/>
        <w:bidi w:val="0"/>
        <w:adjustRightInd/>
        <w:snapToGrid/>
        <w:spacing w:line="360" w:lineRule="auto"/>
        <w:ind w:left="0" w:leftChars="0" w:firstLine="0" w:firstLineChars="0"/>
        <w:jc w:val="both"/>
        <w:textAlignment w:val="auto"/>
        <w:rPr>
          <w:rFonts w:hint="eastAsia"/>
          <w:lang w:val="en-US" w:eastAsia="zh-CN"/>
        </w:rPr>
      </w:pPr>
      <w:r>
        <w:rPr>
          <w:rFonts w:hint="eastAsia"/>
          <w:lang w:val="en-US" w:eastAsia="zh-CN"/>
        </w:rPr>
        <w:t>交割期条款：包括交割月份，交割日期</w:t>
      </w:r>
    </w:p>
    <w:p w14:paraId="5F41486A">
      <w:pPr>
        <w:keepNext w:val="0"/>
        <w:keepLines w:val="0"/>
        <w:pageBreakBefore w:val="0"/>
        <w:widowControl w:val="0"/>
        <w:numPr>
          <w:ilvl w:val="0"/>
          <w:numId w:val="5"/>
        </w:numPr>
        <w:tabs>
          <w:tab w:val="left" w:pos="312"/>
        </w:tabs>
        <w:kinsoku/>
        <w:wordWrap/>
        <w:overflowPunct/>
        <w:topLinePunct w:val="0"/>
        <w:autoSpaceDE/>
        <w:autoSpaceDN/>
        <w:bidi w:val="0"/>
        <w:adjustRightInd/>
        <w:snapToGrid/>
        <w:spacing w:line="360" w:lineRule="auto"/>
        <w:ind w:left="0" w:leftChars="0" w:firstLine="0" w:firstLineChars="0"/>
        <w:jc w:val="both"/>
        <w:textAlignment w:val="auto"/>
        <w:rPr>
          <w:rFonts w:hint="eastAsia"/>
          <w:lang w:val="en-US" w:eastAsia="zh-CN"/>
        </w:rPr>
      </w:pPr>
      <w:r>
        <w:rPr>
          <w:rFonts w:hint="eastAsia"/>
          <w:lang w:val="en-US" w:eastAsia="zh-CN"/>
        </w:rPr>
        <w:t>最后交易日：过了该期限的未平仓期货合约，必须按规定进行实物或货币交割</w:t>
      </w:r>
    </w:p>
    <w:p w14:paraId="1F4DCEE9">
      <w:pPr>
        <w:keepNext w:val="0"/>
        <w:keepLines w:val="0"/>
        <w:pageBreakBefore w:val="0"/>
        <w:widowControl w:val="0"/>
        <w:numPr>
          <w:ilvl w:val="0"/>
          <w:numId w:val="5"/>
        </w:numPr>
        <w:tabs>
          <w:tab w:val="left" w:pos="312"/>
        </w:tabs>
        <w:kinsoku/>
        <w:wordWrap/>
        <w:overflowPunct/>
        <w:topLinePunct w:val="0"/>
        <w:autoSpaceDE/>
        <w:autoSpaceDN/>
        <w:bidi w:val="0"/>
        <w:adjustRightInd/>
        <w:snapToGrid/>
        <w:spacing w:line="360" w:lineRule="auto"/>
        <w:ind w:left="0" w:leftChars="0" w:firstLine="0" w:firstLineChars="0"/>
        <w:jc w:val="both"/>
        <w:textAlignment w:val="auto"/>
        <w:rPr>
          <w:rFonts w:hint="eastAsia"/>
          <w:lang w:val="en-US" w:eastAsia="zh-CN"/>
        </w:rPr>
      </w:pPr>
      <w:r>
        <w:rPr>
          <w:rFonts w:hint="eastAsia"/>
          <w:lang w:val="en-US" w:eastAsia="zh-CN"/>
        </w:rPr>
        <w:t>交割等级、交割地点、交易手续费、交割方式、保证金</w:t>
      </w:r>
    </w:p>
    <w:p w14:paraId="3130160C">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360" w:lineRule="auto"/>
        <w:ind w:leftChars="0"/>
        <w:jc w:val="both"/>
        <w:textAlignment w:val="auto"/>
        <w:rPr>
          <w:rFonts w:hint="eastAsia"/>
          <w:lang w:val="en-US" w:eastAsia="zh-CN"/>
        </w:rPr>
      </w:pPr>
      <w:r>
        <w:rPr>
          <w:rFonts w:hint="eastAsia"/>
          <w:lang w:val="en-US" w:eastAsia="zh-CN"/>
        </w:rPr>
        <w:t>商品期货需要统一指定交割仓库，金融期货需要指定交割银行；交割方式分为实物和现金交割，商品期货、股票期货、外汇期货、中长利率期货通常使用前者，股票指数期货、短期利率通常使用后者。</w:t>
      </w:r>
    </w:p>
    <w:p w14:paraId="1818A4A9">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360" w:lineRule="auto"/>
        <w:ind w:leftChars="0"/>
        <w:jc w:val="both"/>
        <w:textAlignment w:val="auto"/>
        <w:rPr>
          <w:rFonts w:hint="default"/>
          <w:lang w:val="en-US" w:eastAsia="zh-CN"/>
        </w:rPr>
      </w:pPr>
    </w:p>
    <w:p w14:paraId="1412FD3C">
      <w:pPr>
        <w:keepNext w:val="0"/>
        <w:keepLines w:val="0"/>
        <w:pageBreakBefore w:val="0"/>
        <w:widowControl w:val="0"/>
        <w:numPr>
          <w:ilvl w:val="0"/>
          <w:numId w:val="0"/>
        </w:numPr>
        <w:tabs>
          <w:tab w:val="left" w:pos="312"/>
        </w:tabs>
        <w:kinsoku/>
        <w:wordWrap/>
        <w:overflowPunct/>
        <w:topLinePunct w:val="0"/>
        <w:autoSpaceDE/>
        <w:autoSpaceDN/>
        <w:bidi w:val="0"/>
        <w:adjustRightInd/>
        <w:snapToGrid/>
        <w:spacing w:line="360" w:lineRule="auto"/>
        <w:ind w:leftChars="0"/>
        <w:jc w:val="both"/>
        <w:textAlignment w:val="auto"/>
        <w:rPr>
          <w:rFonts w:hint="eastAsia"/>
          <w:lang w:val="en-US" w:eastAsia="zh-CN"/>
        </w:rPr>
      </w:pPr>
      <w:r>
        <w:rPr>
          <w:rFonts w:hint="eastAsia"/>
          <w:lang w:val="en-US" w:eastAsia="zh-CN"/>
        </w:rPr>
        <w:t>期权合约的主要条款和相关术语</w:t>
      </w:r>
    </w:p>
    <w:p w14:paraId="0A9D962F">
      <w:pPr>
        <w:keepNext w:val="0"/>
        <w:keepLines w:val="0"/>
        <w:pageBreakBefore w:val="0"/>
        <w:widowControl w:val="0"/>
        <w:numPr>
          <w:ilvl w:val="0"/>
          <w:numId w:val="6"/>
        </w:numPr>
        <w:tabs>
          <w:tab w:val="left" w:pos="312"/>
        </w:tabs>
        <w:kinsoku/>
        <w:wordWrap/>
        <w:overflowPunct/>
        <w:topLinePunct w:val="0"/>
        <w:autoSpaceDE/>
        <w:autoSpaceDN/>
        <w:bidi w:val="0"/>
        <w:adjustRightInd/>
        <w:snapToGrid/>
        <w:spacing w:line="360" w:lineRule="auto"/>
        <w:ind w:leftChars="0"/>
        <w:jc w:val="both"/>
        <w:textAlignment w:val="auto"/>
        <w:rPr>
          <w:rFonts w:hint="default"/>
          <w:lang w:val="en-US" w:eastAsia="zh-CN"/>
        </w:rPr>
      </w:pPr>
      <w:r>
        <w:rPr>
          <w:rFonts w:hint="eastAsia"/>
          <w:lang w:val="en-US" w:eastAsia="zh-CN"/>
        </w:rPr>
        <w:t>期权价格：权利金，是期权买方为获得在约定期限内按约定价格购买或出售某种资产的权力而支付给卖方的费用</w:t>
      </w:r>
    </w:p>
    <w:p w14:paraId="3D66DCE5">
      <w:pPr>
        <w:keepNext w:val="0"/>
        <w:keepLines w:val="0"/>
        <w:pageBreakBefore w:val="0"/>
        <w:widowControl w:val="0"/>
        <w:numPr>
          <w:ilvl w:val="0"/>
          <w:numId w:val="6"/>
        </w:numPr>
        <w:tabs>
          <w:tab w:val="left" w:pos="312"/>
        </w:tabs>
        <w:kinsoku/>
        <w:wordWrap/>
        <w:overflowPunct/>
        <w:topLinePunct w:val="0"/>
        <w:autoSpaceDE/>
        <w:autoSpaceDN/>
        <w:bidi w:val="0"/>
        <w:adjustRightInd/>
        <w:snapToGrid/>
        <w:spacing w:line="360" w:lineRule="auto"/>
        <w:ind w:leftChars="0"/>
        <w:jc w:val="both"/>
        <w:textAlignment w:val="auto"/>
        <w:rPr>
          <w:rFonts w:hint="default"/>
          <w:lang w:val="en-US" w:eastAsia="zh-CN"/>
        </w:rPr>
      </w:pPr>
      <w:r>
        <w:rPr>
          <w:rFonts w:hint="eastAsia"/>
          <w:lang w:val="en-US" w:eastAsia="zh-CN"/>
        </w:rPr>
        <w:t>标的资产：又称为标的物，是期权合约的标的，是期权合约中约定的，买方行使权利时所购买或出售的资产</w:t>
      </w:r>
    </w:p>
    <w:p w14:paraId="7A89B5E0">
      <w:pPr>
        <w:keepNext w:val="0"/>
        <w:keepLines w:val="0"/>
        <w:pageBreakBefore w:val="0"/>
        <w:widowControl w:val="0"/>
        <w:numPr>
          <w:ilvl w:val="0"/>
          <w:numId w:val="6"/>
        </w:numPr>
        <w:tabs>
          <w:tab w:val="left" w:pos="312"/>
        </w:tabs>
        <w:kinsoku/>
        <w:wordWrap/>
        <w:overflowPunct/>
        <w:topLinePunct w:val="0"/>
        <w:autoSpaceDE/>
        <w:autoSpaceDN/>
        <w:bidi w:val="0"/>
        <w:adjustRightInd/>
        <w:snapToGrid/>
        <w:spacing w:line="360" w:lineRule="auto"/>
        <w:ind w:leftChars="0"/>
        <w:jc w:val="both"/>
        <w:textAlignment w:val="auto"/>
        <w:rPr>
          <w:rFonts w:hint="default"/>
          <w:lang w:val="en-US" w:eastAsia="zh-CN"/>
        </w:rPr>
      </w:pPr>
      <w:r>
        <w:rPr>
          <w:rFonts w:hint="eastAsia"/>
          <w:lang w:val="en-US" w:eastAsia="zh-CN"/>
        </w:rPr>
        <w:t>行权方向：指期权买方行权时的操作方向，所以行权方向有买入和卖出两种。买入的期权是看涨期权，卖出的期权是看跌期权。</w:t>
      </w:r>
    </w:p>
    <w:p w14:paraId="4DDEB8DE">
      <w:pPr>
        <w:keepNext w:val="0"/>
        <w:keepLines w:val="0"/>
        <w:pageBreakBefore w:val="0"/>
        <w:widowControl w:val="0"/>
        <w:numPr>
          <w:ilvl w:val="0"/>
          <w:numId w:val="6"/>
        </w:numPr>
        <w:tabs>
          <w:tab w:val="left" w:pos="312"/>
        </w:tabs>
        <w:kinsoku/>
        <w:wordWrap/>
        <w:overflowPunct/>
        <w:topLinePunct w:val="0"/>
        <w:autoSpaceDE/>
        <w:autoSpaceDN/>
        <w:bidi w:val="0"/>
        <w:adjustRightInd/>
        <w:snapToGrid/>
        <w:spacing w:line="360" w:lineRule="auto"/>
        <w:ind w:leftChars="0"/>
        <w:jc w:val="both"/>
        <w:textAlignment w:val="auto"/>
        <w:rPr>
          <w:rFonts w:hint="default"/>
          <w:lang w:val="en-US" w:eastAsia="zh-CN"/>
        </w:rPr>
      </w:pPr>
      <w:r>
        <w:rPr>
          <w:rFonts w:hint="eastAsia"/>
          <w:lang w:val="en-US" w:eastAsia="zh-CN"/>
        </w:rPr>
        <w:t>有效期限：权利凭证，购买方支付期权费后获得在约定期限内，行使其以约定价格购买或出售特定资产的权利，若在特定期限内没有行使该权利则期权将过期失效。</w:t>
      </w:r>
    </w:p>
    <w:p w14:paraId="15DA537A">
      <w:pPr>
        <w:keepNext w:val="0"/>
        <w:keepLines w:val="0"/>
        <w:pageBreakBefore w:val="0"/>
        <w:widowControl w:val="0"/>
        <w:numPr>
          <w:ilvl w:val="0"/>
          <w:numId w:val="6"/>
        </w:numPr>
        <w:tabs>
          <w:tab w:val="left" w:pos="312"/>
        </w:tabs>
        <w:kinsoku/>
        <w:wordWrap/>
        <w:overflowPunct/>
        <w:topLinePunct w:val="0"/>
        <w:autoSpaceDE/>
        <w:autoSpaceDN/>
        <w:bidi w:val="0"/>
        <w:adjustRightInd/>
        <w:snapToGrid/>
        <w:spacing w:line="360" w:lineRule="auto"/>
        <w:ind w:leftChars="0"/>
        <w:jc w:val="both"/>
        <w:textAlignment w:val="auto"/>
        <w:rPr>
          <w:rFonts w:hint="default"/>
          <w:lang w:val="en-US" w:eastAsia="zh-CN"/>
        </w:rPr>
      </w:pPr>
      <w:r>
        <w:rPr>
          <w:rFonts w:hint="eastAsia"/>
          <w:lang w:val="en-US" w:eastAsia="zh-CN"/>
        </w:rPr>
        <w:t>执行价格：履约价格、行权价格、敲定价格。是期权合约中约定的，买方行使权利时购买或出售标的资产的价格</w:t>
      </w:r>
    </w:p>
    <w:p w14:paraId="48B678D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53A3A3B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p>
    <w:p w14:paraId="187BD24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期货合约和远期合约的比较</w:t>
      </w:r>
    </w:p>
    <w:p w14:paraId="46C40BC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远期交易属于场外市场交易，交易双方通过直接或有中介的谈判签订远期合约，合约内容是非标准化的；远期合约通常采用实物交割方式；远期合约的流动性较差，提前终止合约比较困难；远期合约的违约风险较大</w:t>
      </w:r>
    </w:p>
    <w:p w14:paraId="003BB57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 xml:space="preserve">期货合约是典型的场内交易，是在交易所的组织下交易的，公开竞价产生；标准化的；交易者只需要按期货合约交易规模的一定的百分比缴纳少量的资金作为履行的财力保证便可以参与期货合约的买卖，且期货投资的盈亏也是通过保证金账户结算的；当日无负债结算。 </w:t>
      </w:r>
    </w:p>
    <w:p w14:paraId="210D8BE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p>
    <w:p w14:paraId="60BA1BD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行情解读</w:t>
      </w:r>
    </w:p>
    <w:p w14:paraId="59F47E3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环节：开户 下单 竞价 结算 交割了结（普通投资者只能通过中介机构代理期货交易）</w:t>
      </w:r>
    </w:p>
    <w:p w14:paraId="7626249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default"/>
          <w:lang w:val="en-US" w:eastAsia="zh-CN"/>
        </w:rPr>
        <w:drawing>
          <wp:inline distT="0" distB="0" distL="114300" distR="114300">
            <wp:extent cx="4477385" cy="2671445"/>
            <wp:effectExtent l="0" t="0" r="8890" b="5080"/>
            <wp:docPr id="1" name="图片 1" descr="屏幕截图 2024-08-06 114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屏幕截图 2024-08-06 114126"/>
                    <pic:cNvPicPr>
                      <a:picLocks noChangeAspect="1"/>
                    </pic:cNvPicPr>
                  </pic:nvPicPr>
                  <pic:blipFill>
                    <a:blip r:embed="rId4"/>
                    <a:stretch>
                      <a:fillRect/>
                    </a:stretch>
                  </pic:blipFill>
                  <pic:spPr>
                    <a:xfrm>
                      <a:off x="0" y="0"/>
                      <a:ext cx="4477385" cy="2671445"/>
                    </a:xfrm>
                    <a:prstGeom prst="rect">
                      <a:avLst/>
                    </a:prstGeom>
                  </pic:spPr>
                </pic:pic>
              </a:graphicData>
            </a:graphic>
          </wp:inline>
        </w:drawing>
      </w:r>
    </w:p>
    <w:p w14:paraId="2A7497C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 xml:space="preserve"> 合约的持有者如果负有买进标的资产的义务则称为期货合约的多头方或买方，反之叫空头方；建立期货寸头后，在没有了结合约前，称为持仓，也叫未平仓合约或未平仓头寸；买入期货合约后持有的头寸叫多头头寸即“多头”，卖出期货合约后持有的头寸叫做空头头寸即“空头”；市场上所有交易者持有的某种期货合约未平仓头寸的总和，称为该合约的未平仓头寸，目前采用单边头寸计算。</w:t>
      </w:r>
    </w:p>
    <w:p w14:paraId="720F96F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开盘价是当日某一期货合约交易开始前五分钟集合竞价产生的成交价，如果集合竞价未产生成交价，则以集合竞价后的第一笔成交价为开盘价；最高价是指一定时间内某一期货合约成交价中的最高价格（最低价格）；最新价是指某交易日某一期货合约交易期间的即时成交价格。</w:t>
      </w:r>
    </w:p>
    <w:p w14:paraId="3CCC4B3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p>
    <w:p w14:paraId="3A75DAB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期货的保证金交易制度与逐日盯市</w:t>
      </w:r>
    </w:p>
    <w:p w14:paraId="001D770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保证金制度的实施目的在于为合约的履约提供担保，并便于每日的结算</w:t>
      </w:r>
    </w:p>
    <w:p w14:paraId="60943785">
      <w:pPr>
        <w:keepNext w:val="0"/>
        <w:keepLines w:val="0"/>
        <w:pageBreakBefore w:val="0"/>
        <w:widowControl w:val="0"/>
        <w:numPr>
          <w:ilvl w:val="0"/>
          <w:numId w:val="7"/>
        </w:numPr>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交易者面临的风险越大要求的保证金比例越高（我国各商品交易所对于套期保值交易以及价差套利交易收取的保证金也都低于单向的投机交易）</w:t>
      </w:r>
    </w:p>
    <w:p w14:paraId="5E3B9358">
      <w:pPr>
        <w:keepNext w:val="0"/>
        <w:keepLines w:val="0"/>
        <w:pageBreakBefore w:val="0"/>
        <w:widowControl w:val="0"/>
        <w:numPr>
          <w:ilvl w:val="0"/>
          <w:numId w:val="7"/>
        </w:numPr>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交易所可根据市场的变化调整保证金水平</w:t>
      </w:r>
    </w:p>
    <w:p w14:paraId="2F5E9B52">
      <w:pPr>
        <w:keepNext w:val="0"/>
        <w:keepLines w:val="0"/>
        <w:pageBreakBefore w:val="0"/>
        <w:widowControl w:val="0"/>
        <w:numPr>
          <w:ilvl w:val="0"/>
          <w:numId w:val="7"/>
        </w:numPr>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保证金的收取是分级进行的。交易所或结算机构只向其会员收取保证金，作为会员的期货公司则向其客户收取，分别称为会员保证金和客户保证金</w:t>
      </w:r>
    </w:p>
    <w:p w14:paraId="59C25949">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保证金比率的特点：距交割月份越近交易者面临到期交割的可能性越大，为了防止实物交割可能出现的违约风险，促使不愿意实物交割的交易者平仓了结，交易保证金比率随着交割临近而提高；随着持仓量的增大交易所会逐步提高该合约交易保证金比例；当某期货合约出现连续张跌停板的情况时，交易保证金比例可相应提高；当某期货合约交易出现异常情况时，交易所可以按规定的程序调整交易保证金的比例</w:t>
      </w:r>
    </w:p>
    <w:p w14:paraId="2772C856">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val="en-US" w:eastAsia="zh-CN"/>
        </w:rPr>
      </w:pPr>
    </w:p>
    <w:p w14:paraId="6B041F64">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逐日盯市制度即结算机构在每日收盘后对期货交易保证金会计分录账户当天的盈亏状况进行结算，有盈利的划入，有亏损的划出；当交易放生亏损进而导致保证金账户资金不足时，则要求必须在结算机构规定的时间内向账户追加资金达到合约要求的水平，以做到当日无负债。</w:t>
      </w:r>
    </w:p>
    <w:p w14:paraId="423F158C">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lang w:val="en-US" w:eastAsia="zh-CN"/>
        </w:rPr>
      </w:pPr>
    </w:p>
    <w:p w14:paraId="135218C4">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lang w:val="en-US" w:eastAsia="zh-CN"/>
        </w:rPr>
      </w:pPr>
    </w:p>
    <w:p w14:paraId="3AD68D80">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期货的交割</w:t>
      </w:r>
    </w:p>
    <w:p w14:paraId="5221D239">
      <w:pPr>
        <w:keepNext w:val="0"/>
        <w:keepLines w:val="0"/>
        <w:pageBreakBefore w:val="0"/>
        <w:widowControl w:val="0"/>
        <w:numPr>
          <w:ilvl w:val="0"/>
          <w:numId w:val="8"/>
        </w:numPr>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对冲平仓是了结期货交易的最便捷的方式（就交割方式而言：实物交割是以标的物所有权转移方式进行的交割，现金交割是按结算价进行现金差价结算的交割方式）</w:t>
      </w:r>
    </w:p>
    <w:p w14:paraId="1418873F">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0" w:leftChars="0" w:firstLine="0" w:firstLineChars="0"/>
        <w:textAlignment w:val="auto"/>
        <w:rPr>
          <w:rFonts w:hint="eastAsia"/>
          <w:lang w:val="en-US" w:eastAsia="zh-CN"/>
        </w:rPr>
      </w:pPr>
      <w:r>
        <w:rPr>
          <w:rFonts w:hint="eastAsia"/>
          <w:lang w:val="en-US" w:eastAsia="zh-CN"/>
        </w:rPr>
        <w:t>实物交割包括集中交割和滚动交割。集中交割也叫一次性交割，指所有到期合约在交割月份最后交易日过后一次性集中交割的方式；滚动交割是指在合约进入交割月后，在交割月第一个交易日至交割月最后交易日前一交易日之间进行交割的方式（滚动交割交易时间上灵活，减少存储时间，降低交割成本）。上海期货交易所采用集中交割方式，郑州商品交易所采用两种组合的方式</w:t>
      </w:r>
    </w:p>
    <w:p w14:paraId="686F92A7">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0" w:leftChars="0" w:firstLine="0" w:firstLineChars="0"/>
        <w:textAlignment w:val="auto"/>
        <w:rPr>
          <w:rFonts w:hint="default"/>
          <w:lang w:val="en-US" w:eastAsia="zh-CN"/>
        </w:rPr>
      </w:pPr>
      <w:r>
        <w:rPr>
          <w:rFonts w:hint="eastAsia"/>
          <w:lang w:val="en-US" w:eastAsia="zh-CN"/>
        </w:rPr>
        <w:t>实物交割结算价指实物交割时商品交收所依据的基准价格，交割商品以交割结算价为基础，再加上不同等级商品质量升贴水以及异地交割仓库与基准交割仓库的升贴水。不同的交易所，以及不同的实物交割方式，对交割结算价的规定不经相同。</w:t>
      </w:r>
    </w:p>
    <w:p w14:paraId="72A39EFE">
      <w:pPr>
        <w:keepNext w:val="0"/>
        <w:keepLines w:val="0"/>
        <w:pageBreakBefore w:val="0"/>
        <w:widowControl w:val="0"/>
        <w:numPr>
          <w:ilvl w:val="0"/>
          <w:numId w:val="8"/>
        </w:numPr>
        <w:kinsoku/>
        <w:wordWrap/>
        <w:overflowPunct/>
        <w:topLinePunct w:val="0"/>
        <w:autoSpaceDE/>
        <w:autoSpaceDN/>
        <w:bidi w:val="0"/>
        <w:adjustRightInd/>
        <w:snapToGrid/>
        <w:spacing w:line="360" w:lineRule="auto"/>
        <w:ind w:left="0" w:leftChars="0" w:firstLine="0" w:firstLineChars="0"/>
        <w:textAlignment w:val="auto"/>
        <w:rPr>
          <w:rFonts w:hint="default"/>
          <w:lang w:val="en-US" w:eastAsia="zh-CN"/>
        </w:rPr>
      </w:pPr>
      <w:r>
        <w:rPr>
          <w:rFonts w:hint="eastAsia"/>
          <w:lang w:val="en-US" w:eastAsia="zh-CN"/>
        </w:rPr>
        <w:t>期转现，即期货转现货交易，指持有方向相反的同一品种同一月份合约的会员协商一致并向交易所提出申请，获得交易所批准后，分别将各自持有的合约按双方商定的期货价格由交易所代为平仓，同时双方的协议价格交易与期货合约标的物数量相当、品种相同的商品仓单的行为（大连商品交易所，上海期货交易所，郑州商品交易所）</w:t>
      </w:r>
    </w:p>
    <w:p w14:paraId="281982C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lang w:val="en-US" w:eastAsia="zh-CN"/>
        </w:rPr>
      </w:pPr>
      <w:r>
        <w:rPr>
          <w:rFonts w:hint="eastAsia"/>
          <w:lang w:val="en-US" w:eastAsia="zh-CN"/>
        </w:rPr>
        <w:t>- 在期货市场有反向持仓的双方，拟用标准仓单或标准仓单以外的货物进行期转现</w:t>
      </w:r>
    </w:p>
    <w:p w14:paraId="39494BB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lang w:val="en-US" w:eastAsia="zh-CN"/>
        </w:rPr>
      </w:pPr>
      <w:r>
        <w:rPr>
          <w:rFonts w:hint="eastAsia"/>
          <w:lang w:val="en-US" w:eastAsia="zh-CN"/>
        </w:rPr>
        <w:t>- 在收货的时候进行非标准仓单的期转现，一方面实现了套期保值的目的，一方面避免了合同违约的可能</w:t>
      </w:r>
    </w:p>
    <w:p w14:paraId="00E1E8E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lang w:val="en-US" w:eastAsia="zh-CN"/>
        </w:rPr>
      </w:pPr>
      <w:r>
        <w:rPr>
          <w:rFonts w:hint="eastAsia"/>
          <w:lang w:val="en-US" w:eastAsia="zh-CN"/>
        </w:rPr>
        <w:t>- 注意事项：用标准仓单期转现，要考虑仓单提前交收所节省的利息和存储等费用；要考虑节省的交割费用、仓储费和利息以及货物的品级差价等</w:t>
      </w:r>
    </w:p>
    <w:p w14:paraId="53B801AA">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lang w:val="en-US" w:eastAsia="zh-CN"/>
        </w:rPr>
      </w:pPr>
    </w:p>
    <w:p w14:paraId="46E3BC36">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互换合约以及互换市场</w:t>
      </w:r>
    </w:p>
    <w:p w14:paraId="33622351">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互换交易的功能：在全球金融市场上套利（降低低筹资者的融资成本或提高投资者的投资收益、促进了全球市场的一体化）；提高了利率和汇率风险大的管理效率（完善了价格的发现机制、拓宽了融资渠道、为更多的金融创新提供了条件）</w:t>
      </w:r>
    </w:p>
    <w:p w14:paraId="65CB56B3">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现状：由于互换属于表外业务，是场外工具，标准合约又可以协商修改，因而其透明性较低。</w:t>
      </w:r>
    </w:p>
    <w:p w14:paraId="43EEAC38">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lang w:val="en-US" w:eastAsia="zh-CN"/>
        </w:rPr>
      </w:pPr>
    </w:p>
    <w:p w14:paraId="0E91AEFA">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互换合约之利率互换</w:t>
      </w:r>
    </w:p>
    <w:p w14:paraId="1A1F91C1">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利率互换是交易双方以名义本金为假设，按照约定的利率计算利息，在约定的时间内定期交换系列现金流的协议。</w:t>
      </w:r>
    </w:p>
    <w:p w14:paraId="0E7E1B85">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基本特征：互换双方使用的货币；在交换的整个期间，只交换利息，名义本金是计算利息的基础；在普通利率互换中一方支付固定利率计算的利息，一方支付浮动利率计算的利息；利率互换也可以是浮动利率对浮动利率或固定利率对固定利率的互换。</w:t>
      </w:r>
    </w:p>
    <w:p w14:paraId="6553F92D">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在固定利率对浮动利率的互换中，通常把支付固定利率的一方称为利率互换的多头方或买方，支付浮动利率的一方称为空头方或卖方，固定利率就是互换的价格。随着做市商制度的形成，一些大型的商业银行等金融机构开始充当利率互换的做市商，同时报出利率互换的买入价和较高一点的卖出价，二者的差价就是做市商的做市收益。</w:t>
      </w:r>
    </w:p>
    <w:p w14:paraId="4732271D">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术语：</w:t>
      </w:r>
    </w:p>
    <w:p w14:paraId="75FBFD79">
      <w:pPr>
        <w:keepNext w:val="0"/>
        <w:keepLines w:val="0"/>
        <w:pageBreakBefore w:val="0"/>
        <w:widowControl w:val="0"/>
        <w:numPr>
          <w:ilvl w:val="0"/>
          <w:numId w:val="9"/>
        </w:numPr>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交易日：交易双方达成互换协议的日期</w:t>
      </w:r>
    </w:p>
    <w:p w14:paraId="0444FA4D">
      <w:pPr>
        <w:keepNext w:val="0"/>
        <w:keepLines w:val="0"/>
        <w:pageBreakBefore w:val="0"/>
        <w:widowControl w:val="0"/>
        <w:numPr>
          <w:ilvl w:val="0"/>
          <w:numId w:val="9"/>
        </w:numPr>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起息日：生效日，互换中固定利率和浮动利率开始计息的日期，通常是交易日后两个营业日</w:t>
      </w:r>
    </w:p>
    <w:p w14:paraId="155EE4C8">
      <w:pPr>
        <w:keepNext w:val="0"/>
        <w:keepLines w:val="0"/>
        <w:pageBreakBefore w:val="0"/>
        <w:widowControl w:val="0"/>
        <w:numPr>
          <w:ilvl w:val="0"/>
          <w:numId w:val="9"/>
        </w:numPr>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到期日：终止日，即整个互换终止日，也是最后一次现金流交换的日</w:t>
      </w:r>
    </w:p>
    <w:p w14:paraId="7A4C992A">
      <w:pPr>
        <w:keepNext w:val="0"/>
        <w:keepLines w:val="0"/>
        <w:pageBreakBefore w:val="0"/>
        <w:widowControl w:val="0"/>
        <w:numPr>
          <w:ilvl w:val="0"/>
          <w:numId w:val="9"/>
        </w:numPr>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支付日：互换有若干个阶段构成，所以有多少个阶段就有多少个支付日</w:t>
      </w:r>
    </w:p>
    <w:p w14:paraId="7FA6954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p>
    <w:p w14:paraId="6A508F5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货币互换</w:t>
      </w:r>
    </w:p>
    <w:p w14:paraId="0B61A20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在未来约定的时间内将一种货币的本金和利息与另一货币的等价本金和利息进行交换</w:t>
      </w:r>
    </w:p>
    <w:p w14:paraId="1374E26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特征：互换双方使用的货币不同，即货币互换中存在两种货币的本金金额；货币互换中本金的交换率依据当时的市场即期汇率确定；货币互换在到期日必须有本金的交换，而互换初始可以没有本金的互换。</w:t>
      </w:r>
    </w:p>
    <w:p w14:paraId="5C2EC98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说明：双方需要在一开始和最后进行不同货币本金的互换，期间进行不同货币利息的交换；初始本金互换的取消并不意味着不需要在相关货币间确定一个参考即期汇率，这一汇率在互换到期时将用于货币的再次交换；货币互换中不常用净额结算，若采用净额结算需要将互换中现金流折算为同一种货币</w:t>
      </w:r>
    </w:p>
    <w:p w14:paraId="7B7AF63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种类：普通货币互换（固定换固定）交叉货币利率互换（浮动换固定）浮动利率与浮动利率的交叉货币利率互换（浮动换浮动）</w:t>
      </w:r>
    </w:p>
    <w:p w14:paraId="1D6B1F5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p>
    <w:p w14:paraId="3238904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互换合约市场惯例</w:t>
      </w:r>
    </w:p>
    <w:p w14:paraId="031DBE3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浮动利率的选择：一般来说，浮动利率的确定日为每次支付日的前两个营业日或另行约定</w:t>
      </w:r>
    </w:p>
    <w:p w14:paraId="0090465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天数计算的惯例：在国际市场上不同利率的天数计算惯例是不同的；从国际利率互换来看，浮动利率多使用LIBOR，由于其是一个货币市场利率，故此常以A/360报出</w:t>
      </w:r>
    </w:p>
    <w:p w14:paraId="2D933C9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支付频率：利息支付周期的约定，利率互换中最常见的是每半年支付一次或是每三个月支付一次，货币互换则通常为每年支付一次</w:t>
      </w:r>
    </w:p>
    <w:p w14:paraId="21DE8E6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净额结算：在每个计息期初根据定期观察到的浮动利率计算其与固定利率的利息净差额，在计息期末支付。显然，净额结算能够很大程度地降低交易双方的风险敞口头寸，从而降低信用风险</w:t>
      </w:r>
    </w:p>
    <w:p w14:paraId="4C35E6C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营业日准则：互换交易在结算时应遵守的节假日规避规则，由于各国节假日规定不同，互换协议中通常要对所采用的节假日日历进行规定</w:t>
      </w:r>
    </w:p>
    <w:p w14:paraId="7D9876FD">
      <w:pPr>
        <w:keepNext w:val="0"/>
        <w:keepLines w:val="0"/>
        <w:pageBreakBefore w:val="0"/>
        <w:widowControl w:val="0"/>
        <w:numPr>
          <w:ilvl w:val="0"/>
          <w:numId w:val="10"/>
        </w:numPr>
        <w:kinsoku/>
        <w:wordWrap/>
        <w:overflowPunct/>
        <w:topLinePunct w:val="0"/>
        <w:autoSpaceDE/>
        <w:autoSpaceDN/>
        <w:bidi w:val="0"/>
        <w:adjustRightInd/>
        <w:snapToGrid/>
        <w:spacing w:line="360" w:lineRule="auto"/>
        <w:jc w:val="both"/>
        <w:textAlignment w:val="auto"/>
        <w:rPr>
          <w:rFonts w:hint="default"/>
          <w:lang w:val="en-US" w:eastAsia="zh-CN"/>
        </w:rPr>
      </w:pPr>
      <w:r>
        <w:rPr>
          <w:rFonts w:hint="eastAsia"/>
          <w:lang w:val="en-US" w:eastAsia="zh-CN"/>
        </w:rPr>
        <w:t>下一营业日：遇节假日顺延至下一营业日</w:t>
      </w:r>
    </w:p>
    <w:p w14:paraId="5F832C5A">
      <w:pPr>
        <w:keepNext w:val="0"/>
        <w:keepLines w:val="0"/>
        <w:pageBreakBefore w:val="0"/>
        <w:widowControl w:val="0"/>
        <w:numPr>
          <w:ilvl w:val="0"/>
          <w:numId w:val="10"/>
        </w:numPr>
        <w:kinsoku/>
        <w:wordWrap/>
        <w:overflowPunct/>
        <w:topLinePunct w:val="0"/>
        <w:autoSpaceDE/>
        <w:autoSpaceDN/>
        <w:bidi w:val="0"/>
        <w:adjustRightInd/>
        <w:snapToGrid/>
        <w:spacing w:line="360" w:lineRule="auto"/>
        <w:jc w:val="both"/>
        <w:textAlignment w:val="auto"/>
        <w:rPr>
          <w:rFonts w:hint="default"/>
          <w:lang w:val="en-US" w:eastAsia="zh-CN"/>
        </w:rPr>
      </w:pPr>
      <w:r>
        <w:rPr>
          <w:rFonts w:hint="eastAsia"/>
          <w:lang w:val="en-US" w:eastAsia="zh-CN"/>
        </w:rPr>
        <w:t>经修正下的下一个营业日：遇节假日顺延至下一营业日，但若下一营业日为另一个日历月，则倒退至节假日前一营业日</w:t>
      </w:r>
    </w:p>
    <w:p w14:paraId="61C11E8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p>
    <w:p w14:paraId="1C81A86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看跌期权和看涨期权</w:t>
      </w:r>
    </w:p>
    <w:p w14:paraId="03D0E55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看涨期权：如果赋予期权买方未来约定价格购买标的资产的权利，就是看涨期权，或称买权；</w:t>
      </w:r>
    </w:p>
    <w:p w14:paraId="25BA121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看跌期权：如果赋予期权买方未来约定价格出售标的资产的权利，就是看跌期权，或称卖权；</w:t>
      </w:r>
    </w:p>
    <w:p w14:paraId="0F2783F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（上海证券交易所与深圳证券交易所：看涨期权为认购期权，看跌期权为认沽期权）</w:t>
      </w:r>
    </w:p>
    <w:p w14:paraId="0B55188A">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当期权买者按合约规定行使其买进或卖出标的资产的权利时，期权卖者必须按约定相应的卖出或买进该标的资产。</w:t>
      </w:r>
    </w:p>
    <w:p w14:paraId="65D04BD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p>
    <w:p w14:paraId="4EC6951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期权合约的基本类型</w:t>
      </w:r>
    </w:p>
    <w:p w14:paraId="41D3C82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lang w:val="en-US" w:eastAsia="zh-CN"/>
        </w:rPr>
      </w:pPr>
      <w:r>
        <w:rPr>
          <w:rFonts w:hint="eastAsia"/>
          <w:lang w:val="en-US" w:eastAsia="zh-CN"/>
        </w:rPr>
        <w:t>欧式期权，美式期权，百慕大期权</w:t>
      </w:r>
    </w:p>
    <w:p w14:paraId="586C6B9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欧式期权：多方只有在期权到期日才能执行期权（即行使买进或卖出标的资产的权利）</w:t>
      </w:r>
    </w:p>
    <w:p w14:paraId="02615311">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美式期权：允许多方在期权到期前的任何时间执行期权</w:t>
      </w:r>
    </w:p>
    <w:p w14:paraId="419A779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百慕大期权：到期日前某一段时间或若干时间或日期行权的期权</w:t>
      </w:r>
    </w:p>
    <w:p w14:paraId="3F4D49C2">
      <w:pPr>
        <w:keepNext w:val="0"/>
        <w:keepLines w:val="0"/>
        <w:pageBreakBefore w:val="0"/>
        <w:widowControl w:val="0"/>
        <w:numPr>
          <w:ilvl w:val="0"/>
          <w:numId w:val="11"/>
        </w:numPr>
        <w:kinsoku/>
        <w:wordWrap/>
        <w:overflowPunct/>
        <w:topLinePunct w:val="0"/>
        <w:autoSpaceDE/>
        <w:autoSpaceDN/>
        <w:bidi w:val="0"/>
        <w:adjustRightInd/>
        <w:snapToGrid/>
        <w:spacing w:line="360" w:lineRule="auto"/>
        <w:jc w:val="both"/>
        <w:textAlignment w:val="auto"/>
        <w:rPr>
          <w:rFonts w:hint="default"/>
          <w:lang w:val="en-US" w:eastAsia="zh-CN"/>
        </w:rPr>
      </w:pPr>
      <w:r>
        <w:rPr>
          <w:rFonts w:hint="eastAsia"/>
          <w:lang w:val="en-US" w:eastAsia="zh-CN"/>
        </w:rPr>
        <w:t>标的资产为实物资产的期权成为商品期权，也称为实物期权；为金融资产或金融指标的期权成为金融期权</w:t>
      </w:r>
    </w:p>
    <w:p w14:paraId="66D3C0A8">
      <w:pPr>
        <w:keepNext w:val="0"/>
        <w:keepLines w:val="0"/>
        <w:pageBreakBefore w:val="0"/>
        <w:widowControl w:val="0"/>
        <w:numPr>
          <w:ilvl w:val="0"/>
          <w:numId w:val="11"/>
        </w:numPr>
        <w:kinsoku/>
        <w:wordWrap/>
        <w:overflowPunct/>
        <w:topLinePunct w:val="0"/>
        <w:autoSpaceDE/>
        <w:autoSpaceDN/>
        <w:bidi w:val="0"/>
        <w:adjustRightInd/>
        <w:snapToGrid/>
        <w:spacing w:line="360" w:lineRule="auto"/>
        <w:jc w:val="both"/>
        <w:textAlignment w:val="auto"/>
        <w:rPr>
          <w:rFonts w:hint="default"/>
          <w:lang w:val="en-US" w:eastAsia="zh-CN"/>
        </w:rPr>
      </w:pPr>
      <w:r>
        <w:rPr>
          <w:rFonts w:hint="eastAsia"/>
          <w:lang w:val="en-US" w:eastAsia="zh-CN"/>
        </w:rPr>
        <w:t>在交易所上市的期权叫做场内期权（交易所期权），在交易所以外的期权称为场外期权（交易所期权可以是现货期权也可以是期货期权，场内交易的都是标准化的期权合约）</w:t>
      </w:r>
    </w:p>
    <w:p w14:paraId="5CFC51B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场外合约的特点是合约非标准化，交易对手机构化，交易品种多样且灵活、规模巨大，流动性风险和信用风险较高</w:t>
      </w:r>
    </w:p>
    <w:p w14:paraId="590938D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p>
    <w:p w14:paraId="637263F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期权合约的基本特征</w:t>
      </w:r>
    </w:p>
    <w:p w14:paraId="00AFA345">
      <w:pPr>
        <w:keepNext w:val="0"/>
        <w:keepLines w:val="0"/>
        <w:pageBreakBefore w:val="0"/>
        <w:widowControl w:val="0"/>
        <w:numPr>
          <w:ilvl w:val="0"/>
          <w:numId w:val="12"/>
        </w:numPr>
        <w:kinsoku/>
        <w:wordWrap/>
        <w:overflowPunct/>
        <w:topLinePunct w:val="0"/>
        <w:autoSpaceDE/>
        <w:autoSpaceDN/>
        <w:bidi w:val="0"/>
        <w:adjustRightInd/>
        <w:snapToGrid/>
        <w:spacing w:line="360" w:lineRule="auto"/>
        <w:jc w:val="both"/>
        <w:textAlignment w:val="auto"/>
        <w:rPr>
          <w:rFonts w:hint="default"/>
          <w:lang w:val="en-US" w:eastAsia="zh-CN"/>
        </w:rPr>
      </w:pPr>
      <w:r>
        <w:rPr>
          <w:rFonts w:hint="eastAsia"/>
          <w:lang w:val="en-US" w:eastAsia="zh-CN"/>
        </w:rPr>
        <w:t>期权的买方支付期权费后只有权利而不必承担履约义务，卖方只有履约义务而没有相应权利</w:t>
      </w:r>
    </w:p>
    <w:p w14:paraId="7F529EA6">
      <w:pPr>
        <w:keepNext w:val="0"/>
        <w:keepLines w:val="0"/>
        <w:pageBreakBefore w:val="0"/>
        <w:widowControl w:val="0"/>
        <w:numPr>
          <w:ilvl w:val="0"/>
          <w:numId w:val="12"/>
        </w:numPr>
        <w:kinsoku/>
        <w:wordWrap/>
        <w:overflowPunct/>
        <w:topLinePunct w:val="0"/>
        <w:autoSpaceDE/>
        <w:autoSpaceDN/>
        <w:bidi w:val="0"/>
        <w:adjustRightInd/>
        <w:snapToGrid/>
        <w:spacing w:line="360" w:lineRule="auto"/>
        <w:jc w:val="both"/>
        <w:textAlignment w:val="auto"/>
        <w:rPr>
          <w:rFonts w:hint="default"/>
          <w:lang w:val="en-US" w:eastAsia="zh-CN"/>
        </w:rPr>
      </w:pPr>
      <w:r>
        <w:rPr>
          <w:rFonts w:hint="eastAsia"/>
          <w:lang w:val="en-US" w:eastAsia="zh-CN"/>
        </w:rPr>
        <w:t>买方可能获得巨大收益而最大损失仅限于期权费；卖方则可能遭受巨大损失，最大收益止于期权费</w:t>
      </w:r>
    </w:p>
    <w:p w14:paraId="169F3DD5">
      <w:pPr>
        <w:keepNext w:val="0"/>
        <w:keepLines w:val="0"/>
        <w:pageBreakBefore w:val="0"/>
        <w:widowControl w:val="0"/>
        <w:numPr>
          <w:ilvl w:val="0"/>
          <w:numId w:val="12"/>
        </w:numPr>
        <w:kinsoku/>
        <w:wordWrap/>
        <w:overflowPunct/>
        <w:topLinePunct w:val="0"/>
        <w:autoSpaceDE/>
        <w:autoSpaceDN/>
        <w:bidi w:val="0"/>
        <w:adjustRightInd/>
        <w:snapToGrid/>
        <w:spacing w:line="360" w:lineRule="auto"/>
        <w:jc w:val="both"/>
        <w:textAlignment w:val="auto"/>
        <w:rPr>
          <w:rFonts w:hint="default"/>
          <w:lang w:val="en-US" w:eastAsia="zh-CN"/>
        </w:rPr>
      </w:pPr>
      <w:r>
        <w:rPr>
          <w:rFonts w:hint="eastAsia"/>
          <w:lang w:val="en-US" w:eastAsia="zh-CN"/>
        </w:rPr>
        <w:t>由于期权的买方在支付期权费后不负有履约的义务，因此不需要缴纳保证金；期权的卖方因为承担在对方要求时履约的义务而要有一定的信用保证（期货交易对买卖双方的保证金要求是相同的）</w:t>
      </w:r>
    </w:p>
    <w:p w14:paraId="18D627FC">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lang w:val="en-US" w:eastAsia="zh-CN"/>
        </w:rPr>
      </w:pPr>
    </w:p>
    <w:p w14:paraId="1784776D">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lang w:val="en-US" w:eastAsia="zh-CN"/>
        </w:rPr>
      </w:pPr>
    </w:p>
    <w:p w14:paraId="38CA4148">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default"/>
          <w:lang w:val="en-US" w:eastAsia="zh-CN"/>
        </w:rPr>
      </w:pPr>
    </w:p>
    <w:p w14:paraId="32EBCF87">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期权内在价值和时间价值</w:t>
      </w:r>
    </w:p>
    <w:p w14:paraId="0C5435D3">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期权的内在价值是在不考虑交易费用和期权费的情况下，多头方立即执行期权合约可获取的收益。虽然欧式期权只有到期才可以行权，其内在价值是假设可以立即行权而获得的收益。因为只有在有利时多头方才会行权，因此内在价值最小为零（内在价值体现的是执行价格与标的资产即期价格的关系，是期权购买者支付给出售者的期权已有价值的补偿）。</w:t>
      </w:r>
    </w:p>
    <w:p w14:paraId="5730437B">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看涨期权内在价值=max（标的资产的即期价格-期权的执行价格，0）</w:t>
      </w:r>
    </w:p>
    <w:p w14:paraId="09C58CD9">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看跌期权内在价值=max（期权的执行价格-标的资产的即期价格，0）</w:t>
      </w:r>
    </w:p>
    <w:p w14:paraId="55AACD16">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p>
    <w:p w14:paraId="4CDCD802">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根据内在价值的不同，将期权分为实值期权、虚值期权、平值期权</w:t>
      </w:r>
    </w:p>
    <w:p w14:paraId="57E60AC2">
      <w:pPr>
        <w:keepNext w:val="0"/>
        <w:keepLines w:val="0"/>
        <w:pageBreakBefore w:val="0"/>
        <w:widowControl w:val="0"/>
        <w:numPr>
          <w:ilvl w:val="0"/>
          <w:numId w:val="13"/>
        </w:numPr>
        <w:kinsoku/>
        <w:wordWrap/>
        <w:overflowPunct/>
        <w:topLinePunct w:val="0"/>
        <w:autoSpaceDE/>
        <w:autoSpaceDN/>
        <w:bidi w:val="0"/>
        <w:adjustRightInd/>
        <w:snapToGrid/>
        <w:spacing w:line="360" w:lineRule="auto"/>
        <w:jc w:val="both"/>
        <w:textAlignment w:val="auto"/>
        <w:rPr>
          <w:rFonts w:hint="default"/>
          <w:lang w:val="en-US" w:eastAsia="zh-CN"/>
        </w:rPr>
      </w:pPr>
      <w:r>
        <w:rPr>
          <w:rFonts w:hint="eastAsia"/>
          <w:lang w:val="en-US" w:eastAsia="zh-CN"/>
        </w:rPr>
        <w:t>实值期权指内在价值大于零的期权，在不考虑交易费用和期权权利金的情况下，买方立即执行期权合约所获得的行权收益大于零，且行权收益等于内在价值。实值看涨期权的执行价格低于其标的资产价格，实值看跌期权的执行价格高于其标的资产价格</w:t>
      </w:r>
    </w:p>
    <w:p w14:paraId="0734A5A7">
      <w:pPr>
        <w:keepNext w:val="0"/>
        <w:keepLines w:val="0"/>
        <w:pageBreakBefore w:val="0"/>
        <w:widowControl w:val="0"/>
        <w:numPr>
          <w:ilvl w:val="0"/>
          <w:numId w:val="13"/>
        </w:numPr>
        <w:kinsoku/>
        <w:wordWrap/>
        <w:overflowPunct/>
        <w:topLinePunct w:val="0"/>
        <w:autoSpaceDE/>
        <w:autoSpaceDN/>
        <w:bidi w:val="0"/>
        <w:adjustRightInd/>
        <w:snapToGrid/>
        <w:spacing w:line="360" w:lineRule="auto"/>
        <w:jc w:val="both"/>
        <w:textAlignment w:val="auto"/>
        <w:rPr>
          <w:rFonts w:hint="default"/>
          <w:lang w:val="en-US" w:eastAsia="zh-CN"/>
        </w:rPr>
      </w:pPr>
      <w:r>
        <w:rPr>
          <w:rFonts w:hint="eastAsia"/>
          <w:lang w:val="en-US" w:eastAsia="zh-CN"/>
        </w:rPr>
        <w:t>虚值期权指内在价值等于零，而标的资产价格不等于期权的执行价格。虚值看涨期权的执行价格高于标的资产的资产价格，虚值看跌期权的执行价格低于标的资产的价格</w:t>
      </w:r>
    </w:p>
    <w:p w14:paraId="5B74F861">
      <w:pPr>
        <w:keepNext w:val="0"/>
        <w:keepLines w:val="0"/>
        <w:pageBreakBefore w:val="0"/>
        <w:widowControl w:val="0"/>
        <w:numPr>
          <w:ilvl w:val="0"/>
          <w:numId w:val="13"/>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 xml:space="preserve">平值期权指内在价值等于零，而且标的资产价格等于期权的执行价格。虚值期权与平值期权的多头方都不会行权。 </w:t>
      </w:r>
    </w:p>
    <w:p w14:paraId="225C164F">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期权的时间价值值期权的权利金超出内在价值的部分，它是期权有效期内标的资产价格波动为期权持有者带来收益的可能性所隐含的价值（时间价值=权利金-内在价值）</w:t>
      </w:r>
    </w:p>
    <w:p w14:paraId="1D54C870">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p>
    <w:p w14:paraId="0A55805E">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both"/>
        <w:textAlignment w:val="auto"/>
        <w:rPr>
          <w:rFonts w:hint="eastAsia"/>
          <w:lang w:val="en-US" w:eastAsia="zh-CN"/>
        </w:rPr>
      </w:pPr>
      <w:r>
        <w:rPr>
          <w:rFonts w:hint="eastAsia"/>
          <w:lang w:val="en-US" w:eastAsia="zh-CN"/>
        </w:rPr>
        <w:t>影响期权价格的主要因素：期权的执行价格，标的资产的价格，期权的剩余期限，利率，标的资产的波动，其他</w:t>
      </w:r>
    </w:p>
    <w:p w14:paraId="2DF83913">
      <w:pPr>
        <w:keepNext w:val="0"/>
        <w:keepLines w:val="0"/>
        <w:pageBreakBefore w:val="0"/>
        <w:widowControl w:val="0"/>
        <w:numPr>
          <w:ilvl w:val="0"/>
          <w:numId w:val="14"/>
        </w:numPr>
        <w:kinsoku/>
        <w:wordWrap/>
        <w:overflowPunct/>
        <w:topLinePunct w:val="0"/>
        <w:autoSpaceDE/>
        <w:autoSpaceDN/>
        <w:bidi w:val="0"/>
        <w:adjustRightInd/>
        <w:snapToGrid/>
        <w:spacing w:line="360" w:lineRule="auto"/>
        <w:jc w:val="both"/>
        <w:textAlignment w:val="auto"/>
        <w:rPr>
          <w:rFonts w:hint="default"/>
          <w:lang w:val="en-US" w:eastAsia="zh-CN"/>
        </w:rPr>
      </w:pPr>
      <w:r>
        <w:rPr>
          <w:rFonts w:hint="eastAsia"/>
          <w:lang w:val="en-US" w:eastAsia="zh-CN"/>
        </w:rPr>
        <w:t>期权的价格等于期权的内在价值与时间价值的和，执行价格与市场价格的相对差额决定了内在价值的有无及大小。</w:t>
      </w:r>
    </w:p>
    <w:p w14:paraId="56EFA2E9">
      <w:pPr>
        <w:keepNext w:val="0"/>
        <w:keepLines w:val="0"/>
        <w:pageBreakBefore w:val="0"/>
        <w:widowControl w:val="0"/>
        <w:numPr>
          <w:ilvl w:val="0"/>
          <w:numId w:val="14"/>
        </w:numPr>
        <w:kinsoku/>
        <w:wordWrap/>
        <w:overflowPunct/>
        <w:topLinePunct w:val="0"/>
        <w:autoSpaceDE/>
        <w:autoSpaceDN/>
        <w:bidi w:val="0"/>
        <w:adjustRightInd/>
        <w:snapToGrid/>
        <w:spacing w:line="360" w:lineRule="auto"/>
        <w:jc w:val="both"/>
        <w:textAlignment w:val="auto"/>
        <w:rPr>
          <w:rFonts w:hint="default"/>
          <w:lang w:val="en-US" w:eastAsia="zh-CN"/>
        </w:rPr>
      </w:pPr>
      <w:r>
        <w:rPr>
          <w:rFonts w:hint="eastAsia"/>
          <w:lang w:val="en-US" w:eastAsia="zh-CN"/>
        </w:rPr>
        <w:t>其他因素不变的情况下，标的资产价格波动率越高，标的资产价格上涨很高或下跌很深的机会会随之增加，标的资产价格涨至损益平衡点之上或跌至之下的可能性也会增加。</w:t>
      </w:r>
    </w:p>
    <w:p w14:paraId="39217C60">
      <w:pPr>
        <w:keepNext w:val="0"/>
        <w:keepLines w:val="0"/>
        <w:pageBreakBefore w:val="0"/>
        <w:widowControl w:val="0"/>
        <w:numPr>
          <w:ilvl w:val="0"/>
          <w:numId w:val="14"/>
        </w:numPr>
        <w:kinsoku/>
        <w:wordWrap/>
        <w:overflowPunct/>
        <w:topLinePunct w:val="0"/>
        <w:autoSpaceDE/>
        <w:autoSpaceDN/>
        <w:bidi w:val="0"/>
        <w:adjustRightInd/>
        <w:snapToGrid/>
        <w:spacing w:line="360" w:lineRule="auto"/>
        <w:jc w:val="both"/>
        <w:textAlignment w:val="auto"/>
        <w:rPr>
          <w:rFonts w:hint="default"/>
          <w:lang w:val="en-US" w:eastAsia="zh-CN"/>
        </w:rPr>
      </w:pPr>
      <w:r>
        <w:rPr>
          <w:rFonts w:hint="eastAsia"/>
          <w:lang w:val="en-US" w:eastAsia="zh-CN"/>
        </w:rPr>
        <w:t>其他因素不变的情况下，期权的有效期越长，美式期权看涨期权和看跌期权的价值都会增加。随着有效期的增加，欧式期权的价值并不必然增加。标的资产不支付红利时，剩余期限越长欧式看涨期权的价格也越高。</w:t>
      </w:r>
    </w:p>
    <w:p w14:paraId="4A8408E6">
      <w:pPr>
        <w:keepNext w:val="0"/>
        <w:keepLines w:val="0"/>
        <w:pageBreakBefore w:val="0"/>
        <w:widowControl w:val="0"/>
        <w:numPr>
          <w:ilvl w:val="0"/>
          <w:numId w:val="14"/>
        </w:numPr>
        <w:kinsoku/>
        <w:wordWrap/>
        <w:overflowPunct/>
        <w:topLinePunct w:val="0"/>
        <w:autoSpaceDE/>
        <w:autoSpaceDN/>
        <w:bidi w:val="0"/>
        <w:adjustRightInd/>
        <w:snapToGrid/>
        <w:spacing w:line="360" w:lineRule="auto"/>
        <w:jc w:val="both"/>
        <w:textAlignment w:val="auto"/>
        <w:rPr>
          <w:rFonts w:hint="default"/>
          <w:lang w:val="en-US" w:eastAsia="zh-CN"/>
        </w:rPr>
      </w:pPr>
      <w:r>
        <w:rPr>
          <w:rFonts w:hint="eastAsia"/>
          <w:lang w:val="en-US" w:eastAsia="zh-CN"/>
        </w:rPr>
        <w:t>市场无风险利率水平会影响期权的时间价值，也可能会影响期权的内在价值。</w:t>
      </w:r>
    </w:p>
    <w:p w14:paraId="44C19588">
      <w:pPr>
        <w:keepNext w:val="0"/>
        <w:keepLines w:val="0"/>
        <w:pageBreakBefore w:val="0"/>
        <w:widowControl w:val="0"/>
        <w:numPr>
          <w:ilvl w:val="0"/>
          <w:numId w:val="14"/>
        </w:numPr>
        <w:kinsoku/>
        <w:wordWrap/>
        <w:overflowPunct/>
        <w:topLinePunct w:val="0"/>
        <w:autoSpaceDE/>
        <w:autoSpaceDN/>
        <w:bidi w:val="0"/>
        <w:adjustRightInd/>
        <w:snapToGrid/>
        <w:spacing w:line="360" w:lineRule="auto"/>
        <w:jc w:val="both"/>
        <w:textAlignment w:val="auto"/>
        <w:rPr>
          <w:rFonts w:hint="default"/>
          <w:lang w:val="en-US" w:eastAsia="zh-CN"/>
        </w:rPr>
      </w:pPr>
      <w:r>
        <w:rPr>
          <w:rFonts w:hint="eastAsia"/>
          <w:lang w:val="en-US" w:eastAsia="zh-CN"/>
        </w:rPr>
        <w:t>标的资产支付收益对期权价格的影响主要是股票股息和债券利息对期权价格的影响</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AADFE5C"/>
    <w:multiLevelType w:val="singleLevel"/>
    <w:tmpl w:val="AAADFE5C"/>
    <w:lvl w:ilvl="0" w:tentative="0">
      <w:start w:val="1"/>
      <w:numFmt w:val="decimal"/>
      <w:suff w:val="space"/>
      <w:lvlText w:val="%1."/>
      <w:lvlJc w:val="left"/>
    </w:lvl>
  </w:abstractNum>
  <w:abstractNum w:abstractNumId="1">
    <w:nsid w:val="C50CD2E8"/>
    <w:multiLevelType w:val="singleLevel"/>
    <w:tmpl w:val="C50CD2E8"/>
    <w:lvl w:ilvl="0" w:tentative="0">
      <w:start w:val="1"/>
      <w:numFmt w:val="decimal"/>
      <w:suff w:val="space"/>
      <w:lvlText w:val="%1."/>
      <w:lvlJc w:val="left"/>
    </w:lvl>
  </w:abstractNum>
  <w:abstractNum w:abstractNumId="2">
    <w:nsid w:val="D72D07E7"/>
    <w:multiLevelType w:val="singleLevel"/>
    <w:tmpl w:val="D72D07E7"/>
    <w:lvl w:ilvl="0" w:tentative="0">
      <w:start w:val="1"/>
      <w:numFmt w:val="decimal"/>
      <w:suff w:val="space"/>
      <w:lvlText w:val="%1."/>
      <w:lvlJc w:val="left"/>
    </w:lvl>
  </w:abstractNum>
  <w:abstractNum w:abstractNumId="3">
    <w:nsid w:val="E3867C87"/>
    <w:multiLevelType w:val="singleLevel"/>
    <w:tmpl w:val="E3867C87"/>
    <w:lvl w:ilvl="0" w:tentative="0">
      <w:start w:val="1"/>
      <w:numFmt w:val="decimal"/>
      <w:suff w:val="space"/>
      <w:lvlText w:val="%1."/>
      <w:lvlJc w:val="left"/>
    </w:lvl>
  </w:abstractNum>
  <w:abstractNum w:abstractNumId="4">
    <w:nsid w:val="EA51BAA6"/>
    <w:multiLevelType w:val="singleLevel"/>
    <w:tmpl w:val="EA51BAA6"/>
    <w:lvl w:ilvl="0" w:tentative="0">
      <w:start w:val="1"/>
      <w:numFmt w:val="decimal"/>
      <w:suff w:val="space"/>
      <w:lvlText w:val="%1."/>
      <w:lvlJc w:val="left"/>
    </w:lvl>
  </w:abstractNum>
  <w:abstractNum w:abstractNumId="5">
    <w:nsid w:val="FC4AA7D4"/>
    <w:multiLevelType w:val="singleLevel"/>
    <w:tmpl w:val="FC4AA7D4"/>
    <w:lvl w:ilvl="0" w:tentative="0">
      <w:start w:val="1"/>
      <w:numFmt w:val="decimal"/>
      <w:suff w:val="space"/>
      <w:lvlText w:val="%1."/>
      <w:lvlJc w:val="left"/>
    </w:lvl>
  </w:abstractNum>
  <w:abstractNum w:abstractNumId="6">
    <w:nsid w:val="0C8A20C1"/>
    <w:multiLevelType w:val="singleLevel"/>
    <w:tmpl w:val="0C8A20C1"/>
    <w:lvl w:ilvl="0" w:tentative="0">
      <w:start w:val="1"/>
      <w:numFmt w:val="decimal"/>
      <w:lvlText w:val="%1."/>
      <w:lvlJc w:val="left"/>
      <w:pPr>
        <w:tabs>
          <w:tab w:val="left" w:pos="312"/>
        </w:tabs>
      </w:pPr>
    </w:lvl>
  </w:abstractNum>
  <w:abstractNum w:abstractNumId="7">
    <w:nsid w:val="18DF0290"/>
    <w:multiLevelType w:val="singleLevel"/>
    <w:tmpl w:val="18DF0290"/>
    <w:lvl w:ilvl="0" w:tentative="0">
      <w:start w:val="1"/>
      <w:numFmt w:val="decimal"/>
      <w:suff w:val="space"/>
      <w:lvlText w:val="%1."/>
      <w:lvlJc w:val="left"/>
    </w:lvl>
  </w:abstractNum>
  <w:abstractNum w:abstractNumId="8">
    <w:nsid w:val="2250FA0F"/>
    <w:multiLevelType w:val="singleLevel"/>
    <w:tmpl w:val="2250FA0F"/>
    <w:lvl w:ilvl="0" w:tentative="0">
      <w:start w:val="1"/>
      <w:numFmt w:val="decimal"/>
      <w:suff w:val="space"/>
      <w:lvlText w:val="%1."/>
      <w:lvlJc w:val="left"/>
    </w:lvl>
  </w:abstractNum>
  <w:abstractNum w:abstractNumId="9">
    <w:nsid w:val="48ACBBC0"/>
    <w:multiLevelType w:val="singleLevel"/>
    <w:tmpl w:val="48ACBBC0"/>
    <w:lvl w:ilvl="0" w:tentative="0">
      <w:start w:val="1"/>
      <w:numFmt w:val="decimal"/>
      <w:suff w:val="space"/>
      <w:lvlText w:val="%1."/>
      <w:lvlJc w:val="left"/>
    </w:lvl>
  </w:abstractNum>
  <w:abstractNum w:abstractNumId="10">
    <w:nsid w:val="53C78345"/>
    <w:multiLevelType w:val="singleLevel"/>
    <w:tmpl w:val="53C78345"/>
    <w:lvl w:ilvl="0" w:tentative="0">
      <w:start w:val="1"/>
      <w:numFmt w:val="decimal"/>
      <w:suff w:val="space"/>
      <w:lvlText w:val="%1."/>
      <w:lvlJc w:val="left"/>
    </w:lvl>
  </w:abstractNum>
  <w:abstractNum w:abstractNumId="11">
    <w:nsid w:val="73F9E355"/>
    <w:multiLevelType w:val="singleLevel"/>
    <w:tmpl w:val="73F9E355"/>
    <w:lvl w:ilvl="0" w:tentative="0">
      <w:start w:val="1"/>
      <w:numFmt w:val="decimal"/>
      <w:suff w:val="space"/>
      <w:lvlText w:val="%1."/>
      <w:lvlJc w:val="left"/>
    </w:lvl>
  </w:abstractNum>
  <w:abstractNum w:abstractNumId="12">
    <w:nsid w:val="7A936B04"/>
    <w:multiLevelType w:val="singleLevel"/>
    <w:tmpl w:val="7A936B04"/>
    <w:lvl w:ilvl="0" w:tentative="0">
      <w:start w:val="1"/>
      <w:numFmt w:val="decimal"/>
      <w:suff w:val="space"/>
      <w:lvlText w:val="%1."/>
      <w:lvlJc w:val="left"/>
    </w:lvl>
  </w:abstractNum>
  <w:abstractNum w:abstractNumId="13">
    <w:nsid w:val="7EA600AF"/>
    <w:multiLevelType w:val="singleLevel"/>
    <w:tmpl w:val="7EA600AF"/>
    <w:lvl w:ilvl="0" w:tentative="0">
      <w:start w:val="1"/>
      <w:numFmt w:val="decimal"/>
      <w:suff w:val="space"/>
      <w:lvlText w:val="%1."/>
      <w:lvlJc w:val="left"/>
    </w:lvl>
  </w:abstractNum>
  <w:num w:numId="1">
    <w:abstractNumId w:val="6"/>
  </w:num>
  <w:num w:numId="2">
    <w:abstractNumId w:val="12"/>
  </w:num>
  <w:num w:numId="3">
    <w:abstractNumId w:val="4"/>
  </w:num>
  <w:num w:numId="4">
    <w:abstractNumId w:val="10"/>
  </w:num>
  <w:num w:numId="5">
    <w:abstractNumId w:val="1"/>
  </w:num>
  <w:num w:numId="6">
    <w:abstractNumId w:val="0"/>
  </w:num>
  <w:num w:numId="7">
    <w:abstractNumId w:val="5"/>
  </w:num>
  <w:num w:numId="8">
    <w:abstractNumId w:val="3"/>
  </w:num>
  <w:num w:numId="9">
    <w:abstractNumId w:val="8"/>
  </w:num>
  <w:num w:numId="10">
    <w:abstractNumId w:val="7"/>
  </w:num>
  <w:num w:numId="11">
    <w:abstractNumId w:val="13"/>
  </w:num>
  <w:num w:numId="12">
    <w:abstractNumId w:val="9"/>
  </w:num>
  <w:num w:numId="13">
    <w:abstractNumId w:val="11"/>
  </w:num>
  <w:num w:numId="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2FiZDIzMjBhYjY3YjcwYmIxYWI1NjM4YzVmYjEyMDMifQ=="/>
  </w:docVars>
  <w:rsids>
    <w:rsidRoot w:val="00000000"/>
    <w:rsid w:val="03871260"/>
    <w:rsid w:val="093A3FE3"/>
    <w:rsid w:val="0A9F146D"/>
    <w:rsid w:val="0B883BD9"/>
    <w:rsid w:val="11D3252C"/>
    <w:rsid w:val="14107EB2"/>
    <w:rsid w:val="17C610A5"/>
    <w:rsid w:val="1919110D"/>
    <w:rsid w:val="31F13E96"/>
    <w:rsid w:val="369632FD"/>
    <w:rsid w:val="3C0E7A6B"/>
    <w:rsid w:val="3DF127B4"/>
    <w:rsid w:val="44BC36DF"/>
    <w:rsid w:val="47F0753C"/>
    <w:rsid w:val="66EC3D10"/>
    <w:rsid w:val="679A242D"/>
    <w:rsid w:val="68D01B96"/>
    <w:rsid w:val="68E23645"/>
    <w:rsid w:val="6C602548"/>
    <w:rsid w:val="6E0A528D"/>
    <w:rsid w:val="7113284A"/>
    <w:rsid w:val="7A716668"/>
    <w:rsid w:val="7C24032E"/>
    <w:rsid w:val="7E340F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6934</Words>
  <Characters>6964</Characters>
  <Lines>0</Lines>
  <Paragraphs>0</Paragraphs>
  <TotalTime>387</TotalTime>
  <ScaleCrop>false</ScaleCrop>
  <LinksUpToDate>false</LinksUpToDate>
  <CharactersWithSpaces>6998</CharactersWithSpaces>
  <Application>WPS Office_12.1.0.18608_F1E327BC-269C-435d-A152-05C5408002CA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2024-07-22T05:34:00Z</dcterms:created>
  <dc:creator>ASUS</dc:creator>
  <cp:lastModifiedBy>今天小马又打球了</cp:lastModifiedBy>
  <dcterms:modified xsi:type="dcterms:W3CDTF">2024-10-28T07:09:29Z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2FB82DE59051474798DA95C2F6552B2E_12</vt:lpwstr>
  </property>
</Properties>
</file>