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8D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大宗商品的分析思路：宏观面-资金面-市场氛围-基本面</w:t>
      </w:r>
    </w:p>
    <w:p w14:paraId="5BD60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期的市场会受市场氛围预期影响；资金面因素影响的时间幅度相对较长，可以形成一定程度的趋势性行情；宏观面将决定更长一段时间的大宗商品整体走势；具体商品的基本面可以决定该商品在大宗商品市场的相对强弱</w:t>
      </w:r>
    </w:p>
    <w:p w14:paraId="30104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6002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搭建棉花研究框架</w:t>
      </w:r>
    </w:p>
    <w:p w14:paraId="01AC46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认识品种特性：供应上是农产品，需求上是工业品；政策影响较大，会对市场产生决定性的影响；相对其他农产品来说出口对下游需求影响巨大</w:t>
      </w:r>
    </w:p>
    <w:p w14:paraId="524A1B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搭建棉花分析的框架</w:t>
      </w:r>
    </w:p>
    <w:p w14:paraId="2DD178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92780" cy="1767840"/>
            <wp:effectExtent l="0" t="0" r="7620" b="3810"/>
            <wp:docPr id="1" name="图片 1" descr="屏幕截图 2024-08-12 114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08-12 1148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F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13735" cy="1542415"/>
            <wp:effectExtent l="0" t="0" r="5715" b="635"/>
            <wp:docPr id="2" name="图片 2" descr="屏幕截图 2024-08-12 11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8-12 1149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17545" cy="1559560"/>
            <wp:effectExtent l="0" t="0" r="1905" b="2540"/>
            <wp:docPr id="3" name="图片 3" descr="屏幕截图 2024-08-12 11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08-12 115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5B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167EA7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0E6EA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0007F1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362960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农产品期货研究思路及框架</w:t>
      </w:r>
    </w:p>
    <w:p w14:paraId="6A3092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影响农产品期货的因素：国家政策，资金面，天气及自然灾害（全球变暖，火灾，虫灾，瘟疫，洪涝，地震），突发事件，宏观形势，现货市场（成本利润法和期现价格联系），供需平衡及季节性</w:t>
      </w:r>
    </w:p>
    <w:p w14:paraId="724038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34485" cy="2356485"/>
            <wp:effectExtent l="0" t="0" r="8890" b="5715"/>
            <wp:docPr id="4" name="图片 4" descr="屏幕截图 2024-08-12 12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08-12 1224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A1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美国商品期货委员会CFTC：商业头寸净头寸的变化；季节性因素的变化；短期为主，长期需结合供需角度来分析</w:t>
      </w:r>
    </w:p>
    <w:p w14:paraId="3B5E1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4696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0306B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DD562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E7B96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78BBE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197EE3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58EBE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2EE37D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062A3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64958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2FC11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49CF4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7AD17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1D3A8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21FD7A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A2B2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农产品期货研究</w:t>
      </w:r>
    </w:p>
    <w:p w14:paraId="2DA485C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白糖</w:t>
      </w:r>
    </w:p>
    <w:p w14:paraId="59582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92675" cy="2562860"/>
            <wp:effectExtent l="0" t="0" r="3175" b="8890"/>
            <wp:docPr id="5" name="图片 5" descr="屏幕截图 2024-08-12 12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08-12 1230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D3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1B94D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14875" cy="2628900"/>
            <wp:effectExtent l="0" t="0" r="0" b="0"/>
            <wp:docPr id="6" name="图片 6" descr="屏幕截图 2024-08-12 123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08-12 1231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08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白糖</w:t>
      </w:r>
    </w:p>
    <w:p w14:paraId="17D0FC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01795" cy="2035175"/>
            <wp:effectExtent l="0" t="0" r="8255" b="3175"/>
            <wp:docPr id="7" name="图片 7" descr="屏幕截图 2024-08-12 132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08-12 1324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677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豆类油脂类</w:t>
      </w:r>
    </w:p>
    <w:p w14:paraId="10B9DB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81985" cy="1814195"/>
            <wp:effectExtent l="0" t="0" r="8890" b="5080"/>
            <wp:docPr id="8" name="图片 8" descr="屏幕截图 2024-08-12 13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08-12 1329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122295" cy="2000250"/>
            <wp:effectExtent l="0" t="0" r="1905" b="0"/>
            <wp:docPr id="9" name="图片 9" descr="屏幕截图 2024-08-12 13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08-12 1330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483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玉米</w:t>
      </w:r>
    </w:p>
    <w:p w14:paraId="07F3EB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81960" cy="1323340"/>
            <wp:effectExtent l="0" t="0" r="8890" b="635"/>
            <wp:docPr id="12" name="图片 12" descr="屏幕截图 2024-08-12 133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08-12 1331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91155" cy="2283460"/>
            <wp:effectExtent l="0" t="0" r="4445" b="2540"/>
            <wp:docPr id="11" name="图片 11" descr="屏幕截图 2024-08-12 13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08-12 1332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DE3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EF7947"/>
    <w:multiLevelType w:val="singleLevel"/>
    <w:tmpl w:val="34EF794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E843C57"/>
    <w:multiLevelType w:val="singleLevel"/>
    <w:tmpl w:val="3E843C5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iZDIzMjBhYjY3YjcwYmIxYWI1NjM4YzVmYjEyMDMifQ=="/>
  </w:docVars>
  <w:rsids>
    <w:rsidRoot w:val="00000000"/>
    <w:rsid w:val="13F55BCE"/>
    <w:rsid w:val="1A547671"/>
    <w:rsid w:val="1AB84DF8"/>
    <w:rsid w:val="1D105EAC"/>
    <w:rsid w:val="2CBA37D6"/>
    <w:rsid w:val="336F1EA7"/>
    <w:rsid w:val="36565172"/>
    <w:rsid w:val="731D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367</Words>
  <Characters>370</Characters>
  <Lines>0</Lines>
  <Paragraphs>0</Paragraphs>
  <TotalTime>4</TotalTime>
  <ScaleCrop>false</ScaleCrop>
  <LinksUpToDate>false</LinksUpToDate>
  <CharactersWithSpaces>370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2024-08-12T03:01:00Z</dcterms:created>
  <dc:creator>ASUS</dc:creator>
  <cp:lastModifiedBy>今天小马又打球了</cp:lastModifiedBy>
  <dcterms:modified xsi:type="dcterms:W3CDTF">2024-10-29T12:14:47Z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A8D482A7FA77489881AB77A4AA29DBB2_12</vt:lpwstr>
  </property>
</Properties>
</file>