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C90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金融市场：买卖金融资产（股票债券等），使资金从买方流向卖方的市场，它的存在为资金盈余方（供给方）和资金赤字方（需求者）提供了融资通道</w:t>
      </w:r>
    </w:p>
    <w:p w14:paraId="118778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间接融资：中介机构</w:t>
      </w:r>
    </w:p>
    <w:p w14:paraId="3715D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直接融资：市场</w:t>
      </w:r>
    </w:p>
    <w:p w14:paraId="201705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债券市场（公司债券：债务人；投资者：债权人）</w:t>
      </w:r>
    </w:p>
    <w:p w14:paraId="479B68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股票市场（发行股票：所有者权益；投资者：债权人）</w:t>
      </w:r>
    </w:p>
    <w:p w14:paraId="63E392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根据金融工具的期限划分：货币市场（国库券市场）与资本市场（股票与债券市场）</w:t>
      </w:r>
    </w:p>
    <w:p w14:paraId="3C3350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根据金融工具交易程序划分：初级市场（发行市场、一级市场）与二级市场（流通市场）</w:t>
      </w:r>
    </w:p>
    <w:p w14:paraId="3F6C5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根据是否存在固定交易场所：场内（有形市场）与场外（无形市场）</w:t>
      </w:r>
    </w:p>
    <w:p w14:paraId="5D5DF6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根据金融工具的本源和从属关系的不同划分：传统金融市场与金融衍生品市场</w:t>
      </w:r>
    </w:p>
    <w:p w14:paraId="132C9B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3F989A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金融机构</w:t>
      </w:r>
    </w:p>
    <w:p w14:paraId="780D3B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信息成本：由于信息不对称</w:t>
      </w:r>
    </w:p>
    <w:p w14:paraId="29EE5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（交易之前：逆向选择，对不同风险偏好的贷款者的选择；交易之后：道德风险，贷款者改变贷款用途）金融机构可以降低信息成本</w:t>
      </w:r>
    </w:p>
    <w:p w14:paraId="6DFF52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存款性金融机构：从盈余方吸纳资金，并通过贷款或购买有价证券将其提供给资金的赤字方。提供存款账户，吸收存款发放贷款，承担贷款产生的风险，评定借款人的信用，多样化的贷款投资组合</w:t>
      </w:r>
    </w:p>
    <w:p w14:paraId="760940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非存款性金融机构：从存款以外的渠道获取。</w:t>
      </w:r>
    </w:p>
    <w:p w14:paraId="718542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金融公司，基金公司，证券公司，保险公司</w:t>
      </w:r>
    </w:p>
    <w:p w14:paraId="6B3D55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金融机构媒介资金流动：</w:t>
      </w:r>
    </w:p>
    <w:p w14:paraId="3BDEEA14">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存款性金融机构将资金盈余方的存款带给赤字方</w:t>
      </w:r>
    </w:p>
    <w:p w14:paraId="043462C1">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金融公司发行有价证券，将筹集到的资金以贷款的方式贷给赤字方</w:t>
      </w:r>
    </w:p>
    <w:p w14:paraId="4D8F8A12">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基金公司将出售其基金份额筹措到的资金用来购买赤字方的债务证券或权益证券</w:t>
      </w:r>
    </w:p>
    <w:p w14:paraId="638833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060DA7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金融市场</w:t>
      </w:r>
    </w:p>
    <w:p w14:paraId="46B46D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一级市场：出售新发行证券的市场（新发行的证券涉及：首次公开发行，增发）</w:t>
      </w:r>
    </w:p>
    <w:p w14:paraId="0E2030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 参与者：证券发行人（资金需求者）、证券承销人（媒介）、投资者（资金供给人）、管理</w:t>
      </w:r>
    </w:p>
    <w:p w14:paraId="5C2B2B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作用：提供筹资场所、提供投资机会</w:t>
      </w:r>
    </w:p>
    <w:p w14:paraId="3D238F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出售证券：</w:t>
      </w:r>
    </w:p>
    <w:p w14:paraId="3916F84B">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公开出售：包销、代销、表达认购意愿、询价圈购</w:t>
      </w:r>
    </w:p>
    <w:p w14:paraId="5AAB5A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包销：有义务购买未出售的部分，投资银行把价格定的低以获取利润</w:t>
      </w:r>
    </w:p>
    <w:p w14:paraId="1009AD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代销：没有义务购买未售出的部分，银行会把价格订的高来筹集资金</w:t>
      </w:r>
    </w:p>
    <w:p w14:paraId="082776BF">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非公司出售：私募发行（直接向具有资质的投资者出售证券）</w:t>
      </w:r>
    </w:p>
    <w:p w14:paraId="70B7A9A2">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其他交易方式：暂搁注册、股息再投资计划、认股权配售、竞标发行、协议发售</w:t>
      </w:r>
    </w:p>
    <w:p w14:paraId="6B59F7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395A02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公开市场发行程序与定价IPO</w:t>
      </w:r>
    </w:p>
    <w:p w14:paraId="356D24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程序：发行前的资讯环节、申请股票发行、股票发行审查、委托中介机构进行股票发行</w:t>
      </w:r>
    </w:p>
    <w:p w14:paraId="1CF38AE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股票：一种有价证券，是股份有限公司公开发行的用以证明投资者的股东身份和权益，并据以获得股息和红利的凭证（股票一经认购，持有者不能要求退还股本，只能通过证券市场将股票转让出售）</w:t>
      </w:r>
    </w:p>
    <w:p w14:paraId="720511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股票价格的影响因素：一级市场的供求关系、金融市场的利率、公司的净资产和盈利水平、公司的发展潜力、股票的发行数量、公司所处行业的特点、二级市场的交易情况</w:t>
      </w:r>
    </w:p>
    <w:p w14:paraId="3DF9CF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股票发行定价的类型：面额发行、市价发行、折扣发行、中间价发行、溢价发行</w:t>
      </w:r>
    </w:p>
    <w:p w14:paraId="738236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我国A股IPO经历的两个阶段：审批制阶段、核准制和询价制</w:t>
      </w:r>
    </w:p>
    <w:p w14:paraId="565E58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301DF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二级市场</w:t>
      </w:r>
    </w:p>
    <w:p w14:paraId="7C93B1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二级市场：证券首次发行后进行交易的市场（流动性、价格发现）</w:t>
      </w:r>
    </w:p>
    <w:p w14:paraId="69F59F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集合竞价市场：个股的交易发生在特定的时间</w:t>
      </w:r>
    </w:p>
    <w:p w14:paraId="62B111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连续交易市场：交易发生在市场开放的任何时间</w:t>
      </w:r>
    </w:p>
    <w:p w14:paraId="170C69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5E77F8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F294B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5C34B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市场交易结构与机制</w:t>
      </w:r>
    </w:p>
    <w:p w14:paraId="56EACE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证券交易方式：指令驱动市场、报价驱动市场、代理市场</w:t>
      </w:r>
    </w:p>
    <w:p w14:paraId="03C58E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指令驱动市场：订单驱动的拍卖市场，交易指令通过交易规则执行（交易所、自动交易系统）</w:t>
      </w:r>
    </w:p>
    <w:p w14:paraId="028FC3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 xml:space="preserve"> 匹配规则：顺序优先结构（价格优先、时间优先）</w:t>
      </w:r>
    </w:p>
    <w:p w14:paraId="3EE051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报价驱动市场：市商市场或场外交易市场，交易商通过为自己买卖股票为投资者提供流动性</w:t>
      </w:r>
    </w:p>
    <w:p w14:paraId="7D6735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代理市场：涉及买卖交易的代理人或中间人，以促进价格发现和交易执行（适应流动性较差）</w:t>
      </w:r>
    </w:p>
    <w:p w14:paraId="7BE21A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证券交易的费用：开户费、佣金、印花税、过户税、其他费用</w:t>
      </w:r>
    </w:p>
    <w:p w14:paraId="3DD30D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委托指令：市价委托指令（只提交易数量，不提成交价格，成交迅速但风险大）</w:t>
      </w:r>
    </w:p>
    <w:p w14:paraId="3B4A9B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  限价委托指令（既限定数量又指定价格，价格理想但易错失良机）</w:t>
      </w:r>
    </w:p>
    <w:p w14:paraId="6C3268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  停止损失委托指令（限制损失，保障既得利益）</w:t>
      </w:r>
    </w:p>
    <w:p w14:paraId="67F382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0E2FD2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债券</w:t>
      </w:r>
    </w:p>
    <w:p w14:paraId="389F40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债券是信用凭证，为筹措资金而向投资者出具的债权债务凭证</w:t>
      </w:r>
    </w:p>
    <w:p w14:paraId="5B519E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目的</w:t>
      </w:r>
    </w:p>
    <w:p w14:paraId="65A55D87">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政府：弥补赤字，扩大公共投资</w:t>
      </w:r>
    </w:p>
    <w:p w14:paraId="6784410F">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金融：扩大信贷规模，改善负债结构</w:t>
      </w:r>
    </w:p>
    <w:p w14:paraId="6524F600">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公司：筹集稳定资金，灵活运用资金，转移通胀风险，多渠道资金筹集</w:t>
      </w:r>
    </w:p>
    <w:p w14:paraId="1A47A1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基本要素：</w:t>
      </w:r>
    </w:p>
    <w:p w14:paraId="36347023">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发行额：与资金需求，怀本付息能力等有关</w:t>
      </w:r>
    </w:p>
    <w:p w14:paraId="68C63FF1">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票面价值：必须标明币种和票面金额</w:t>
      </w:r>
    </w:p>
    <w:p w14:paraId="57835626">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债券期限：从发行之日起至还清本息之日为止的时间</w:t>
      </w:r>
    </w:p>
    <w:p w14:paraId="6978C780">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发行价格：面额发行，溢价发行，折扣发行</w:t>
      </w:r>
    </w:p>
    <w:p w14:paraId="4C12F3C7">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票面利率：利率水平，利息支付次数（分次利息和一次利息），计息方式</w:t>
      </w:r>
    </w:p>
    <w:p w14:paraId="5648AB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基本类型：</w:t>
      </w:r>
    </w:p>
    <w:p w14:paraId="36DBADA5">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国债（由中央政府发行的债券）</w:t>
      </w:r>
    </w:p>
    <w:p w14:paraId="7B621D2C">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地方政府债券（地方政府发展地方经济）</w:t>
      </w:r>
    </w:p>
    <w:p w14:paraId="71DE22B9">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政府机构债券（由政府所属的公共事业机构等团体发行的债券）</w:t>
      </w:r>
    </w:p>
    <w:p w14:paraId="75BE66A2">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金融债券（商业银行或者一流的非银行金融机构发行）</w:t>
      </w:r>
    </w:p>
    <w:p w14:paraId="649C8454">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公司债券（非金融机构企业发行的债券）</w:t>
      </w:r>
    </w:p>
    <w:p w14:paraId="074F83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债券市场：银行间债券市场-商业银行债券柜台市场-交易所市场</w:t>
      </w:r>
    </w:p>
    <w:p w14:paraId="3BA6A1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77049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7BFB9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59B9D3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21CBC6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有效市场假说</w:t>
      </w:r>
    </w:p>
    <w:p w14:paraId="5E1650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在证券价格形成中可以充分而准确的反映了全部信息，市场是有效率的。以证券市场信息为基础的证券交易不可能获得超额利益。</w:t>
      </w:r>
    </w:p>
    <w:p w14:paraId="31A176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三个层次：</w:t>
      </w:r>
    </w:p>
    <w:p w14:paraId="1EFC4668">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所有的获得的信息，包括内幕消息：强势有效市场</w:t>
      </w:r>
    </w:p>
    <w:p w14:paraId="2C15CA48">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所有公开信息：半强势有效市场</w:t>
      </w:r>
    </w:p>
    <w:p w14:paraId="3A4AB41B">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历史价格信息：弱势有效市场</w:t>
      </w:r>
    </w:p>
    <w:p w14:paraId="56F3A1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缺陷：</w:t>
      </w:r>
    </w:p>
    <w:p w14:paraId="775689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交易客体是同质；交易双方均可以自由出入市场；所有交易双方都具备完全只是和完全信息；交易双方都是价格的接受者，不存在操纵市场的行为；非理性交易者对市场不形成影响的假设；套利抵消非理性投资者偏差的假设</w:t>
      </w:r>
    </w:p>
    <w:p w14:paraId="540634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套利的有限性：在现实的金融市场中套利交易会由于制度约束，信息约束和交易成本等诸多因素而受到极大的限制（履行成本，基础面风险）</w:t>
      </w:r>
    </w:p>
    <w:p w14:paraId="7E12B7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146BC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影响市场有效性的因素：</w:t>
      </w:r>
    </w:p>
    <w:p w14:paraId="209E8B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市场参与的数量，信息可得性，信息成本和交易成本，交易限制</w:t>
      </w:r>
    </w:p>
    <w:p w14:paraId="33CA57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资本市场的有效性：</w:t>
      </w:r>
    </w:p>
    <w:p w14:paraId="249467A2">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强势有效（所有信息：公开信息，非公开信息）</w:t>
      </w:r>
    </w:p>
    <w:p w14:paraId="0A1E44CA">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半强势有效（公开信息：市场信息，非市场信息）</w:t>
      </w:r>
    </w:p>
    <w:p w14:paraId="79F10A93">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弱势有效（市场信息：价格，交易量）</w:t>
      </w:r>
    </w:p>
    <w:p w14:paraId="58F3A9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市场效率的高低：</w:t>
      </w:r>
    </w:p>
    <w:p w14:paraId="2C8F3F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超额收益（或风险调整收益）通常用来检验市场的有效性</w:t>
      </w:r>
    </w:p>
    <w:p w14:paraId="201AC4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技术分析利用历史价格和交易量数量寻找正的风险调整收益</w:t>
      </w:r>
    </w:p>
    <w:p w14:paraId="7053B8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基本面分析基于公开信息如盈利、股利及其他会计汇率</w:t>
      </w:r>
    </w:p>
    <w:p w14:paraId="201F5B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事件研究是验证半强式有效市场的方法之一</w:t>
      </w:r>
    </w:p>
    <w:p w14:paraId="4699869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如果市场是半强势有效的，投资者将投资于被动投资组合</w:t>
      </w:r>
    </w:p>
    <w:p w14:paraId="1DA1FC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281BE6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市场异象</w:t>
      </w:r>
    </w:p>
    <w:p w14:paraId="1AE3F6C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动量效应：过去一段时间收益率较高的股票在未来获得到收益仍会高于过去收益率低的股票</w:t>
      </w:r>
    </w:p>
    <w:p w14:paraId="61CFE0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日历效应：一月份的前五天股票回报率明显高于全年其他时间</w:t>
      </w:r>
    </w:p>
    <w:p w14:paraId="4A3455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日历效应和动量效应都违背了弱式有效市场</w:t>
      </w:r>
    </w:p>
    <w:p w14:paraId="53C261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盈余公告后漂移现象PEAD：公司盈利公告后股票价格对盈余公告信息产生反应的一种特殊现象，意味着市场上投资者能够根据上市公司所发布的盈余信息，通过制定合理的投资策略来获得超额利润</w:t>
      </w:r>
    </w:p>
    <w:p w14:paraId="067FE3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价格泡沫：有时会发生在金融资产价格出现持续的、严重偏离其实际价值的上涨（资产价格反映了市场上最乐观投资者的预期，而非资产价值）</w:t>
      </w:r>
    </w:p>
    <w:p w14:paraId="6E07F9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泡沫破裂的恶果：金融及对实体经济造成的巨大破坏，其作用可能成倍放大</w:t>
      </w:r>
    </w:p>
    <w:p w14:paraId="7BA96D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F8C28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行为金融：研究个人或者群体的心理特征在多大程度上影响投资</w:t>
      </w:r>
    </w:p>
    <w:p w14:paraId="2D7426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已经被识别的行为偏差：损失厌恶、过度自信</w:t>
      </w:r>
    </w:p>
    <w:p w14:paraId="3213B1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投资者的心理：理性预期、风险回避、效用最大化</w:t>
      </w:r>
    </w:p>
    <w:p w14:paraId="322949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过度自信：</w:t>
      </w:r>
    </w:p>
    <w:p w14:paraId="01B3A271">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过度交易：超高换手率、反应过度、较低的投资回报</w:t>
      </w:r>
    </w:p>
    <w:p w14:paraId="3B06D71D">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事后聪明偏差：定义事件、自我膨胀</w:t>
      </w:r>
    </w:p>
    <w:p w14:paraId="72D736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证实偏差：信念的坚持，以至于在决策失误的时候不断地扩大损失</w:t>
      </w:r>
    </w:p>
    <w:p w14:paraId="0C4A46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自我归因：内外源、稳定性、可控性</w:t>
      </w:r>
    </w:p>
    <w:p w14:paraId="3DFA2C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D209F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证券市场的运行规则：公开公平公正</w:t>
      </w:r>
    </w:p>
    <w:p w14:paraId="52DFBF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市场操纵：行为操纵、信息操纵、交易操纵</w:t>
      </w:r>
    </w:p>
    <w:p w14:paraId="0E8502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监管重点：信息披露、操纵市场、欺诈行为、内幕交易</w:t>
      </w:r>
    </w:p>
    <w:p w14:paraId="555711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032300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金融工具分类与特征</w:t>
      </w:r>
    </w:p>
    <w:p w14:paraId="5E34F9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资产的分类：金融资产（证券、货币、衍生合约）与实物资产（大宗商品、不动产）</w:t>
      </w:r>
    </w:p>
    <w:p w14:paraId="3D6B72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金融资产：</w:t>
      </w:r>
    </w:p>
    <w:p w14:paraId="47AA97D3">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证券（固定收益证券、权益证券）</w:t>
      </w:r>
    </w:p>
    <w:p w14:paraId="4C62C8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固定收益证券 - 确保借入资金能够偿还（长期、中期、短期、商业、定期、回购、可转债）</w:t>
      </w:r>
    </w:p>
    <w:p w14:paraId="0D6215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权益证券 - 代表发行公司所有者权益的证券（普通股、优先股、认股权证）</w:t>
      </w:r>
    </w:p>
    <w:p w14:paraId="2F1568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集合投资工具（共同基金、交易所基金、资产支持证券、对冲基金）</w:t>
      </w:r>
    </w:p>
    <w:p w14:paraId="0D33D53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both"/>
        <w:textAlignment w:val="auto"/>
        <w:rPr>
          <w:rFonts w:hint="default"/>
          <w:lang w:val="en-US" w:eastAsia="zh-CN"/>
        </w:rPr>
      </w:pPr>
      <w:r>
        <w:rPr>
          <w:rFonts w:hint="eastAsia"/>
          <w:lang w:val="en-US" w:eastAsia="zh-CN"/>
        </w:rPr>
        <w:t>货币：由中央银行发行</w:t>
      </w:r>
    </w:p>
    <w:p w14:paraId="752FF67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both"/>
        <w:textAlignment w:val="auto"/>
        <w:rPr>
          <w:rFonts w:hint="default"/>
          <w:lang w:val="en-US" w:eastAsia="zh-CN"/>
        </w:rPr>
      </w:pPr>
      <w:r>
        <w:rPr>
          <w:rFonts w:hint="eastAsia"/>
          <w:lang w:val="en-US" w:eastAsia="zh-CN"/>
        </w:rPr>
        <w:t>衍生合约（远期、期货、互换、期权、保险、信用违约）</w:t>
      </w:r>
    </w:p>
    <w:p w14:paraId="3B9549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实物资产：</w:t>
      </w:r>
    </w:p>
    <w:p w14:paraId="77A5F02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大宗产品：贵重金属，工业金属，农产品，能源产品，碳减排信用</w:t>
      </w:r>
    </w:p>
    <w:p w14:paraId="73A0C25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不动产：房地产，设备和机械等</w:t>
      </w:r>
    </w:p>
    <w:p w14:paraId="6294CC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证券指数：代表了一类资产、证券市场或部分市场的表现</w:t>
      </w:r>
    </w:p>
    <w:p w14:paraId="732F00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 xml:space="preserve"> - 价格指数：在计算收益时仅使用该指数的证券的价格，以价格指数为基础计算的回报率称为价格回报率</w:t>
      </w:r>
    </w:p>
    <w:p w14:paraId="49F7D3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 - 收益指数：包括价格和来自组成该指数的证券的收入，以收益指数为基础计算的回报率称为收益回报率</w:t>
      </w:r>
    </w:p>
    <w:p w14:paraId="5AF7EB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功能：证券市场整体走势，国民经济总体情况|为股指期货交易提供标的，为指数基金提供模板</w:t>
      </w:r>
    </w:p>
    <w:p w14:paraId="7FB7C2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应用：反应投资者信心，基金经理绩效的基准，衡量市场回报和风险，衡量贝塔和风险调整后的收入，指数基金的投资组合模型</w:t>
      </w:r>
    </w:p>
    <w:p w14:paraId="0466A7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常见的证券市场指数</w:t>
      </w:r>
    </w:p>
    <w:p w14:paraId="438EDB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股票市场指数：反应股票价格综合变动趋势和程度的比较数，时将多种股票的某种平均价在两个不同时期的数值进行比较的结果（道琼斯工业平均指数，标准普尔500指数，纳斯达克综合指数，上证综指，科创板50指数）</w:t>
      </w:r>
    </w:p>
    <w:p w14:paraId="09D10D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5CC1DE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编制方法</w:t>
      </w:r>
    </w:p>
    <w:p w14:paraId="0A6828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样本股的选择：市值要占全部股市市值的相当部分，股票价格变动趋势要反映股票市场价格变动总趋势</w:t>
      </w:r>
    </w:p>
    <w:p w14:paraId="2F7F20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股票指数的加权方法：等权重指数，价格加权指数（道琼斯），市值加权指数，浮动调整市值加权指数，基本面加权指数</w:t>
      </w:r>
    </w:p>
    <w:p w14:paraId="523B5D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77B1A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权益类证券指数与指数型基金</w:t>
      </w:r>
    </w:p>
    <w:p w14:paraId="22980B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股票价格指数：由金融机构编制的通过对股票市场上一些有代表性的公司发行的股票价格进行平均计算和动态对比后得出的数值（对股票市场动态的综合反映，投资者投资决策的依据）</w:t>
      </w:r>
    </w:p>
    <w:p w14:paraId="2AEF43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分类：市场指数，跨市场指数，基本面加权的跨市场指数，行业指数，风格指数</w:t>
      </w:r>
    </w:p>
    <w:p w14:paraId="2C089B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指数型基金：以特定指数为标的，通过购买该指数的全部或部分成分股构建投资组合，以追踪标的指数表现的基金产品</w:t>
      </w:r>
    </w:p>
    <w:p w14:paraId="552ED1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指数基金的分类：完全复制型，增强型</w:t>
      </w:r>
    </w:p>
    <w:p w14:paraId="137ED1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考察标准：与目标指数的契合度</w:t>
      </w:r>
    </w:p>
    <w:p w14:paraId="787B9F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产生：被动投资与主动投资（基本面分析，技术分析，量化分析）</w:t>
      </w:r>
    </w:p>
    <w:p w14:paraId="543A68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774CD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固定收益类及其他类投资品指数特征</w:t>
      </w:r>
    </w:p>
    <w:p w14:paraId="06FADC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固定收益证券主要由做市商进行交易，因此指数提供商必须做市商获取近期价格</w:t>
      </w:r>
    </w:p>
    <w:p w14:paraId="06DEFA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中债指数：中央结算公司编制（全指数族，成分指数族，持仓指数族，定制指数族）</w:t>
      </w:r>
    </w:p>
    <w:p w14:paraId="58FF01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每只中债指数都提供了财富，全价，净价三组总值</w:t>
      </w:r>
    </w:p>
    <w:p w14:paraId="484190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上证债券指数：包括国债指数，企债指数，沪公司，沪分离债</w:t>
      </w:r>
    </w:p>
    <w:p w14:paraId="06635B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其他债券指数：标普中国债券指数，中信债券指数，其他金融机构及第三方机构编制的债券指数</w:t>
      </w:r>
    </w:p>
    <w:p w14:paraId="1A28E6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另类投资类指数的特征：</w:t>
      </w:r>
    </w:p>
    <w:p w14:paraId="6DC34A9C">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大宗商品指数：谷物，牲畜，金属，能源等（需注意各种加权方案，基于期货合约，成分随着时间改变）</w:t>
      </w:r>
    </w:p>
    <w:p w14:paraId="7E9D538F">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房地产指数：房地产</w:t>
      </w:r>
      <w:r>
        <w:rPr>
          <w:rFonts w:hint="default"/>
          <w:lang w:eastAsia="zh-CN"/>
        </w:rPr>
        <w:t>估值，重复销售定价，房地产投资</w:t>
      </w:r>
    </w:p>
    <w:p w14:paraId="19FEF3BB">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eastAsia="zh-CN"/>
        </w:rPr>
        <w:t>对冲基金指数</w:t>
      </w:r>
    </w:p>
    <w:p w14:paraId="1185C610">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20B08136">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可贷资金理论：市场利率是由控制可贷资金的供给和需求的因素来决定的</w:t>
      </w:r>
    </w:p>
    <w:p w14:paraId="59174AD4">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可贷资金的需求：主要指家庭、企业和政府的借款活动（利率越低，可带资金数量越多）</w:t>
      </w:r>
    </w:p>
    <w:p w14:paraId="535847F4">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可贷资金的供给：储蓄者向金融市场提供的资金（利率越高，可贷资金数量越多）</w:t>
      </w:r>
    </w:p>
    <w:p w14:paraId="72FAF137">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均衡需求 总需求（供给）：家庭部门+企业部门+中央政府+地方政府+国外</w:t>
      </w:r>
    </w:p>
    <w:p w14:paraId="7F2B340E">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影响利率的经济因素：经济增长，通货膨胀，货币</w:t>
      </w:r>
      <w:bookmarkStart w:id="0" w:name="_GoBack"/>
      <w:bookmarkEnd w:id="0"/>
      <w:r>
        <w:rPr>
          <w:rFonts w:hint="eastAsia"/>
          <w:lang w:val="en-US" w:eastAsia="zh-CN"/>
        </w:rPr>
        <w:t>供给，预算赤字</w:t>
      </w:r>
    </w:p>
    <w:p w14:paraId="41042EF5">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债务证券收益率所受的影响：信用风险，流动性，税收状况，期限，特殊条款</w:t>
      </w:r>
    </w:p>
    <w:p w14:paraId="3FAC6C49">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债务证券收益率的提高并不一定意味着信用风险溢价的增加</w:t>
      </w:r>
    </w:p>
    <w:p w14:paraId="022F33DB">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7EE07"/>
    <w:multiLevelType w:val="singleLevel"/>
    <w:tmpl w:val="8297EE07"/>
    <w:lvl w:ilvl="0" w:tentative="0">
      <w:start w:val="1"/>
      <w:numFmt w:val="decimal"/>
      <w:suff w:val="space"/>
      <w:lvlText w:val="%1."/>
      <w:lvlJc w:val="left"/>
    </w:lvl>
  </w:abstractNum>
  <w:abstractNum w:abstractNumId="1">
    <w:nsid w:val="9FA52E76"/>
    <w:multiLevelType w:val="singleLevel"/>
    <w:tmpl w:val="9FA52E76"/>
    <w:lvl w:ilvl="0" w:tentative="0">
      <w:start w:val="1"/>
      <w:numFmt w:val="decimal"/>
      <w:suff w:val="space"/>
      <w:lvlText w:val="%1."/>
      <w:lvlJc w:val="left"/>
    </w:lvl>
  </w:abstractNum>
  <w:abstractNum w:abstractNumId="2">
    <w:nsid w:val="B282FDA7"/>
    <w:multiLevelType w:val="singleLevel"/>
    <w:tmpl w:val="B282FDA7"/>
    <w:lvl w:ilvl="0" w:tentative="0">
      <w:start w:val="1"/>
      <w:numFmt w:val="decimal"/>
      <w:suff w:val="space"/>
      <w:lvlText w:val="%1."/>
      <w:lvlJc w:val="left"/>
    </w:lvl>
  </w:abstractNum>
  <w:abstractNum w:abstractNumId="3">
    <w:nsid w:val="BCD69783"/>
    <w:multiLevelType w:val="singleLevel"/>
    <w:tmpl w:val="BCD69783"/>
    <w:lvl w:ilvl="0" w:tentative="0">
      <w:start w:val="1"/>
      <w:numFmt w:val="decimal"/>
      <w:suff w:val="space"/>
      <w:lvlText w:val="%1."/>
      <w:lvlJc w:val="left"/>
    </w:lvl>
  </w:abstractNum>
  <w:abstractNum w:abstractNumId="4">
    <w:nsid w:val="F62995D5"/>
    <w:multiLevelType w:val="singleLevel"/>
    <w:tmpl w:val="F62995D5"/>
    <w:lvl w:ilvl="0" w:tentative="0">
      <w:start w:val="1"/>
      <w:numFmt w:val="decimal"/>
      <w:suff w:val="space"/>
      <w:lvlText w:val="%1."/>
      <w:lvlJc w:val="left"/>
    </w:lvl>
  </w:abstractNum>
  <w:abstractNum w:abstractNumId="5">
    <w:nsid w:val="0156ED7C"/>
    <w:multiLevelType w:val="singleLevel"/>
    <w:tmpl w:val="0156ED7C"/>
    <w:lvl w:ilvl="0" w:tentative="0">
      <w:start w:val="1"/>
      <w:numFmt w:val="decimal"/>
      <w:suff w:val="space"/>
      <w:lvlText w:val="%1."/>
      <w:lvlJc w:val="left"/>
    </w:lvl>
  </w:abstractNum>
  <w:abstractNum w:abstractNumId="6">
    <w:nsid w:val="3182098B"/>
    <w:multiLevelType w:val="singleLevel"/>
    <w:tmpl w:val="3182098B"/>
    <w:lvl w:ilvl="0" w:tentative="0">
      <w:start w:val="1"/>
      <w:numFmt w:val="decimal"/>
      <w:lvlText w:val="%1."/>
      <w:lvlJc w:val="left"/>
      <w:pPr>
        <w:tabs>
          <w:tab w:val="left" w:pos="312"/>
        </w:tabs>
      </w:pPr>
    </w:lvl>
  </w:abstractNum>
  <w:abstractNum w:abstractNumId="7">
    <w:nsid w:val="49D330DD"/>
    <w:multiLevelType w:val="singleLevel"/>
    <w:tmpl w:val="49D330DD"/>
    <w:lvl w:ilvl="0" w:tentative="0">
      <w:start w:val="1"/>
      <w:numFmt w:val="decimal"/>
      <w:suff w:val="space"/>
      <w:lvlText w:val="%1."/>
      <w:lvlJc w:val="left"/>
    </w:lvl>
  </w:abstractNum>
  <w:abstractNum w:abstractNumId="8">
    <w:nsid w:val="572C3CCE"/>
    <w:multiLevelType w:val="singleLevel"/>
    <w:tmpl w:val="572C3CCE"/>
    <w:lvl w:ilvl="0" w:tentative="0">
      <w:start w:val="1"/>
      <w:numFmt w:val="decimal"/>
      <w:suff w:val="space"/>
      <w:lvlText w:val="%1."/>
      <w:lvlJc w:val="left"/>
    </w:lvl>
  </w:abstractNum>
  <w:abstractNum w:abstractNumId="9">
    <w:nsid w:val="5A4F4F92"/>
    <w:multiLevelType w:val="singleLevel"/>
    <w:tmpl w:val="5A4F4F92"/>
    <w:lvl w:ilvl="0" w:tentative="0">
      <w:start w:val="1"/>
      <w:numFmt w:val="decimal"/>
      <w:suff w:val="space"/>
      <w:lvlText w:val="%1."/>
      <w:lvlJc w:val="left"/>
    </w:lvl>
  </w:abstractNum>
  <w:abstractNum w:abstractNumId="10">
    <w:nsid w:val="5E5DF1FB"/>
    <w:multiLevelType w:val="singleLevel"/>
    <w:tmpl w:val="5E5DF1FB"/>
    <w:lvl w:ilvl="0" w:tentative="0">
      <w:start w:val="1"/>
      <w:numFmt w:val="decimal"/>
      <w:suff w:val="space"/>
      <w:lvlText w:val="%1."/>
      <w:lvlJc w:val="left"/>
    </w:lvl>
  </w:abstractNum>
  <w:abstractNum w:abstractNumId="11">
    <w:nsid w:val="7EB5B668"/>
    <w:multiLevelType w:val="singleLevel"/>
    <w:tmpl w:val="7EB5B668"/>
    <w:lvl w:ilvl="0" w:tentative="0">
      <w:start w:val="1"/>
      <w:numFmt w:val="decimal"/>
      <w:suff w:val="space"/>
      <w:lvlText w:val="%1."/>
      <w:lvlJc w:val="left"/>
    </w:lvl>
  </w:abstractNum>
  <w:num w:numId="1">
    <w:abstractNumId w:val="8"/>
  </w:num>
  <w:num w:numId="2">
    <w:abstractNumId w:val="6"/>
  </w:num>
  <w:num w:numId="3">
    <w:abstractNumId w:val="5"/>
  </w:num>
  <w:num w:numId="4">
    <w:abstractNumId w:val="3"/>
  </w:num>
  <w:num w:numId="5">
    <w:abstractNumId w:val="1"/>
  </w:num>
  <w:num w:numId="6">
    <w:abstractNumId w:val="11"/>
  </w:num>
  <w:num w:numId="7">
    <w:abstractNumId w:val="10"/>
  </w:num>
  <w:num w:numId="8">
    <w:abstractNumId w:val="9"/>
  </w:num>
  <w:num w:numId="9">
    <w:abstractNumId w:val="2"/>
  </w:num>
  <w:num w:numId="10">
    <w:abstractNumId w:val="7"/>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1C77C02"/>
    <w:rsid w:val="118D6660"/>
    <w:rsid w:val="11D73B51"/>
    <w:rsid w:val="132C3AE3"/>
    <w:rsid w:val="1DF555FB"/>
    <w:rsid w:val="2894252A"/>
    <w:rsid w:val="314007F4"/>
    <w:rsid w:val="36025202"/>
    <w:rsid w:val="3DCF522D"/>
    <w:rsid w:val="4AD71786"/>
    <w:rsid w:val="56522571"/>
    <w:rsid w:val="5FA973BF"/>
    <w:rsid w:val="6858725D"/>
    <w:rsid w:val="6DD41D19"/>
    <w:rsid w:val="6EC30432"/>
    <w:rsid w:val="71392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3977</Words>
  <Characters>3987</Characters>
  <Lines>0</Lines>
  <Paragraphs>0</Paragraphs>
  <TotalTime>646</TotalTime>
  <ScaleCrop>false</ScaleCrop>
  <LinksUpToDate>false</LinksUpToDate>
  <CharactersWithSpaces>4005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2024-07-16T07:56:00Z</dcterms:created>
  <dc:creator>ASUS</dc:creator>
  <cp:lastModifiedBy>今天小马又打球了</cp:lastModifiedBy>
  <dcterms:modified xsi:type="dcterms:W3CDTF">2024-07-22T04:28:38Z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808BBF92AFB8406AA0A2F25915C99D19_12</vt:lpwstr>
  </property>
</Properties>
</file>