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YaHei" w:hAnsi="Microsoft YaHei" w:eastAsia="Microsoft YaHei"/>
          <w:b/>
          <w:color w:val="A87816"/>
          <w:sz w:val="20"/>
        </w:rPr>
        <w:t>阶段性研究汇报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24A"/>
          <w:sz w:val="48"/>
        </w:rPr>
        <w:t>MMHGNN 阶段性实验报告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26B73"/>
          <w:sz w:val="26"/>
        </w:rPr>
        <w:t>公开 BraTS 多模态缺失鲁棒性、阈值校准与协议审计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324A"/>
                <w:sz w:val="19"/>
              </w:rPr>
              <w:t>汇报日期</w:t>
            </w:r>
          </w:p>
        </w:tc>
        <w:tc>
          <w:tcPr>
            <w:tcW w:type="dxa" w:w="7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2026 年 6 月 24 日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324A"/>
                <w:sz w:val="19"/>
              </w:rPr>
              <w:t>实验对象</w:t>
            </w:r>
          </w:p>
        </w:tc>
        <w:tc>
          <w:tcPr>
            <w:tcW w:type="dxa" w:w="7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公开 BraTS，固定划分 train/val/test = 292/36/37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324A"/>
                <w:sz w:val="19"/>
              </w:rPr>
              <w:t>核心口径</w:t>
            </w:r>
          </w:p>
        </w:tc>
        <w:tc>
          <w:tcPr>
            <w:tcW w:type="dxa" w:w="7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BAC、AUC、SEN、SPE；测试集 29 阳性 / 8 阴性</w:t>
            </w:r>
          </w:p>
        </w:tc>
      </w:tr>
    </w:tbl>
    <w:p>
      <w:pPr>
        <w:pStyle w:val="Heading1"/>
      </w:pPr>
      <w:r>
        <w:t>1. 汇报结论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0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阶段判断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评估与诊断链路已经打通，基线结论清楚；校准实验回答了阈值稳定性问题；缺失模态训练已产出候选结果，但由于 MC 与 NF 的预测文件逐项重复，且后续代码专门修复了训练协议，这两组结果必须重跑后才能作为方法改进证据。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基线在 Full 与 T1ce+FLAIR 下均达到 BAC=0.778；Full AUC=0.862。四模态并未优于 T1ce+FLAIR，说明当前模型主要由 T1ce 驱动。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无 T1ce 时，基线最好的代表组合是 T2+FLAIR（BAC=0.703）。门控与边消融显示：FLAIR 是主要补充信号，解剖边在缺少 T1ce 时更重要。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MC 候选的 Full BAC 从 0.778 升至 0.812，但 Full AUC 从 0.862 降至 0.756；T2+FLAIR BAC 反而降至 0.657。这不是一致的鲁棒性提升。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22222"/>
          <w:sz w:val="21"/>
        </w:rPr>
        <w:t>MC 与 NF 在 15/15 个可核对模态组合上的 predictions.csv 哈希完全一致，因此 NF 的定向微调效果未被现有结果证明。</w:t>
      </w:r>
    </w:p>
    <w:p>
      <w:pPr>
        <w:pStyle w:val="Heading1"/>
      </w:pPr>
      <w:r>
        <w:t>2. 实验之间的逻辑链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703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log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26B73"/>
          <w:sz w:val="17"/>
        </w:rPr>
        <w:t>图 1  实验演进不是并列堆叠，而是上一阶段发现问题、下一阶段针对性回答。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逻辑解释：</w:t>
      </w:r>
      <w:r>
        <w:rPr>
          <w:rFonts w:ascii="Microsoft YaHei" w:hAnsi="Microsoft YaHei" w:eastAsia="Microsoft YaHei"/>
          <w:b w:val="0"/>
          <w:color w:val="222222"/>
          <w:sz w:val="21"/>
        </w:rPr>
        <w:t>先保证数据、划分和远程结果可复现；再用 15 种模态组合建立模型行为基线；基线暴露出 T1ce 主导和极端阈值问题，因此开展固定阈值/安全校准；随后进入缺失模态课程训练与无 T1ce 定向微调；最后通过预测哈希和联合验证发现协议缺陷，并完成修复。</w:t>
      </w:r>
    </w:p>
    <w:p>
      <w:pPr>
        <w:pStyle w:val="Heading1"/>
      </w:pPr>
      <w:r>
        <w:t>3. 已完成任务与实验设计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060"/>
        <w:gridCol w:w="425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实验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与前一实验的关系</w:t>
            </w:r>
          </w:p>
        </w:tc>
        <w:tc>
          <w:tcPr>
            <w:tcW w:type="dxa" w:w="4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要回答的问题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B0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同一基线模型 + checkpoint 分组阈值</w:t>
            </w:r>
          </w:p>
        </w:tc>
        <w:tc>
          <w:tcPr>
            <w:tcW w:type="dxa" w:w="4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建立 15 种模态组合的行为基线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B0-R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同一 checkpoint 的复评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验证评估流程与结果复现性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T0.5 / T0.1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同一模型，忽略 checkpoint 校准并固定阈值</w:t>
            </w:r>
          </w:p>
        </w:tc>
        <w:tc>
          <w:tcPr>
            <w:tcW w:type="dxa" w:w="4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隔离阈值对 BAC/SEN/SPE 的影响；AUC 应保持不变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CS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阈值限制在 [0.05, 0.95]，并采用接近 0.5 的平局规则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抑制极端阈值，改善小验证组的决策稳定性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MC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缺失模态课程训练</w:t>
            </w:r>
          </w:p>
        </w:tc>
        <w:tc>
          <w:tcPr>
            <w:tcW w:type="dxa" w:w="4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提升对随机缺失模式的整体鲁棒性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NF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在 MC 后定向采样 T2、FLAIR、T2+FLAIR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重点提升无 T1ce 条件，同时保护 Full 性能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222222"/>
          <w:sz w:val="21"/>
        </w:rPr>
        <w:t>工程侧已完成：</w:t>
      </w:r>
      <w:r>
        <w:rPr>
          <w:rFonts w:ascii="Microsoft YaHei" w:hAnsi="Microsoft YaHei" w:eastAsia="Microsoft YaHei"/>
          <w:b w:val="0"/>
          <w:color w:val="222222"/>
          <w:sz w:val="21"/>
        </w:rPr>
        <w:t>公开 BraTS YAML 配置、数据配置检查、固定划分、服务器评估打包与本地拉取、逐病例预测导出、阈值校准诊断，以及修复后的联合验证/模型哈希/预测哈希审计。当前主分支仍停留在 2d87862；协议修复位于实验分支提交 1471a6b，尚待合并和服务器重跑。</w:t>
      </w:r>
    </w:p>
    <w:p>
      <w:pPr>
        <w:pStyle w:val="Heading1"/>
      </w:pPr>
      <w:r>
        <w:t>4. 完整结果概览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0"/>
        <w:gridCol w:w="1850"/>
        <w:gridCol w:w="1000"/>
        <w:gridCol w:w="1000"/>
        <w:gridCol w:w="1500"/>
        <w:gridCol w:w="930"/>
        <w:gridCol w:w="930"/>
        <w:gridCol w:w="1520"/>
      </w:tblGrid>
      <w:tr>
        <w:trPr>
          <w:tblHeader w:val="true"/>
        </w:trPr>
        <w:tc>
          <w:tcPr>
            <w:tcW w:type="dxa" w:w="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代码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实验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平均 BAC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平均 AUC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无 T1ce 核心 BAC</w:t>
            </w:r>
          </w:p>
        </w:tc>
        <w:tc>
          <w:tcPr>
            <w:tcW w:type="dxa" w:w="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Full BAC</w:t>
            </w:r>
          </w:p>
        </w:tc>
        <w:tc>
          <w:tcPr>
            <w:tcW w:type="dxa" w:w="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Full AUC</w:t>
            </w:r>
          </w:p>
        </w:tc>
        <w:tc>
          <w:tcPr>
            <w:tcW w:type="dxa" w:w="1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判定</w:t>
            </w:r>
          </w:p>
        </w:tc>
      </w:tr>
      <w:tr>
        <w:tc>
          <w:tcPr>
            <w:tcW w:type="dxa" w:w="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B0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初始公开集基线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0.677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0.768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0.596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0.778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0.862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可靠基线</w:t>
            </w:r>
          </w:p>
        </w:tc>
      </w:tr>
      <w:tr>
        <w:tc>
          <w:tcPr>
            <w:tcW w:type="dxa" w:w="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B0-R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基线校准复评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0.677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0.768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0.596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0.778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0.862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复评一致</w:t>
            </w:r>
          </w:p>
        </w:tc>
      </w:tr>
      <w:tr>
        <w:tc>
          <w:tcPr>
            <w:tcW w:type="dxa" w:w="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T0.5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固定阈值 0.5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0.621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0.768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0.552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0.733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0.862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阈值消融</w:t>
            </w:r>
          </w:p>
        </w:tc>
      </w:tr>
      <w:tr>
        <w:tc>
          <w:tcPr>
            <w:tcW w:type="dxa" w:w="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T0.1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固定阈值 0.1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0.640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0.768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0.581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0.750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0.862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阈值消融</w:t>
            </w:r>
          </w:p>
        </w:tc>
      </w:tr>
      <w:tr>
        <w:tc>
          <w:tcPr>
            <w:tcW w:type="dxa" w:w="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CS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受约束安全校准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0.666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0.768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0.583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0.778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0.862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校准候选</w:t>
            </w:r>
          </w:p>
        </w:tc>
      </w:tr>
      <w:tr>
        <w:tc>
          <w:tcPr>
            <w:tcW w:type="dxa" w:w="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MC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缺失模态课程训练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0.660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0.571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0.812</w:t>
            </w:r>
          </w:p>
        </w:tc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0.756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待协议重跑</w:t>
            </w:r>
          </w:p>
        </w:tc>
      </w:tr>
      <w:tr>
        <w:tc>
          <w:tcPr>
            <w:tcW w:type="dxa" w:w="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NF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无 T1ce 定向微调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0.660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0.707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0.571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0.812</w:t>
            </w:r>
          </w:p>
        </w:tc>
        <w:tc>
          <w:tcPr>
            <w:tcW w:type="dxa" w:w="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0.756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5"/>
              </w:rPr>
              <w:t>结果重复，待重跑</w:t>
            </w:r>
          </w:p>
        </w:tc>
      </w:tr>
    </w:tbl>
    <w:p>
      <w:r>
        <w:rPr>
          <w:rFonts w:ascii="Microsoft YaHei" w:hAnsi="Microsoft YaHei" w:eastAsia="Microsoft YaHei"/>
          <w:b/>
          <w:color w:val="626B73"/>
          <w:sz w:val="17"/>
        </w:rPr>
        <w:t>口径说明：</w:t>
      </w:r>
      <w:r>
        <w:rPr>
          <w:rFonts w:ascii="Microsoft YaHei" w:hAnsi="Microsoft YaHei" w:eastAsia="Microsoft YaHei"/>
          <w:b w:val="0"/>
          <w:color w:val="626B73"/>
          <w:sz w:val="17"/>
        </w:rPr>
        <w:t>“无 T1ce 核心”取 T2、FLAIR、T2+FLAIR 三组均值，与修复后协议的联合验证口径一致。B0 与 B0-R 复评一致属于预期；MC 与 NF 完全一致不属于预期。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19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d_accurac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26B73"/>
          <w:sz w:val="17"/>
        </w:rPr>
        <w:t>图 2  所有 7 个运行在 15 种模态组合下的 BAC。</w:t>
      </w:r>
    </w:p>
    <w:p>
      <w:pPr>
        <w:pStyle w:val="Heading1"/>
      </w:pPr>
      <w:r>
        <w:t>5. 结果分析</w:t>
      </w:r>
    </w:p>
    <w:p>
      <w:pPr>
        <w:pStyle w:val="Heading2"/>
      </w:pPr>
      <w:r>
        <w:t>5.1 基线揭示 T1ce 主导，而不是四模态协同增益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Full 与 T1ce+FLAIR 的 BAC 都是 0.778，两者 AUC 也相同（0.862）。T1ce 单模态的 BAC 为 0.733、AUC 为 0.871。因此，当前模型的主要判别来源是 T1ce，FLAIR 提供补充，但 T1/T2 并未形成稳定的额外收益。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26B73"/>
          <w:sz w:val="17"/>
        </w:rPr>
        <w:t>图 3  Full 组合门控与解剖边消融。门控比例是模型行为证据，不应解释为因果贡献率。</w:t>
      </w:r>
    </w:p>
    <w:p>
      <w:pPr>
        <w:pStyle w:val="Heading2"/>
      </w:pPr>
      <w:r>
        <w:t>5.2 校准实验把“排序能力”和“分类决策”分开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B0-R、T0.5、T0.1 使用同一模型概率，15 个组合的 AUC 保持不变，而 BAC/SEN/SPE 随阈值变化。这说明当前无 T1ce 失败的一部分来自阈值不稳，而不是排序能力完全消失。CS 通过限制阈值范围和改变平局规则，改善了部分 FLAIR 相关组合，但 T2 单模态仍退化为全阴性，校准不能代替表征学习。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22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group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2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26B73"/>
          <w:sz w:val="17"/>
        </w:rPr>
        <w:t>图 4  三类模态组的平均 BAC 随校准策略变化。</w:t>
      </w:r>
    </w:p>
    <w:p>
      <w:pPr>
        <w:pStyle w:val="Heading2"/>
      </w:pPr>
      <w:r>
        <w:t>5.3 课程训练候选结果未形成一致的鲁棒性提升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224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combo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2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26B73"/>
          <w:sz w:val="17"/>
        </w:rPr>
        <w:t>图 5  B0 与 MC 候选的关键组合 BAC 对比。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MC 的 Full BAC 提升 +0.034，但 Full AUC 下降 -0.106；T2+FLAIR BAC 下降 -0.045。这更像阈值后混淆矩阵的局部改善，而不是稳定的排序能力与缺失模态鲁棒性共同提升。由于 MC/NF 预测完全相同，现阶段不能宣称定向微调有效。</w:t>
      </w:r>
    </w:p>
    <w:p>
      <w:pPr>
        <w:pStyle w:val="Heading1"/>
      </w:pPr>
      <w:r>
        <w:t>6. 当前风险与下一步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660"/>
        <w:gridCol w:w="180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优先级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行动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完成标准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按 1471a6b 协议重新训练 MC/NF seed42，并运行 compare_protocol_runs.py；只有 checkpoint 权重变化、定向微调被选中、四个无 T1ce 预测哈希均改变时，才进入结果比较。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产出可审计结果包与比较表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至少补 3 个随机种子，报告均值±标准差。当前 test=37 且负类仅 8 例，单个样本即可让 SPE 变化 0.125，单次结果不够稳定。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产出可审计结果包与比较表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模型选择同时约束无 T1ce AUC、无 T1ce BAC 和 Full BAC，避免通过牺牲完整模态或只移动阈值获得表面提升。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产出可审计结果包与比较表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保留解剖边；优先测试原型边、mask-aware head 和定向采样强度，而不是先删除对无 T1ce 组合已有帮助的结构。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产出可审计结果包与比较表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A87816"/>
                <w:sz w:val="21"/>
              </w:rPr>
              <w:t xml:space="preserve">导师汇报建议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本阶段的主要成果不是已经证明无 T1ce 微调有效，而是完成了可复现评估、找到了 T1ce 主导与阈值敏感问题，并通过结果哈希发现了协议缺陷。下一阶段目标明确：在修复后的联合验证约束下，证明无 T1ce 性能能够提升且 Full 性能不明显退化。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181" w:bottom="1037" w:left="1181" w:header="461" w:footer="461" w:gutter="0"/>
          <w:cols w:space="720"/>
          <w:docGrid w:linePitch="360"/>
        </w:sectPr>
      </w:pPr>
    </w:p>
    <w:p>
      <w:pPr>
        <w:pStyle w:val="Heading1"/>
      </w:pPr>
      <w:r>
        <w:t>附录 A：完整逐运行结果</w:t>
      </w:r>
    </w:p>
    <w:p>
      <w:r>
        <w:rPr>
          <w:rFonts w:ascii="Microsoft YaHei" w:hAnsi="Microsoft YaHei" w:eastAsia="Microsoft YaHei"/>
          <w:b w:val="0"/>
          <w:color w:val="222222"/>
          <w:sz w:val="18"/>
        </w:rPr>
        <w:t>每个运行包含 15 种非空模态组合。Thr 为应用阈值；BAC 为平衡准确率。完整原始汇总同时保存为 experiment_results_full.csv。</w:t>
      </w:r>
    </w:p>
    <w:tbl>
      <w:tblPr>
        <w:tblW w:type="dxa" w:w="85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50"/>
        <w:gridCol w:w="700"/>
        <w:gridCol w:w="680"/>
        <w:gridCol w:w="680"/>
        <w:gridCol w:w="680"/>
        <w:gridCol w:w="680"/>
        <w:gridCol w:w="680"/>
        <w:gridCol w:w="520"/>
        <w:gridCol w:w="520"/>
        <w:gridCol w:w="520"/>
        <w:gridCol w:w="520"/>
      </w:tblGrid>
      <w:tr>
        <w:trPr>
          <w:tblHeader w:val="true"/>
        </w:trPr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Run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组合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Thr</w:t>
            </w:r>
          </w:p>
        </w:tc>
        <w:tc>
          <w:tcPr>
            <w:tcW w:type="dxa" w:w="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ACC</w:t>
            </w:r>
          </w:p>
        </w:tc>
        <w:tc>
          <w:tcPr>
            <w:tcW w:type="dxa" w:w="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AUC</w:t>
            </w:r>
          </w:p>
        </w:tc>
        <w:tc>
          <w:tcPr>
            <w:tcW w:type="dxa" w:w="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BAC</w:t>
            </w:r>
          </w:p>
        </w:tc>
        <w:tc>
          <w:tcPr>
            <w:tcW w:type="dxa" w:w="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SEN</w:t>
            </w:r>
          </w:p>
        </w:tc>
        <w:tc>
          <w:tcPr>
            <w:tcW w:type="dxa" w:w="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SPE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TN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FP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FN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3"/>
              </w:rPr>
              <w:t>TP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0.243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0.517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0.034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0.567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22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0.297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0.552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0.567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22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0.243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0.517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0.034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0.567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22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0.297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0.552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0.567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22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0.010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B0-R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0.838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0.405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0.241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0.270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0.534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0.069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0.838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0.351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0.586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0.172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0.243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0.517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0.034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0.838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0.649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0.640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0.207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0.838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0.351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0.586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0.172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0.077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0.064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0.543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0.435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0.077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0.064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0.077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0.432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0.593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0.064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0.064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0.610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0.345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7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CS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0.778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0.931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27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0.642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0.763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0.401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0.720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0.556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25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0.711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20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0.448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MC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0.642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0.763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0.401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0.720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0.556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0.250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25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0.733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0.966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28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0.651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0.216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0.676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0.711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0.657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0.690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9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20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0.865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0.688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0.703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0.448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0.897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0.000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T2+T1ce+T1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4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T2+T1ce+FLAIR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T2+T1+FLAIR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0.194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0.784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0.716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0.636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0.897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0.375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26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T1ce+T1+FLAIR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0.759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  <w:tr>
        <w:tc>
          <w:tcPr>
            <w:tcW w:type="dxa" w:w="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NF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Full</w:t>
            </w:r>
          </w:p>
        </w:tc>
        <w:tc>
          <w:tcPr>
            <w:tcW w:type="dxa" w:w="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0.500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0.919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0.756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0.812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1.000</w:t>
            </w:r>
          </w:p>
        </w:tc>
        <w:tc>
          <w:tcPr>
            <w:tcW w:type="dxa" w:w="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0.625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5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3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0</w:t>
            </w:r>
          </w:p>
        </w:tc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3"/>
              </w:rPr>
              <w:t>29</w:t>
            </w:r>
          </w:p>
        </w:tc>
      </w:tr>
    </w:tbl>
    <w:p>
      <w:pPr>
        <w:sectPr>
          <w:pgSz w:w="15840" w:h="12240" w:orient="landscape"/>
          <w:pgMar w:top="893" w:right="893" w:bottom="893" w:left="893" w:header="461" w:footer="461" w:gutter="0"/>
          <w:cols w:space="720"/>
          <w:docGrid w:linePitch="360"/>
        </w:sectPr>
      </w:pPr>
    </w:p>
    <w:p>
      <w:pPr>
        <w:pStyle w:val="Heading1"/>
      </w:pPr>
      <w:r>
        <w:t>附录 B：实验代码与结果有效性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00"/>
        <w:gridCol w:w="3890"/>
        <w:gridCol w:w="192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提交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对应实验</w:t>
            </w:r>
          </w:p>
        </w:tc>
        <w:tc>
          <w:tcPr>
            <w:tcW w:type="dxa" w:w="38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作用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当前结论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2d87862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当前 main / B0</w:t>
            </w:r>
          </w:p>
        </w:tc>
        <w:tc>
          <w:tcPr>
            <w:tcW w:type="dxa" w:w="3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公开数据配置与基础评估</w:t>
            </w:r>
          </w:p>
        </w:tc>
        <w:tc>
          <w:tcPr>
            <w:tcW w:type="dxa" w:w="1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可作为基线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699e608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CS / MC / NF 现有结果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增加校准与缺失模态实验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MC/NF 需重跑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1471a6b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修复后协议</w:t>
            </w:r>
          </w:p>
        </w:tc>
        <w:tc>
          <w:tcPr>
            <w:tcW w:type="dxa" w:w="38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固定 split、联合验证、选择护栏、权重/预测哈希</w:t>
            </w:r>
          </w:p>
        </w:tc>
        <w:tc>
          <w:tcPr>
            <w:tcW w:type="dxa" w:w="1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代码完成，结果待产出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222222"/>
          <w:sz w:val="21"/>
        </w:rPr>
        <w:t>结论边界：</w:t>
      </w:r>
      <w:r>
        <w:rPr>
          <w:rFonts w:ascii="Microsoft YaHei" w:hAnsi="Microsoft YaHei" w:eastAsia="Microsoft YaHei"/>
          <w:b w:val="0"/>
          <w:color w:val="222222"/>
          <w:sz w:val="21"/>
        </w:rPr>
        <w:t>本报告只基于已同步到 server_results 的结果。由于协议修复后的训练结果尚未生成，MC/NF 只能作为问题定位材料，不能作为最终性能提升证据。</w:t>
      </w:r>
    </w:p>
    <w:sectPr w:rsidR="00FC693F" w:rsidRPr="0006063C" w:rsidSect="00034616"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26B73"/>
        <w:sz w:val="17"/>
      </w:rPr>
      <w:t xml:space="preserve">内部汇报  ·  2026-06-24  ·  </w:t>
    </w:r>
    <w:r>
      <w:rPr>
        <w:rFonts w:ascii="Microsoft YaHei" w:hAnsi="Microsoft YaHei" w:eastAsia="Microsoft YaHei"/>
        <w:color w:val="626B73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26B73"/>
        <w:sz w:val="17"/>
      </w:rPr>
      <w:t xml:space="preserve">内部汇报  ·  2026-06-24  ·  </w:t>
    </w:r>
    <w:r>
      <w:rPr>
        <w:rFonts w:ascii="Microsoft YaHei" w:hAnsi="Microsoft YaHei" w:eastAsia="Microsoft YaHei"/>
        <w:color w:val="626B73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26B73"/>
        <w:sz w:val="17"/>
      </w:rPr>
      <w:t xml:space="preserve">内部汇报  ·  2026-06-24  ·  </w:t>
    </w:r>
    <w:r>
      <w:rPr>
        <w:rFonts w:ascii="Microsoft YaHei" w:hAnsi="Microsoft YaHei" w:eastAsia="Microsoft YaHei"/>
        <w:color w:val="626B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26B73"/>
        <w:sz w:val="17"/>
      </w:rPr>
      <w:t>MMHGNN 阶段性实验报告  |  公开 BraTS 缺失模态鲁棒性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