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30" w:type="dxa"/>
        <w:tblLayout w:type="fixed"/>
        <w:tblLook w:val="04A0" w:firstRow="1" w:lastRow="0" w:firstColumn="1" w:lastColumn="0" w:noHBand="0" w:noVBand="1"/>
      </w:tblPr>
      <w:tblGrid>
        <w:gridCol w:w="1148"/>
        <w:gridCol w:w="621"/>
        <w:gridCol w:w="859"/>
        <w:gridCol w:w="1155"/>
        <w:gridCol w:w="1527"/>
        <w:gridCol w:w="2328"/>
        <w:gridCol w:w="2392"/>
        <w:gridCol w:w="1431"/>
        <w:gridCol w:w="1229"/>
        <w:gridCol w:w="2380"/>
        <w:gridCol w:w="902"/>
        <w:gridCol w:w="805"/>
        <w:gridCol w:w="851"/>
        <w:gridCol w:w="721"/>
        <w:gridCol w:w="1330"/>
        <w:gridCol w:w="1036"/>
        <w:gridCol w:w="819"/>
        <w:gridCol w:w="639"/>
      </w:tblGrid>
      <w:tr w:rsidR="00D56E1C" w:rsidRPr="0026776F" w14:paraId="2C076E0F" w14:textId="77777777" w:rsidTr="00BB5571">
        <w:trPr>
          <w:trHeight w:val="636"/>
          <w:tblHeader/>
        </w:trPr>
        <w:tc>
          <w:tcPr>
            <w:tcW w:w="1148" w:type="dxa"/>
            <w:tcBorders>
              <w:top w:val="single" w:sz="4" w:space="0" w:color="auto"/>
              <w:left w:val="nil"/>
              <w:bottom w:val="double" w:sz="6" w:space="0" w:color="auto"/>
              <w:right w:val="nil"/>
            </w:tcBorders>
            <w:shd w:val="clear" w:color="auto" w:fill="auto"/>
            <w:vAlign w:val="bottom"/>
            <w:hideMark/>
          </w:tcPr>
          <w:p w14:paraId="599F012B"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Author</w:t>
            </w:r>
          </w:p>
        </w:tc>
        <w:tc>
          <w:tcPr>
            <w:tcW w:w="621" w:type="dxa"/>
            <w:tcBorders>
              <w:top w:val="single" w:sz="4" w:space="0" w:color="auto"/>
              <w:left w:val="nil"/>
              <w:bottom w:val="double" w:sz="6" w:space="0" w:color="auto"/>
              <w:right w:val="nil"/>
            </w:tcBorders>
            <w:shd w:val="clear" w:color="auto" w:fill="auto"/>
            <w:vAlign w:val="bottom"/>
            <w:hideMark/>
          </w:tcPr>
          <w:p w14:paraId="43FCB247"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Year</w:t>
            </w:r>
          </w:p>
        </w:tc>
        <w:tc>
          <w:tcPr>
            <w:tcW w:w="859" w:type="dxa"/>
            <w:tcBorders>
              <w:top w:val="single" w:sz="4" w:space="0" w:color="auto"/>
              <w:left w:val="nil"/>
              <w:bottom w:val="double" w:sz="6" w:space="0" w:color="auto"/>
              <w:right w:val="nil"/>
            </w:tcBorders>
            <w:shd w:val="clear" w:color="auto" w:fill="auto"/>
            <w:vAlign w:val="bottom"/>
            <w:hideMark/>
          </w:tcPr>
          <w:p w14:paraId="50501799"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Country</w:t>
            </w:r>
          </w:p>
        </w:tc>
        <w:tc>
          <w:tcPr>
            <w:tcW w:w="1155" w:type="dxa"/>
            <w:tcBorders>
              <w:top w:val="single" w:sz="4" w:space="0" w:color="auto"/>
              <w:left w:val="nil"/>
              <w:bottom w:val="double" w:sz="6" w:space="0" w:color="auto"/>
              <w:right w:val="nil"/>
            </w:tcBorders>
            <w:shd w:val="clear" w:color="auto" w:fill="auto"/>
            <w:vAlign w:val="bottom"/>
            <w:hideMark/>
          </w:tcPr>
          <w:p w14:paraId="2BA61F33"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Study Design</w:t>
            </w:r>
          </w:p>
        </w:tc>
        <w:tc>
          <w:tcPr>
            <w:tcW w:w="1527" w:type="dxa"/>
            <w:tcBorders>
              <w:top w:val="single" w:sz="4" w:space="0" w:color="auto"/>
              <w:left w:val="nil"/>
              <w:bottom w:val="double" w:sz="6" w:space="0" w:color="auto"/>
              <w:right w:val="nil"/>
            </w:tcBorders>
            <w:shd w:val="clear" w:color="auto" w:fill="auto"/>
            <w:vAlign w:val="bottom"/>
            <w:hideMark/>
          </w:tcPr>
          <w:p w14:paraId="1F07C078"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Study Population</w:t>
            </w:r>
          </w:p>
        </w:tc>
        <w:tc>
          <w:tcPr>
            <w:tcW w:w="2328" w:type="dxa"/>
            <w:tcBorders>
              <w:top w:val="single" w:sz="4" w:space="0" w:color="auto"/>
              <w:left w:val="nil"/>
              <w:bottom w:val="double" w:sz="6" w:space="0" w:color="auto"/>
              <w:right w:val="nil"/>
            </w:tcBorders>
            <w:shd w:val="clear" w:color="auto" w:fill="auto"/>
            <w:vAlign w:val="bottom"/>
            <w:hideMark/>
          </w:tcPr>
          <w:p w14:paraId="076F8660"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Comparison Subjects</w:t>
            </w:r>
          </w:p>
        </w:tc>
        <w:tc>
          <w:tcPr>
            <w:tcW w:w="2392" w:type="dxa"/>
            <w:tcBorders>
              <w:top w:val="single" w:sz="4" w:space="0" w:color="auto"/>
              <w:left w:val="nil"/>
              <w:bottom w:val="double" w:sz="6" w:space="0" w:color="auto"/>
              <w:right w:val="nil"/>
            </w:tcBorders>
            <w:shd w:val="clear" w:color="auto" w:fill="auto"/>
            <w:vAlign w:val="bottom"/>
            <w:hideMark/>
          </w:tcPr>
          <w:p w14:paraId="5C82CEFD"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Exposure Assessment</w:t>
            </w:r>
          </w:p>
        </w:tc>
        <w:tc>
          <w:tcPr>
            <w:tcW w:w="1431" w:type="dxa"/>
            <w:tcBorders>
              <w:top w:val="single" w:sz="4" w:space="0" w:color="auto"/>
              <w:left w:val="nil"/>
              <w:bottom w:val="double" w:sz="6" w:space="0" w:color="auto"/>
              <w:right w:val="nil"/>
            </w:tcBorders>
            <w:shd w:val="clear" w:color="auto" w:fill="auto"/>
            <w:vAlign w:val="bottom"/>
            <w:hideMark/>
          </w:tcPr>
          <w:p w14:paraId="214BB001"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Exposure Levels</w:t>
            </w:r>
          </w:p>
        </w:tc>
        <w:tc>
          <w:tcPr>
            <w:tcW w:w="1229" w:type="dxa"/>
            <w:tcBorders>
              <w:top w:val="single" w:sz="4" w:space="0" w:color="auto"/>
              <w:left w:val="nil"/>
              <w:bottom w:val="double" w:sz="6" w:space="0" w:color="auto"/>
              <w:right w:val="nil"/>
            </w:tcBorders>
            <w:shd w:val="clear" w:color="auto" w:fill="auto"/>
            <w:vAlign w:val="bottom"/>
            <w:hideMark/>
          </w:tcPr>
          <w:p w14:paraId="6FABE60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Outcome</w:t>
            </w:r>
          </w:p>
        </w:tc>
        <w:tc>
          <w:tcPr>
            <w:tcW w:w="2380" w:type="dxa"/>
            <w:tcBorders>
              <w:top w:val="single" w:sz="4" w:space="0" w:color="auto"/>
              <w:left w:val="nil"/>
              <w:bottom w:val="double" w:sz="6" w:space="0" w:color="auto"/>
              <w:right w:val="nil"/>
            </w:tcBorders>
            <w:shd w:val="clear" w:color="auto" w:fill="auto"/>
            <w:vAlign w:val="bottom"/>
            <w:hideMark/>
          </w:tcPr>
          <w:p w14:paraId="30A3DE27"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Outcome Assessment</w:t>
            </w:r>
          </w:p>
        </w:tc>
        <w:tc>
          <w:tcPr>
            <w:tcW w:w="1707" w:type="dxa"/>
            <w:gridSpan w:val="2"/>
            <w:tcBorders>
              <w:top w:val="single" w:sz="4" w:space="0" w:color="auto"/>
              <w:left w:val="nil"/>
              <w:bottom w:val="double" w:sz="6" w:space="0" w:color="auto"/>
              <w:right w:val="nil"/>
            </w:tcBorders>
            <w:shd w:val="clear" w:color="auto" w:fill="auto"/>
            <w:vAlign w:val="bottom"/>
            <w:hideMark/>
          </w:tcPr>
          <w:p w14:paraId="198E48B9"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Confounders Considered</w:t>
            </w:r>
          </w:p>
        </w:tc>
        <w:tc>
          <w:tcPr>
            <w:tcW w:w="1572" w:type="dxa"/>
            <w:gridSpan w:val="2"/>
            <w:tcBorders>
              <w:top w:val="single" w:sz="4" w:space="0" w:color="auto"/>
              <w:left w:val="nil"/>
              <w:bottom w:val="double" w:sz="6" w:space="0" w:color="auto"/>
              <w:right w:val="nil"/>
            </w:tcBorders>
            <w:shd w:val="clear" w:color="auto" w:fill="auto"/>
            <w:vAlign w:val="bottom"/>
            <w:hideMark/>
          </w:tcPr>
          <w:p w14:paraId="0288B0C9"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Statistical Approach</w:t>
            </w:r>
          </w:p>
        </w:tc>
        <w:tc>
          <w:tcPr>
            <w:tcW w:w="2366" w:type="dxa"/>
            <w:gridSpan w:val="2"/>
            <w:tcBorders>
              <w:top w:val="single" w:sz="4" w:space="0" w:color="auto"/>
              <w:left w:val="nil"/>
              <w:bottom w:val="double" w:sz="6" w:space="0" w:color="auto"/>
              <w:right w:val="nil"/>
            </w:tcBorders>
            <w:shd w:val="clear" w:color="auto" w:fill="auto"/>
            <w:vAlign w:val="bottom"/>
            <w:hideMark/>
          </w:tcPr>
          <w:p w14:paraId="50F2BEC0"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Estimate of Association (95% CI)</w:t>
            </w:r>
          </w:p>
        </w:tc>
        <w:tc>
          <w:tcPr>
            <w:tcW w:w="1458" w:type="dxa"/>
            <w:gridSpan w:val="2"/>
            <w:tcBorders>
              <w:top w:val="single" w:sz="4" w:space="0" w:color="auto"/>
              <w:left w:val="nil"/>
              <w:bottom w:val="double" w:sz="6" w:space="0" w:color="auto"/>
              <w:right w:val="nil"/>
            </w:tcBorders>
            <w:shd w:val="clear" w:color="auto" w:fill="auto"/>
            <w:vAlign w:val="bottom"/>
            <w:hideMark/>
          </w:tcPr>
          <w:p w14:paraId="0B8C9A48"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Funding Source</w:t>
            </w:r>
          </w:p>
        </w:tc>
      </w:tr>
      <w:tr w:rsidR="00D56E1C" w:rsidRPr="0026776F" w14:paraId="41C7E302" w14:textId="77777777" w:rsidTr="00BB5571">
        <w:trPr>
          <w:trHeight w:val="324"/>
        </w:trPr>
        <w:tc>
          <w:tcPr>
            <w:tcW w:w="3783" w:type="dxa"/>
            <w:gridSpan w:val="4"/>
            <w:tcBorders>
              <w:top w:val="nil"/>
              <w:left w:val="nil"/>
              <w:bottom w:val="nil"/>
              <w:right w:val="nil"/>
            </w:tcBorders>
            <w:shd w:val="clear" w:color="000000" w:fill="BFBFBF"/>
            <w:noWrap/>
            <w:vAlign w:val="bottom"/>
            <w:hideMark/>
          </w:tcPr>
          <w:p w14:paraId="34160E3E" w14:textId="77777777" w:rsidR="0026776F" w:rsidRPr="0026776F" w:rsidRDefault="0026776F" w:rsidP="0026776F">
            <w:pP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Neurodegenerative outcomes</w:t>
            </w:r>
          </w:p>
        </w:tc>
        <w:tc>
          <w:tcPr>
            <w:tcW w:w="1527" w:type="dxa"/>
            <w:tcBorders>
              <w:top w:val="nil"/>
              <w:left w:val="nil"/>
              <w:bottom w:val="nil"/>
              <w:right w:val="nil"/>
            </w:tcBorders>
            <w:shd w:val="clear" w:color="000000" w:fill="BFBFBF"/>
            <w:vAlign w:val="bottom"/>
            <w:hideMark/>
          </w:tcPr>
          <w:p w14:paraId="4D2D1D5D"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28" w:type="dxa"/>
            <w:tcBorders>
              <w:top w:val="nil"/>
              <w:left w:val="nil"/>
              <w:bottom w:val="nil"/>
              <w:right w:val="nil"/>
            </w:tcBorders>
            <w:shd w:val="clear" w:color="000000" w:fill="BFBFBF"/>
            <w:vAlign w:val="bottom"/>
            <w:hideMark/>
          </w:tcPr>
          <w:p w14:paraId="56CC6581"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92" w:type="dxa"/>
            <w:tcBorders>
              <w:top w:val="nil"/>
              <w:left w:val="nil"/>
              <w:bottom w:val="nil"/>
              <w:right w:val="nil"/>
            </w:tcBorders>
            <w:shd w:val="clear" w:color="000000" w:fill="BFBFBF"/>
            <w:vAlign w:val="bottom"/>
            <w:hideMark/>
          </w:tcPr>
          <w:p w14:paraId="7A5EF534"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31" w:type="dxa"/>
            <w:tcBorders>
              <w:top w:val="nil"/>
              <w:left w:val="nil"/>
              <w:bottom w:val="nil"/>
              <w:right w:val="nil"/>
            </w:tcBorders>
            <w:shd w:val="clear" w:color="000000" w:fill="BFBFBF"/>
            <w:vAlign w:val="bottom"/>
            <w:hideMark/>
          </w:tcPr>
          <w:p w14:paraId="27F1C8F3"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229" w:type="dxa"/>
            <w:tcBorders>
              <w:top w:val="nil"/>
              <w:left w:val="nil"/>
              <w:bottom w:val="nil"/>
              <w:right w:val="nil"/>
            </w:tcBorders>
            <w:shd w:val="clear" w:color="000000" w:fill="BFBFBF"/>
            <w:vAlign w:val="bottom"/>
            <w:hideMark/>
          </w:tcPr>
          <w:p w14:paraId="01B6CBE7"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80" w:type="dxa"/>
            <w:tcBorders>
              <w:top w:val="nil"/>
              <w:left w:val="nil"/>
              <w:bottom w:val="nil"/>
              <w:right w:val="nil"/>
            </w:tcBorders>
            <w:shd w:val="clear" w:color="000000" w:fill="BFBFBF"/>
            <w:vAlign w:val="bottom"/>
            <w:hideMark/>
          </w:tcPr>
          <w:p w14:paraId="5CB9042E"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707" w:type="dxa"/>
            <w:gridSpan w:val="2"/>
            <w:tcBorders>
              <w:top w:val="nil"/>
              <w:left w:val="nil"/>
              <w:bottom w:val="nil"/>
              <w:right w:val="nil"/>
            </w:tcBorders>
            <w:shd w:val="clear" w:color="000000" w:fill="BFBFBF"/>
            <w:vAlign w:val="bottom"/>
            <w:hideMark/>
          </w:tcPr>
          <w:p w14:paraId="40E2397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572" w:type="dxa"/>
            <w:gridSpan w:val="2"/>
            <w:tcBorders>
              <w:top w:val="nil"/>
              <w:left w:val="nil"/>
              <w:bottom w:val="nil"/>
              <w:right w:val="nil"/>
            </w:tcBorders>
            <w:shd w:val="clear" w:color="000000" w:fill="BFBFBF"/>
            <w:vAlign w:val="bottom"/>
            <w:hideMark/>
          </w:tcPr>
          <w:p w14:paraId="41C2A800"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66" w:type="dxa"/>
            <w:gridSpan w:val="2"/>
            <w:tcBorders>
              <w:top w:val="nil"/>
              <w:left w:val="nil"/>
              <w:bottom w:val="nil"/>
              <w:right w:val="nil"/>
            </w:tcBorders>
            <w:shd w:val="clear" w:color="000000" w:fill="BFBFBF"/>
            <w:vAlign w:val="bottom"/>
            <w:hideMark/>
          </w:tcPr>
          <w:p w14:paraId="63B3DCD1"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58" w:type="dxa"/>
            <w:gridSpan w:val="2"/>
            <w:tcBorders>
              <w:top w:val="nil"/>
              <w:left w:val="nil"/>
              <w:bottom w:val="nil"/>
              <w:right w:val="nil"/>
            </w:tcBorders>
            <w:shd w:val="clear" w:color="000000" w:fill="BFBFBF"/>
            <w:vAlign w:val="bottom"/>
            <w:hideMark/>
          </w:tcPr>
          <w:p w14:paraId="062B2F7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r>
      <w:tr w:rsidR="00D56E1C" w:rsidRPr="0026776F" w14:paraId="1C489E28" w14:textId="77777777" w:rsidTr="00BB5571">
        <w:trPr>
          <w:trHeight w:val="8192"/>
        </w:trPr>
        <w:tc>
          <w:tcPr>
            <w:tcW w:w="1148" w:type="dxa"/>
            <w:tcBorders>
              <w:top w:val="nil"/>
              <w:left w:val="nil"/>
              <w:bottom w:val="nil"/>
              <w:right w:val="nil"/>
            </w:tcBorders>
            <w:shd w:val="clear" w:color="auto" w:fill="auto"/>
            <w:hideMark/>
          </w:tcPr>
          <w:p w14:paraId="2C5C9F3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Andrew et al.</w:t>
            </w:r>
          </w:p>
        </w:tc>
        <w:tc>
          <w:tcPr>
            <w:tcW w:w="621" w:type="dxa"/>
            <w:tcBorders>
              <w:top w:val="nil"/>
              <w:left w:val="nil"/>
              <w:bottom w:val="nil"/>
              <w:right w:val="nil"/>
            </w:tcBorders>
            <w:shd w:val="clear" w:color="auto" w:fill="auto"/>
            <w:hideMark/>
          </w:tcPr>
          <w:p w14:paraId="7854D28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2021</w:t>
            </w:r>
          </w:p>
        </w:tc>
        <w:tc>
          <w:tcPr>
            <w:tcW w:w="859" w:type="dxa"/>
            <w:tcBorders>
              <w:top w:val="nil"/>
              <w:left w:val="nil"/>
              <w:bottom w:val="nil"/>
              <w:right w:val="nil"/>
            </w:tcBorders>
            <w:shd w:val="clear" w:color="auto" w:fill="auto"/>
            <w:hideMark/>
          </w:tcPr>
          <w:p w14:paraId="691C6A5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02277BF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Healthcare-claims-based and population-based case-control</w:t>
            </w:r>
          </w:p>
        </w:tc>
        <w:tc>
          <w:tcPr>
            <w:tcW w:w="1527" w:type="dxa"/>
            <w:tcBorders>
              <w:top w:val="nil"/>
              <w:left w:val="nil"/>
              <w:bottom w:val="nil"/>
              <w:right w:val="nil"/>
            </w:tcBorders>
            <w:shd w:val="clear" w:color="auto" w:fill="auto"/>
            <w:hideMark/>
          </w:tcPr>
          <w:p w14:paraId="3FCBAB1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26,199 ALS cases identified from SYMPHONY Integrated Dataverse de-identified healthcare claims database of patients aged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18 years with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6 months of prior enrollment, U.S. nationwide, 2013</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2019</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500 ALS cases identified from mortality records in New Hampshire (2009</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2018), Vermont (2008</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2016), and Ohio (2016</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2019), with diagnosis or index year (not defined) on or after 2013</w:t>
            </w:r>
          </w:p>
        </w:tc>
        <w:tc>
          <w:tcPr>
            <w:tcW w:w="2328" w:type="dxa"/>
            <w:tcBorders>
              <w:top w:val="nil"/>
              <w:left w:val="nil"/>
              <w:bottom w:val="nil"/>
              <w:right w:val="nil"/>
            </w:tcBorders>
            <w:shd w:val="clear" w:color="auto" w:fill="auto"/>
            <w:hideMark/>
          </w:tcPr>
          <w:p w14:paraId="036E7A15" w14:textId="77777777" w:rsidR="0026776F" w:rsidRPr="0026776F" w:rsidRDefault="0026776F" w:rsidP="0026776F">
            <w:pPr>
              <w:spacing w:after="240"/>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78,597 controls aged ≤ 80 years without ALS or other neurodegenerative diseases in SYMPHONY database, matched 3:1 to cases on age and sex</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1,949 controls in New Hampshire/Vermont/Ohio identified from U.S. Postal Service Delivery Sequence files licensed to Marketing Systems Group, frequency matched to expected age and sex distribution of cases</w:t>
            </w:r>
          </w:p>
        </w:tc>
        <w:tc>
          <w:tcPr>
            <w:tcW w:w="2392" w:type="dxa"/>
            <w:tcBorders>
              <w:top w:val="nil"/>
              <w:left w:val="nil"/>
              <w:bottom w:val="nil"/>
              <w:right w:val="nil"/>
            </w:tcBorders>
            <w:shd w:val="clear" w:color="auto" w:fill="auto"/>
            <w:hideMark/>
          </w:tcPr>
          <w:p w14:paraId="404E260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Estimated annual county-level crop applications of glyphosate and 422 other pesticides, averaged over 2002–2012, based on pesticide-use estimates from U.S. Geological Survey and data on harvested crop acres from U.S. Department of Agriculture, imputed from neighboring counties for crops in counties with unreported pesticide data</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Assigned to most recent residential region based on first 3 digits of ZIP code at diagnosis (SYMPHONY) or averaged over residential counties during 5 years prior to index date, with residential history identified from LexisNexis commercial financial marketing database (New Hampshire/Vermont/Ohio)</w:t>
            </w:r>
          </w:p>
        </w:tc>
        <w:tc>
          <w:tcPr>
            <w:tcW w:w="1431" w:type="dxa"/>
            <w:tcBorders>
              <w:top w:val="nil"/>
              <w:left w:val="nil"/>
              <w:bottom w:val="nil"/>
              <w:right w:val="nil"/>
            </w:tcBorders>
            <w:shd w:val="clear" w:color="auto" w:fill="auto"/>
            <w:hideMark/>
          </w:tcPr>
          <w:p w14:paraId="1115054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Glyphosate applied to crops per year: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vs. &lt; 9,090 kg/square mile (median)</w:t>
            </w:r>
          </w:p>
        </w:tc>
        <w:tc>
          <w:tcPr>
            <w:tcW w:w="1229" w:type="dxa"/>
            <w:tcBorders>
              <w:top w:val="nil"/>
              <w:left w:val="nil"/>
              <w:bottom w:val="nil"/>
              <w:right w:val="nil"/>
            </w:tcBorders>
            <w:shd w:val="clear" w:color="auto" w:fill="auto"/>
            <w:hideMark/>
          </w:tcPr>
          <w:p w14:paraId="6E78338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ALS</w:t>
            </w:r>
          </w:p>
        </w:tc>
        <w:tc>
          <w:tcPr>
            <w:tcW w:w="2380" w:type="dxa"/>
            <w:tcBorders>
              <w:top w:val="nil"/>
              <w:left w:val="nil"/>
              <w:bottom w:val="nil"/>
              <w:right w:val="nil"/>
            </w:tcBorders>
            <w:shd w:val="clear" w:color="auto" w:fill="auto"/>
            <w:hideMark/>
          </w:tcPr>
          <w:p w14:paraId="145CDD5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In SYMPHONY database: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2 codes for ALS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3 months apart based on International Classification of Diseases, 9th or 10th revision, with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6 months' enrollment in database prior to first code, and age at first code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18 years</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In New Hampshire/Vermont/Ohio: mortality records attributed to motor neuron disease using International Classification of Diseases, 10th revision code G12.2</w:t>
            </w:r>
          </w:p>
        </w:tc>
        <w:tc>
          <w:tcPr>
            <w:tcW w:w="1707" w:type="dxa"/>
            <w:gridSpan w:val="2"/>
            <w:tcBorders>
              <w:top w:val="nil"/>
              <w:left w:val="nil"/>
              <w:bottom w:val="nil"/>
              <w:right w:val="nil"/>
            </w:tcBorders>
            <w:shd w:val="clear" w:color="auto" w:fill="auto"/>
            <w:hideMark/>
          </w:tcPr>
          <w:p w14:paraId="49A427A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age, sex</w:t>
            </w:r>
          </w:p>
        </w:tc>
        <w:tc>
          <w:tcPr>
            <w:tcW w:w="1572" w:type="dxa"/>
            <w:gridSpan w:val="2"/>
            <w:tcBorders>
              <w:top w:val="nil"/>
              <w:left w:val="nil"/>
              <w:bottom w:val="nil"/>
              <w:right w:val="nil"/>
            </w:tcBorders>
            <w:shd w:val="clear" w:color="auto" w:fill="auto"/>
            <w:hideMark/>
          </w:tcPr>
          <w:p w14:paraId="3991EB5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Multivariable logistic regression</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Patients from SYMPHONY database randomly divided into "discovery cohort" of 500 geographic regions (based on first 3 digits of ZIP code) to identify associated pesticides, and "validation cohort" of remaining 363 geographic regions to test pesticides with false discovery rate &lt; 0.1</w:t>
            </w:r>
          </w:p>
        </w:tc>
        <w:tc>
          <w:tcPr>
            <w:tcW w:w="2366" w:type="dxa"/>
            <w:gridSpan w:val="2"/>
            <w:tcBorders>
              <w:top w:val="nil"/>
              <w:left w:val="nil"/>
              <w:bottom w:val="nil"/>
              <w:right w:val="nil"/>
            </w:tcBorders>
            <w:shd w:val="clear" w:color="auto" w:fill="auto"/>
            <w:hideMark/>
          </w:tcPr>
          <w:p w14:paraId="2DFF2361"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Odds ratio in SYMPHONY validation dataset = 1.29 (1.19, 1.39)</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Odds ratio in New Hampshire/Vermont/Ohio dataset = 2.02 (1.64, 2.49)</w:t>
            </w:r>
          </w:p>
        </w:tc>
        <w:tc>
          <w:tcPr>
            <w:tcW w:w="1458" w:type="dxa"/>
            <w:gridSpan w:val="2"/>
            <w:tcBorders>
              <w:top w:val="nil"/>
              <w:left w:val="nil"/>
              <w:bottom w:val="nil"/>
              <w:right w:val="nil"/>
            </w:tcBorders>
            <w:shd w:val="clear" w:color="auto" w:fill="auto"/>
            <w:hideMark/>
          </w:tcPr>
          <w:p w14:paraId="2FFD1CD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Mitsubishi Tanabe Pharma America; Agency for Toxic Substances and Disease Registry</w:t>
            </w:r>
          </w:p>
        </w:tc>
      </w:tr>
      <w:tr w:rsidR="00D56E1C" w:rsidRPr="0026776F" w14:paraId="306B06F5" w14:textId="77777777" w:rsidTr="00BB5571">
        <w:trPr>
          <w:trHeight w:val="8192"/>
        </w:trPr>
        <w:tc>
          <w:tcPr>
            <w:tcW w:w="1148" w:type="dxa"/>
            <w:tcBorders>
              <w:top w:val="nil"/>
              <w:left w:val="nil"/>
              <w:bottom w:val="nil"/>
              <w:right w:val="nil"/>
            </w:tcBorders>
            <w:shd w:val="clear" w:color="auto" w:fill="auto"/>
            <w:hideMark/>
          </w:tcPr>
          <w:p w14:paraId="28E8188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Caballero et al.</w:t>
            </w:r>
          </w:p>
        </w:tc>
        <w:tc>
          <w:tcPr>
            <w:tcW w:w="621" w:type="dxa"/>
            <w:tcBorders>
              <w:top w:val="nil"/>
              <w:left w:val="nil"/>
              <w:bottom w:val="nil"/>
              <w:right w:val="nil"/>
            </w:tcBorders>
            <w:shd w:val="clear" w:color="auto" w:fill="auto"/>
            <w:hideMark/>
          </w:tcPr>
          <w:p w14:paraId="6B01F57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2018</w:t>
            </w:r>
          </w:p>
        </w:tc>
        <w:tc>
          <w:tcPr>
            <w:tcW w:w="859" w:type="dxa"/>
            <w:tcBorders>
              <w:top w:val="nil"/>
              <w:left w:val="nil"/>
              <w:bottom w:val="nil"/>
              <w:right w:val="nil"/>
            </w:tcBorders>
            <w:shd w:val="clear" w:color="auto" w:fill="auto"/>
            <w:hideMark/>
          </w:tcPr>
          <w:p w14:paraId="4533C5A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6E33750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Population-based case-case</w:t>
            </w:r>
          </w:p>
        </w:tc>
        <w:tc>
          <w:tcPr>
            <w:tcW w:w="1527" w:type="dxa"/>
            <w:tcBorders>
              <w:top w:val="nil"/>
              <w:left w:val="nil"/>
              <w:bottom w:val="nil"/>
              <w:right w:val="nil"/>
            </w:tcBorders>
            <w:shd w:val="clear" w:color="auto" w:fill="auto"/>
            <w:hideMark/>
          </w:tcPr>
          <w:p w14:paraId="471E99E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659 Parkinson disease deaths at ages ≤ 75 y ("premature deaths") among residents of Washington State, 2011–2015</w:t>
            </w:r>
          </w:p>
        </w:tc>
        <w:tc>
          <w:tcPr>
            <w:tcW w:w="2328" w:type="dxa"/>
            <w:tcBorders>
              <w:top w:val="nil"/>
              <w:left w:val="nil"/>
              <w:bottom w:val="nil"/>
              <w:right w:val="nil"/>
            </w:tcBorders>
            <w:shd w:val="clear" w:color="auto" w:fill="auto"/>
            <w:hideMark/>
          </w:tcPr>
          <w:p w14:paraId="7C037B5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3,932 Parkinson disease deaths at ages &gt; 75 y among residents of Washington State, 2011–2015</w:t>
            </w:r>
          </w:p>
        </w:tc>
        <w:tc>
          <w:tcPr>
            <w:tcW w:w="2392" w:type="dxa"/>
            <w:tcBorders>
              <w:top w:val="nil"/>
              <w:left w:val="nil"/>
              <w:bottom w:val="nil"/>
              <w:right w:val="nil"/>
            </w:tcBorders>
            <w:shd w:val="clear" w:color="auto" w:fill="auto"/>
            <w:hideMark/>
          </w:tcPr>
          <w:p w14:paraId="2CA0014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Residential proximity (yes or no) using address at death within 1,000 m of agricultural land likely to have been treated with glyphosate, linked to state cropland data from US. Department of Agriculture and estimated pesticide use by type of crop according to U.S. Geological Survey; well water proximity (yes or no) within 500 m of agricultural land  likely to have been treated with glyphosate, 3 other specific pesticides, or total pesticides based on residential wells within 250 m of address of death, linked to same crop-pesticide matrix; or occupational exposure to agricultural chemicals (yes or no) based on "Agriculture, Forestry, Fishing, and Hunting" industry and "Crop Production" occupation listed on death certificate</w:t>
            </w:r>
          </w:p>
        </w:tc>
        <w:tc>
          <w:tcPr>
            <w:tcW w:w="1431" w:type="dxa"/>
            <w:tcBorders>
              <w:top w:val="nil"/>
              <w:left w:val="nil"/>
              <w:bottom w:val="nil"/>
              <w:right w:val="nil"/>
            </w:tcBorders>
            <w:shd w:val="clear" w:color="auto" w:fill="auto"/>
            <w:hideMark/>
          </w:tcPr>
          <w:p w14:paraId="115D51F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Residential proximity (within 1,000 m) or well water proximity (within 500 m) at death to agricultural crops considered likely to have been treated with glyphosate (659 deaths)</w:t>
            </w:r>
          </w:p>
        </w:tc>
        <w:tc>
          <w:tcPr>
            <w:tcW w:w="1229" w:type="dxa"/>
            <w:tcBorders>
              <w:top w:val="nil"/>
              <w:left w:val="nil"/>
              <w:bottom w:val="nil"/>
              <w:right w:val="nil"/>
            </w:tcBorders>
            <w:shd w:val="clear" w:color="auto" w:fill="auto"/>
            <w:hideMark/>
          </w:tcPr>
          <w:p w14:paraId="441E366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Parkinson disease death at ≤ 74 y</w:t>
            </w:r>
          </w:p>
        </w:tc>
        <w:tc>
          <w:tcPr>
            <w:tcW w:w="2380" w:type="dxa"/>
            <w:tcBorders>
              <w:top w:val="nil"/>
              <w:left w:val="nil"/>
              <w:bottom w:val="nil"/>
              <w:right w:val="nil"/>
            </w:tcBorders>
            <w:shd w:val="clear" w:color="auto" w:fill="auto"/>
            <w:hideMark/>
          </w:tcPr>
          <w:p w14:paraId="561A578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Death from Parkinson disease as direct or underlying cause, identified based on International Classification of Diseases code from Washington State Department of Health death certificates</w:t>
            </w:r>
          </w:p>
        </w:tc>
        <w:tc>
          <w:tcPr>
            <w:tcW w:w="1707" w:type="dxa"/>
            <w:gridSpan w:val="2"/>
            <w:tcBorders>
              <w:top w:val="nil"/>
              <w:left w:val="nil"/>
              <w:bottom w:val="nil"/>
              <w:right w:val="nil"/>
            </w:tcBorders>
            <w:shd w:val="clear" w:color="auto" w:fill="auto"/>
            <w:hideMark/>
          </w:tcPr>
          <w:p w14:paraId="4B9B9EEB"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sex, race, marital status, education</w:t>
            </w:r>
          </w:p>
        </w:tc>
        <w:tc>
          <w:tcPr>
            <w:tcW w:w="1572" w:type="dxa"/>
            <w:gridSpan w:val="2"/>
            <w:tcBorders>
              <w:top w:val="nil"/>
              <w:left w:val="nil"/>
              <w:bottom w:val="nil"/>
              <w:right w:val="nil"/>
            </w:tcBorders>
            <w:shd w:val="clear" w:color="auto" w:fill="auto"/>
            <w:hideMark/>
          </w:tcPr>
          <w:p w14:paraId="2C2C79E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Multivariable logistic regression</w:t>
            </w:r>
          </w:p>
        </w:tc>
        <w:tc>
          <w:tcPr>
            <w:tcW w:w="2366" w:type="dxa"/>
            <w:gridSpan w:val="2"/>
            <w:tcBorders>
              <w:top w:val="nil"/>
              <w:left w:val="nil"/>
              <w:bottom w:val="nil"/>
              <w:right w:val="nil"/>
            </w:tcBorders>
            <w:shd w:val="clear" w:color="auto" w:fill="auto"/>
            <w:hideMark/>
          </w:tcPr>
          <w:p w14:paraId="414D9FA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Odds ratio, unadjusted = 1.30 (1.04, 1.62)</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Odds ratio, adjusted = 1.33 (1.06, 1.67)</w:t>
            </w:r>
          </w:p>
        </w:tc>
        <w:tc>
          <w:tcPr>
            <w:tcW w:w="1458" w:type="dxa"/>
            <w:gridSpan w:val="2"/>
            <w:tcBorders>
              <w:top w:val="nil"/>
              <w:left w:val="nil"/>
              <w:bottom w:val="nil"/>
              <w:right w:val="nil"/>
            </w:tcBorders>
            <w:shd w:val="clear" w:color="auto" w:fill="auto"/>
            <w:hideMark/>
          </w:tcPr>
          <w:p w14:paraId="59F1E85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None; authors funded by Health Equity Research Center, Washington State University; open-source publication funded by Asprey Center for Collaborative Approaches to Science and Vassar College Academic Enrichment Fund</w:t>
            </w:r>
          </w:p>
        </w:tc>
      </w:tr>
      <w:tr w:rsidR="00D56E1C" w:rsidRPr="0026776F" w14:paraId="6340CB91" w14:textId="77777777" w:rsidTr="00BB5571">
        <w:trPr>
          <w:trHeight w:val="7488"/>
        </w:trPr>
        <w:tc>
          <w:tcPr>
            <w:tcW w:w="1148" w:type="dxa"/>
            <w:tcBorders>
              <w:top w:val="nil"/>
              <w:left w:val="nil"/>
              <w:bottom w:val="nil"/>
              <w:right w:val="nil"/>
            </w:tcBorders>
            <w:shd w:val="clear" w:color="auto" w:fill="auto"/>
            <w:hideMark/>
          </w:tcPr>
          <w:p w14:paraId="14F6A51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Wan &amp; Lin</w:t>
            </w:r>
          </w:p>
        </w:tc>
        <w:tc>
          <w:tcPr>
            <w:tcW w:w="621" w:type="dxa"/>
            <w:tcBorders>
              <w:top w:val="nil"/>
              <w:left w:val="nil"/>
              <w:bottom w:val="nil"/>
              <w:right w:val="nil"/>
            </w:tcBorders>
            <w:shd w:val="clear" w:color="auto" w:fill="auto"/>
            <w:hideMark/>
          </w:tcPr>
          <w:p w14:paraId="552762A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2016</w:t>
            </w:r>
          </w:p>
        </w:tc>
        <w:tc>
          <w:tcPr>
            <w:tcW w:w="859" w:type="dxa"/>
            <w:tcBorders>
              <w:top w:val="nil"/>
              <w:left w:val="nil"/>
              <w:bottom w:val="nil"/>
              <w:right w:val="nil"/>
            </w:tcBorders>
            <w:shd w:val="clear" w:color="auto" w:fill="auto"/>
            <w:hideMark/>
          </w:tcPr>
          <w:p w14:paraId="62FF921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0193F01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Ecological</w:t>
            </w:r>
          </w:p>
        </w:tc>
        <w:tc>
          <w:tcPr>
            <w:tcW w:w="1527" w:type="dxa"/>
            <w:tcBorders>
              <w:top w:val="nil"/>
              <w:left w:val="nil"/>
              <w:bottom w:val="nil"/>
              <w:right w:val="nil"/>
            </w:tcBorders>
            <w:shd w:val="clear" w:color="auto" w:fill="auto"/>
            <w:hideMark/>
          </w:tcPr>
          <w:p w14:paraId="236D9E1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Annual county-level incidence rates of Parkinson disease in Nebraska, based on 6,557 Parkinson disease cases from the Nebraska Parkinson Disease Registry, 1997–2008</w:t>
            </w:r>
          </w:p>
        </w:tc>
        <w:tc>
          <w:tcPr>
            <w:tcW w:w="2328" w:type="dxa"/>
            <w:tcBorders>
              <w:top w:val="nil"/>
              <w:left w:val="nil"/>
              <w:bottom w:val="nil"/>
              <w:right w:val="nil"/>
            </w:tcBorders>
            <w:shd w:val="clear" w:color="auto" w:fill="auto"/>
            <w:hideMark/>
          </w:tcPr>
          <w:p w14:paraId="3F575B2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Spatial patterns by county</w:t>
            </w:r>
          </w:p>
        </w:tc>
        <w:tc>
          <w:tcPr>
            <w:tcW w:w="2392" w:type="dxa"/>
            <w:tcBorders>
              <w:top w:val="nil"/>
              <w:left w:val="nil"/>
              <w:bottom w:val="nil"/>
              <w:right w:val="nil"/>
            </w:tcBorders>
            <w:shd w:val="clear" w:color="auto" w:fill="auto"/>
            <w:hideMark/>
          </w:tcPr>
          <w:p w14:paraId="155101B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Estimated application of glyphosate and 19 other pesticides to corn, soybeans, small grains, alfalfa, and sorghum (98% of crops in Nebraska), based on annual agricultural pesticide usage data in 2005 from U.S. Geological Survey, combined with surveys of farmers' pesticide usage by crop type and irrigation status in 1982–1987 from the University of Nebraska-Lincoln, and in 1992 and 1997 from the National Center for Food and Agricultural Policy, linked to land-use data  in 2005 from the Center for Advanced Land Management Information Technologies at the University of Nebraska-Lincoln</w:t>
            </w:r>
          </w:p>
        </w:tc>
        <w:tc>
          <w:tcPr>
            <w:tcW w:w="1431" w:type="dxa"/>
            <w:tcBorders>
              <w:top w:val="nil"/>
              <w:left w:val="nil"/>
              <w:bottom w:val="nil"/>
              <w:right w:val="nil"/>
            </w:tcBorders>
            <w:shd w:val="clear" w:color="auto" w:fill="auto"/>
            <w:hideMark/>
          </w:tcPr>
          <w:p w14:paraId="5FBB5BC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Not applicable</w:t>
            </w:r>
          </w:p>
        </w:tc>
        <w:tc>
          <w:tcPr>
            <w:tcW w:w="1229" w:type="dxa"/>
            <w:tcBorders>
              <w:top w:val="nil"/>
              <w:left w:val="nil"/>
              <w:bottom w:val="nil"/>
              <w:right w:val="nil"/>
            </w:tcBorders>
            <w:shd w:val="clear" w:color="auto" w:fill="auto"/>
            <w:hideMark/>
          </w:tcPr>
          <w:p w14:paraId="31BC2DF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Parkinson disease</w:t>
            </w:r>
          </w:p>
        </w:tc>
        <w:tc>
          <w:tcPr>
            <w:tcW w:w="2380" w:type="dxa"/>
            <w:tcBorders>
              <w:top w:val="nil"/>
              <w:left w:val="nil"/>
              <w:bottom w:val="nil"/>
              <w:right w:val="nil"/>
            </w:tcBorders>
            <w:shd w:val="clear" w:color="auto" w:fill="auto"/>
            <w:hideMark/>
          </w:tcPr>
          <w:p w14:paraId="1B3C4CA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Annual county-level age-adjusted incidence rate of Parkinson disease, ascertained by Nebraska Department of Health and Human Services through mandatory physician reporting of new diagnoses within 60 days, and semiannual mandatory pharmacy reporting of patients who received one or more anti-Parkinson-disease medications, traced back to physicians to confirm diagnosis and date and address of diagnosis as accurately as possible</w:t>
            </w:r>
          </w:p>
        </w:tc>
        <w:tc>
          <w:tcPr>
            <w:tcW w:w="1707" w:type="dxa"/>
            <w:gridSpan w:val="2"/>
            <w:tcBorders>
              <w:top w:val="nil"/>
              <w:left w:val="nil"/>
              <w:bottom w:val="nil"/>
              <w:right w:val="nil"/>
            </w:tcBorders>
            <w:shd w:val="clear" w:color="auto" w:fill="auto"/>
            <w:hideMark/>
          </w:tcPr>
          <w:p w14:paraId="73564A8F" w14:textId="705C493A" w:rsidR="0026776F" w:rsidRPr="0026776F" w:rsidRDefault="0026776F" w:rsidP="0026776F">
            <w:pPr>
              <w:spacing w:after="240"/>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Adjusted, joint model: crop density, county-level use of atrazine, </w:t>
            </w:r>
            <w:r w:rsidR="00BB5571">
              <w:rPr>
                <w:rFonts w:ascii="Calibri Light" w:eastAsia="Times New Roman" w:hAnsi="Calibri Light" w:cs="Calibri Light"/>
                <w:sz w:val="24"/>
                <w:szCs w:val="24"/>
                <w:lang w:eastAsia="en-US"/>
              </w:rPr>
              <w:t>bromoxynil</w:t>
            </w:r>
            <w:r w:rsidRPr="0026776F">
              <w:rPr>
                <w:rFonts w:ascii="Calibri Light" w:eastAsia="Times New Roman" w:hAnsi="Calibri Light" w:cs="Calibri Light"/>
                <w:sz w:val="24"/>
                <w:szCs w:val="24"/>
                <w:lang w:eastAsia="en-US"/>
              </w:rPr>
              <w:t>, alachlor, and metribuzin</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Adjusted, single-pesticide model: county-level poverty rate, crop density, and percent of farmers</w:t>
            </w:r>
          </w:p>
        </w:tc>
        <w:tc>
          <w:tcPr>
            <w:tcW w:w="1572" w:type="dxa"/>
            <w:gridSpan w:val="2"/>
            <w:tcBorders>
              <w:top w:val="nil"/>
              <w:left w:val="nil"/>
              <w:bottom w:val="nil"/>
              <w:right w:val="nil"/>
            </w:tcBorders>
            <w:shd w:val="clear" w:color="auto" w:fill="auto"/>
            <w:hideMark/>
          </w:tcPr>
          <w:p w14:paraId="5077354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Multivariable linear regression</w:t>
            </w:r>
          </w:p>
        </w:tc>
        <w:tc>
          <w:tcPr>
            <w:tcW w:w="2366" w:type="dxa"/>
            <w:gridSpan w:val="2"/>
            <w:tcBorders>
              <w:top w:val="nil"/>
              <w:left w:val="nil"/>
              <w:bottom w:val="nil"/>
              <w:right w:val="nil"/>
            </w:tcBorders>
            <w:shd w:val="clear" w:color="auto" w:fill="auto"/>
            <w:hideMark/>
          </w:tcPr>
          <w:p w14:paraId="0842C84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Joint model:</w:t>
            </w:r>
            <w:r w:rsidRPr="0026776F">
              <w:rPr>
                <w:rFonts w:ascii="Calibri Light" w:eastAsia="Times New Roman" w:hAnsi="Calibri Light" w:cs="Calibri Light"/>
                <w:sz w:val="24"/>
                <w:szCs w:val="24"/>
                <w:lang w:eastAsia="en-US"/>
              </w:rPr>
              <w:br/>
              <w:t>β coefficient for quartile 2 vs. 1 = -0.041, p ≥ 0.05</w:t>
            </w:r>
            <w:r w:rsidRPr="0026776F">
              <w:rPr>
                <w:rFonts w:ascii="Calibri Light" w:eastAsia="Times New Roman" w:hAnsi="Calibri Light" w:cs="Calibri Light"/>
                <w:sz w:val="24"/>
                <w:szCs w:val="24"/>
                <w:lang w:eastAsia="en-US"/>
              </w:rPr>
              <w:br/>
              <w:t>β coefficient for quartile 3 vs. 1 = 0.083, p ≥ 0.05</w:t>
            </w:r>
            <w:r w:rsidRPr="0026776F">
              <w:rPr>
                <w:rFonts w:ascii="Calibri Light" w:eastAsia="Times New Roman" w:hAnsi="Calibri Light" w:cs="Calibri Light"/>
                <w:sz w:val="24"/>
                <w:szCs w:val="24"/>
                <w:lang w:eastAsia="en-US"/>
              </w:rPr>
              <w:br/>
              <w:t xml:space="preserve">β coefficient for quartile 4 vs. 1 = 0.135, p ≥ 0.05 </w:t>
            </w:r>
            <w:r w:rsidRPr="0026776F">
              <w:rPr>
                <w:rFonts w:ascii="Calibri Light" w:eastAsia="Times New Roman" w:hAnsi="Calibri Light" w:cs="Calibri Light"/>
                <w:sz w:val="24"/>
                <w:szCs w:val="24"/>
                <w:lang w:eastAsia="en-US"/>
              </w:rPr>
              <w:br/>
              <w:t xml:space="preserve">Adjusted </w:t>
            </w:r>
            <w:r w:rsidRPr="0026776F">
              <w:rPr>
                <w:rFonts w:ascii="Calibri Light" w:eastAsia="Times New Roman" w:hAnsi="Calibri Light" w:cs="Calibri Light"/>
                <w:i/>
                <w:iCs/>
                <w:sz w:val="24"/>
                <w:szCs w:val="24"/>
                <w:lang w:eastAsia="en-US"/>
              </w:rPr>
              <w:t>R</w:t>
            </w:r>
            <w:r w:rsidRPr="0026776F">
              <w:rPr>
                <w:rFonts w:ascii="Calibri Light" w:eastAsia="Times New Roman" w:hAnsi="Calibri Light" w:cs="Calibri Light"/>
                <w:sz w:val="24"/>
                <w:szCs w:val="24"/>
                <w:vertAlign w:val="superscript"/>
                <w:lang w:eastAsia="en-US"/>
              </w:rPr>
              <w:t>2</w:t>
            </w:r>
            <w:r w:rsidRPr="0026776F">
              <w:rPr>
                <w:rFonts w:ascii="Calibri Light" w:eastAsia="Times New Roman" w:hAnsi="Calibri Light" w:cs="Calibri Light"/>
                <w:sz w:val="24"/>
                <w:szCs w:val="24"/>
                <w:lang w:eastAsia="en-US"/>
              </w:rPr>
              <w:t xml:space="preserve"> = 0.32</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Single-pesticide model:</w:t>
            </w:r>
            <w:r w:rsidRPr="0026776F">
              <w:rPr>
                <w:rFonts w:ascii="Calibri Light" w:eastAsia="Times New Roman" w:hAnsi="Calibri Light" w:cs="Calibri Light"/>
                <w:sz w:val="24"/>
                <w:szCs w:val="24"/>
                <w:lang w:eastAsia="en-US"/>
              </w:rPr>
              <w:br/>
              <w:t xml:space="preserve">β coefficient for quartile 2 vs. 1 = 0.118, p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0.05</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b/>
                <w:bCs/>
                <w:sz w:val="24"/>
                <w:szCs w:val="24"/>
                <w:lang w:eastAsia="en-US"/>
              </w:rPr>
              <w:t>β coefficient for quartile 3 vs. 1 = 0.279, p &lt; 0.05</w:t>
            </w:r>
            <w:r w:rsidRPr="0026776F">
              <w:rPr>
                <w:rFonts w:ascii="Calibri Light" w:eastAsia="Times New Roman" w:hAnsi="Calibri Light" w:cs="Calibri Light"/>
                <w:b/>
                <w:bCs/>
                <w:sz w:val="24"/>
                <w:szCs w:val="24"/>
                <w:lang w:eastAsia="en-US"/>
              </w:rPr>
              <w:br/>
              <w:t>β coefficient for quartile 4 vs. 1 = 0.313, p &lt; 0.05</w:t>
            </w:r>
            <w:r w:rsidRPr="0026776F">
              <w:rPr>
                <w:rFonts w:ascii="Calibri Light" w:eastAsia="Times New Roman" w:hAnsi="Calibri Light" w:cs="Calibri Light"/>
                <w:sz w:val="24"/>
                <w:szCs w:val="24"/>
                <w:lang w:eastAsia="en-US"/>
              </w:rPr>
              <w:br/>
              <w:t xml:space="preserve">Adjusted </w:t>
            </w:r>
            <w:r w:rsidRPr="0026776F">
              <w:rPr>
                <w:rFonts w:ascii="Calibri Light" w:eastAsia="Times New Roman" w:hAnsi="Calibri Light" w:cs="Calibri Light"/>
                <w:i/>
                <w:iCs/>
                <w:sz w:val="24"/>
                <w:szCs w:val="24"/>
                <w:lang w:eastAsia="en-US"/>
              </w:rPr>
              <w:t>R</w:t>
            </w:r>
            <w:r w:rsidRPr="0026776F">
              <w:rPr>
                <w:rFonts w:ascii="Calibri Light" w:eastAsia="Times New Roman" w:hAnsi="Calibri Light" w:cs="Calibri Light"/>
                <w:sz w:val="24"/>
                <w:szCs w:val="24"/>
                <w:vertAlign w:val="superscript"/>
                <w:lang w:eastAsia="en-US"/>
              </w:rPr>
              <w:t>2</w:t>
            </w:r>
            <w:r w:rsidRPr="0026776F">
              <w:rPr>
                <w:rFonts w:ascii="Calibri Light" w:eastAsia="Times New Roman" w:hAnsi="Calibri Light" w:cs="Calibri Light"/>
                <w:i/>
                <w:iCs/>
                <w:sz w:val="24"/>
                <w:szCs w:val="24"/>
                <w:lang w:eastAsia="en-US"/>
              </w:rPr>
              <w:t xml:space="preserve"> </w:t>
            </w:r>
            <w:r w:rsidRPr="0026776F">
              <w:rPr>
                <w:rFonts w:ascii="Calibri Light" w:eastAsia="Times New Roman" w:hAnsi="Calibri Light" w:cs="Calibri Light"/>
                <w:sz w:val="24"/>
                <w:szCs w:val="24"/>
                <w:lang w:eastAsia="en-US"/>
              </w:rPr>
              <w:t>= 0.240</w:t>
            </w:r>
          </w:p>
        </w:tc>
        <w:tc>
          <w:tcPr>
            <w:tcW w:w="1458" w:type="dxa"/>
            <w:gridSpan w:val="2"/>
            <w:tcBorders>
              <w:top w:val="nil"/>
              <w:left w:val="nil"/>
              <w:bottom w:val="nil"/>
              <w:right w:val="nil"/>
            </w:tcBorders>
            <w:shd w:val="clear" w:color="auto" w:fill="auto"/>
            <w:hideMark/>
          </w:tcPr>
          <w:p w14:paraId="0509C7C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None</w:t>
            </w:r>
          </w:p>
        </w:tc>
      </w:tr>
      <w:tr w:rsidR="00D56E1C" w:rsidRPr="0026776F" w14:paraId="2C226DD5" w14:textId="77777777" w:rsidTr="00BB5571">
        <w:trPr>
          <w:trHeight w:val="4056"/>
        </w:trPr>
        <w:tc>
          <w:tcPr>
            <w:tcW w:w="1148" w:type="dxa"/>
            <w:tcBorders>
              <w:top w:val="nil"/>
              <w:left w:val="nil"/>
              <w:bottom w:val="nil"/>
              <w:right w:val="nil"/>
            </w:tcBorders>
            <w:shd w:val="clear" w:color="auto" w:fill="auto"/>
            <w:hideMark/>
          </w:tcPr>
          <w:p w14:paraId="47CE6A1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Wechsler et al.</w:t>
            </w:r>
          </w:p>
        </w:tc>
        <w:tc>
          <w:tcPr>
            <w:tcW w:w="621" w:type="dxa"/>
            <w:tcBorders>
              <w:top w:val="nil"/>
              <w:left w:val="nil"/>
              <w:bottom w:val="nil"/>
              <w:right w:val="nil"/>
            </w:tcBorders>
            <w:shd w:val="clear" w:color="auto" w:fill="auto"/>
            <w:hideMark/>
          </w:tcPr>
          <w:p w14:paraId="54C7F9B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1991</w:t>
            </w:r>
          </w:p>
        </w:tc>
        <w:tc>
          <w:tcPr>
            <w:tcW w:w="859" w:type="dxa"/>
            <w:tcBorders>
              <w:top w:val="nil"/>
              <w:left w:val="nil"/>
              <w:bottom w:val="nil"/>
              <w:right w:val="nil"/>
            </w:tcBorders>
            <w:shd w:val="clear" w:color="auto" w:fill="auto"/>
            <w:hideMark/>
          </w:tcPr>
          <w:p w14:paraId="16C3149B"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54FA4A3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Hospital-based case-control</w:t>
            </w:r>
          </w:p>
        </w:tc>
        <w:tc>
          <w:tcPr>
            <w:tcW w:w="1527" w:type="dxa"/>
            <w:tcBorders>
              <w:top w:val="nil"/>
              <w:left w:val="nil"/>
              <w:bottom w:val="nil"/>
              <w:right w:val="nil"/>
            </w:tcBorders>
            <w:shd w:val="clear" w:color="auto" w:fill="auto"/>
            <w:hideMark/>
          </w:tcPr>
          <w:p w14:paraId="20FDD38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34 Parkinson disease patients aged ≥ 40 y identified from University Hospital Neurology Clinic at University of Washington, and Seattle area Parkinson disease support groups; years NR, overall participation 49% (59 of 121 including cases and controls)</w:t>
            </w:r>
          </w:p>
        </w:tc>
        <w:tc>
          <w:tcPr>
            <w:tcW w:w="2328" w:type="dxa"/>
            <w:tcBorders>
              <w:top w:val="nil"/>
              <w:left w:val="nil"/>
              <w:bottom w:val="nil"/>
              <w:right w:val="nil"/>
            </w:tcBorders>
            <w:shd w:val="clear" w:color="auto" w:fill="auto"/>
            <w:hideMark/>
          </w:tcPr>
          <w:p w14:paraId="44A8E10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22 controls aged ≥ 40 y with neurological disorders other than Parkinson disease and dementia, identified from University Hospital Neurology Clinic at University of Washington; participation 49% (59 of 121 including cases and controls)</w:t>
            </w:r>
          </w:p>
        </w:tc>
        <w:tc>
          <w:tcPr>
            <w:tcW w:w="2392" w:type="dxa"/>
            <w:tcBorders>
              <w:top w:val="nil"/>
              <w:left w:val="nil"/>
              <w:bottom w:val="nil"/>
              <w:right w:val="nil"/>
            </w:tcBorders>
            <w:shd w:val="clear" w:color="auto" w:fill="auto"/>
            <w:hideMark/>
          </w:tcPr>
          <w:p w14:paraId="1DCE5EA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Self-reported occupational and home use of Round-Up and ≥ 8 other specific pesticides, as well as various occupations and metals, ascertained by pre-tested, structured, mailed questionnaire, with follow-up reminder telephone call to Neurology Clinic subjects if questionnaire was not yet received</w:t>
            </w:r>
          </w:p>
        </w:tc>
        <w:tc>
          <w:tcPr>
            <w:tcW w:w="1431" w:type="dxa"/>
            <w:tcBorders>
              <w:top w:val="nil"/>
              <w:left w:val="nil"/>
              <w:bottom w:val="nil"/>
              <w:right w:val="nil"/>
            </w:tcBorders>
            <w:shd w:val="clear" w:color="auto" w:fill="auto"/>
            <w:hideMark/>
          </w:tcPr>
          <w:p w14:paraId="1111151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Use of Round-Up as a "home pesticide" (14 cases, 9 controls)</w:t>
            </w:r>
          </w:p>
        </w:tc>
        <w:tc>
          <w:tcPr>
            <w:tcW w:w="1229" w:type="dxa"/>
            <w:tcBorders>
              <w:top w:val="nil"/>
              <w:left w:val="nil"/>
              <w:bottom w:val="nil"/>
              <w:right w:val="nil"/>
            </w:tcBorders>
            <w:shd w:val="clear" w:color="auto" w:fill="auto"/>
            <w:hideMark/>
          </w:tcPr>
          <w:p w14:paraId="5762DB9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Parkinson disease</w:t>
            </w:r>
          </w:p>
        </w:tc>
        <w:tc>
          <w:tcPr>
            <w:tcW w:w="2380" w:type="dxa"/>
            <w:tcBorders>
              <w:top w:val="nil"/>
              <w:left w:val="nil"/>
              <w:bottom w:val="nil"/>
              <w:right w:val="nil"/>
            </w:tcBorders>
            <w:shd w:val="clear" w:color="auto" w:fill="auto"/>
            <w:hideMark/>
          </w:tcPr>
          <w:p w14:paraId="068EE73B"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Parkinson disease identified from neurology clinic or patient support groups, diagnosis not reported as confirmed</w:t>
            </w:r>
          </w:p>
        </w:tc>
        <w:tc>
          <w:tcPr>
            <w:tcW w:w="1707" w:type="dxa"/>
            <w:gridSpan w:val="2"/>
            <w:tcBorders>
              <w:top w:val="nil"/>
              <w:left w:val="nil"/>
              <w:bottom w:val="nil"/>
              <w:right w:val="nil"/>
            </w:tcBorders>
            <w:shd w:val="clear" w:color="auto" w:fill="auto"/>
            <w:hideMark/>
          </w:tcPr>
          <w:p w14:paraId="33497ED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None</w:t>
            </w:r>
          </w:p>
        </w:tc>
        <w:tc>
          <w:tcPr>
            <w:tcW w:w="1572" w:type="dxa"/>
            <w:gridSpan w:val="2"/>
            <w:tcBorders>
              <w:top w:val="nil"/>
              <w:left w:val="nil"/>
              <w:bottom w:val="nil"/>
              <w:right w:val="nil"/>
            </w:tcBorders>
            <w:shd w:val="clear" w:color="auto" w:fill="auto"/>
            <w:hideMark/>
          </w:tcPr>
          <w:p w14:paraId="25934DE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"Frequency analysis" (chi-square)</w:t>
            </w:r>
          </w:p>
        </w:tc>
        <w:tc>
          <w:tcPr>
            <w:tcW w:w="2366" w:type="dxa"/>
            <w:gridSpan w:val="2"/>
            <w:tcBorders>
              <w:top w:val="nil"/>
              <w:left w:val="nil"/>
              <w:bottom w:val="nil"/>
              <w:right w:val="nil"/>
            </w:tcBorders>
            <w:shd w:val="clear" w:color="auto" w:fill="auto"/>
            <w:hideMark/>
          </w:tcPr>
          <w:p w14:paraId="1F215EC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Odds ratio = (14*13)/(20*9) = 1.01 (0.34, 3.01)</w:t>
            </w:r>
          </w:p>
        </w:tc>
        <w:tc>
          <w:tcPr>
            <w:tcW w:w="1458" w:type="dxa"/>
            <w:gridSpan w:val="2"/>
            <w:tcBorders>
              <w:top w:val="nil"/>
              <w:left w:val="nil"/>
              <w:bottom w:val="nil"/>
              <w:right w:val="nil"/>
            </w:tcBorders>
            <w:shd w:val="clear" w:color="auto" w:fill="auto"/>
            <w:hideMark/>
          </w:tcPr>
          <w:p w14:paraId="5E3ED94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NR</w:t>
            </w:r>
          </w:p>
        </w:tc>
      </w:tr>
      <w:tr w:rsidR="00BB5571" w:rsidRPr="0026776F" w14:paraId="1EF86FAB" w14:textId="77777777" w:rsidTr="00BB5571">
        <w:trPr>
          <w:trHeight w:val="312"/>
        </w:trPr>
        <w:tc>
          <w:tcPr>
            <w:tcW w:w="3783" w:type="dxa"/>
            <w:gridSpan w:val="4"/>
            <w:tcBorders>
              <w:top w:val="nil"/>
              <w:left w:val="nil"/>
              <w:bottom w:val="nil"/>
              <w:right w:val="nil"/>
            </w:tcBorders>
            <w:shd w:val="clear" w:color="000000" w:fill="BFBFBF"/>
            <w:noWrap/>
            <w:vAlign w:val="bottom"/>
            <w:hideMark/>
          </w:tcPr>
          <w:p w14:paraId="027F2E62" w14:textId="7DC51A20" w:rsidR="00BB5571" w:rsidRPr="0026776F" w:rsidRDefault="00BB5571" w:rsidP="00822A18">
            <w:pP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Neurobehavioral outcome</w:t>
            </w:r>
            <w:r w:rsidR="00822A18">
              <w:rPr>
                <w:rFonts w:ascii="Calibri Light" w:eastAsia="Times New Roman" w:hAnsi="Calibri Light" w:cs="Calibri Light"/>
                <w:b/>
                <w:bCs/>
                <w:sz w:val="24"/>
                <w:szCs w:val="24"/>
                <w:lang w:eastAsia="en-US"/>
              </w:rPr>
              <w:t>s</w:t>
            </w:r>
          </w:p>
        </w:tc>
        <w:tc>
          <w:tcPr>
            <w:tcW w:w="1527" w:type="dxa"/>
            <w:tcBorders>
              <w:top w:val="nil"/>
              <w:left w:val="nil"/>
              <w:bottom w:val="nil"/>
              <w:right w:val="nil"/>
            </w:tcBorders>
            <w:shd w:val="clear" w:color="000000" w:fill="BFBFBF"/>
            <w:vAlign w:val="bottom"/>
            <w:hideMark/>
          </w:tcPr>
          <w:p w14:paraId="6423225E"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28" w:type="dxa"/>
            <w:tcBorders>
              <w:top w:val="nil"/>
              <w:left w:val="nil"/>
              <w:bottom w:val="nil"/>
              <w:right w:val="nil"/>
            </w:tcBorders>
            <w:shd w:val="clear" w:color="000000" w:fill="BFBFBF"/>
            <w:vAlign w:val="bottom"/>
            <w:hideMark/>
          </w:tcPr>
          <w:p w14:paraId="32EA55E8" w14:textId="77777777" w:rsidR="00BB5571" w:rsidRPr="0026776F" w:rsidRDefault="00BB5571" w:rsidP="00822A18">
            <w:pP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92" w:type="dxa"/>
            <w:tcBorders>
              <w:top w:val="nil"/>
              <w:left w:val="nil"/>
              <w:bottom w:val="nil"/>
              <w:right w:val="nil"/>
            </w:tcBorders>
            <w:shd w:val="clear" w:color="000000" w:fill="BFBFBF"/>
            <w:vAlign w:val="bottom"/>
            <w:hideMark/>
          </w:tcPr>
          <w:p w14:paraId="62EE6305"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31" w:type="dxa"/>
            <w:tcBorders>
              <w:top w:val="nil"/>
              <w:left w:val="nil"/>
              <w:bottom w:val="nil"/>
              <w:right w:val="nil"/>
            </w:tcBorders>
            <w:shd w:val="clear" w:color="000000" w:fill="BFBFBF"/>
            <w:vAlign w:val="bottom"/>
            <w:hideMark/>
          </w:tcPr>
          <w:p w14:paraId="6E59AA6E"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229" w:type="dxa"/>
            <w:tcBorders>
              <w:top w:val="nil"/>
              <w:left w:val="nil"/>
              <w:bottom w:val="nil"/>
              <w:right w:val="nil"/>
            </w:tcBorders>
            <w:shd w:val="clear" w:color="000000" w:fill="BFBFBF"/>
            <w:vAlign w:val="bottom"/>
            <w:hideMark/>
          </w:tcPr>
          <w:p w14:paraId="00EC2238"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80" w:type="dxa"/>
            <w:tcBorders>
              <w:top w:val="nil"/>
              <w:left w:val="nil"/>
              <w:bottom w:val="nil"/>
              <w:right w:val="nil"/>
            </w:tcBorders>
            <w:shd w:val="clear" w:color="000000" w:fill="BFBFBF"/>
            <w:vAlign w:val="bottom"/>
            <w:hideMark/>
          </w:tcPr>
          <w:p w14:paraId="7DE97351"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707" w:type="dxa"/>
            <w:gridSpan w:val="2"/>
            <w:tcBorders>
              <w:top w:val="nil"/>
              <w:left w:val="nil"/>
              <w:bottom w:val="nil"/>
              <w:right w:val="nil"/>
            </w:tcBorders>
            <w:shd w:val="clear" w:color="000000" w:fill="BFBFBF"/>
            <w:vAlign w:val="bottom"/>
            <w:hideMark/>
          </w:tcPr>
          <w:p w14:paraId="7FF9D45F"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572" w:type="dxa"/>
            <w:gridSpan w:val="2"/>
            <w:tcBorders>
              <w:top w:val="nil"/>
              <w:left w:val="nil"/>
              <w:bottom w:val="nil"/>
              <w:right w:val="nil"/>
            </w:tcBorders>
            <w:shd w:val="clear" w:color="000000" w:fill="BFBFBF"/>
            <w:vAlign w:val="bottom"/>
            <w:hideMark/>
          </w:tcPr>
          <w:p w14:paraId="2E55461C"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66" w:type="dxa"/>
            <w:gridSpan w:val="2"/>
            <w:tcBorders>
              <w:top w:val="nil"/>
              <w:left w:val="nil"/>
              <w:bottom w:val="nil"/>
              <w:right w:val="nil"/>
            </w:tcBorders>
            <w:shd w:val="clear" w:color="000000" w:fill="BFBFBF"/>
            <w:vAlign w:val="bottom"/>
            <w:hideMark/>
          </w:tcPr>
          <w:p w14:paraId="186F74EB"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58" w:type="dxa"/>
            <w:gridSpan w:val="2"/>
            <w:tcBorders>
              <w:top w:val="nil"/>
              <w:left w:val="nil"/>
              <w:bottom w:val="nil"/>
              <w:right w:val="nil"/>
            </w:tcBorders>
            <w:shd w:val="clear" w:color="000000" w:fill="BFBFBF"/>
            <w:vAlign w:val="bottom"/>
            <w:hideMark/>
          </w:tcPr>
          <w:p w14:paraId="06E51F8F" w14:textId="77777777" w:rsidR="00BB5571" w:rsidRPr="0026776F" w:rsidRDefault="00BB5571"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r>
      <w:tr w:rsidR="00D56E1C" w:rsidRPr="0026776F" w14:paraId="680E6A8C" w14:textId="77777777" w:rsidTr="00BB5571">
        <w:trPr>
          <w:trHeight w:val="7176"/>
        </w:trPr>
        <w:tc>
          <w:tcPr>
            <w:tcW w:w="1148" w:type="dxa"/>
            <w:tcBorders>
              <w:top w:val="nil"/>
              <w:left w:val="nil"/>
              <w:bottom w:val="nil"/>
              <w:right w:val="nil"/>
            </w:tcBorders>
            <w:shd w:val="clear" w:color="auto" w:fill="auto"/>
            <w:hideMark/>
          </w:tcPr>
          <w:p w14:paraId="3BE0A7DF"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Faria et al.</w:t>
            </w:r>
          </w:p>
        </w:tc>
        <w:tc>
          <w:tcPr>
            <w:tcW w:w="621" w:type="dxa"/>
            <w:tcBorders>
              <w:top w:val="nil"/>
              <w:left w:val="nil"/>
              <w:bottom w:val="nil"/>
              <w:right w:val="nil"/>
            </w:tcBorders>
            <w:shd w:val="clear" w:color="auto" w:fill="auto"/>
            <w:hideMark/>
          </w:tcPr>
          <w:p w14:paraId="3494EB0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2014</w:t>
            </w:r>
          </w:p>
        </w:tc>
        <w:tc>
          <w:tcPr>
            <w:tcW w:w="859" w:type="dxa"/>
            <w:tcBorders>
              <w:top w:val="nil"/>
              <w:left w:val="nil"/>
              <w:bottom w:val="nil"/>
              <w:right w:val="nil"/>
            </w:tcBorders>
            <w:shd w:val="clear" w:color="auto" w:fill="auto"/>
            <w:hideMark/>
          </w:tcPr>
          <w:p w14:paraId="500A5825"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Brazil</w:t>
            </w:r>
          </w:p>
        </w:tc>
        <w:tc>
          <w:tcPr>
            <w:tcW w:w="1155" w:type="dxa"/>
            <w:tcBorders>
              <w:top w:val="nil"/>
              <w:left w:val="nil"/>
              <w:bottom w:val="nil"/>
              <w:right w:val="nil"/>
            </w:tcBorders>
            <w:shd w:val="clear" w:color="auto" w:fill="auto"/>
            <w:hideMark/>
          </w:tcPr>
          <w:p w14:paraId="37E4580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Cross-sectional</w:t>
            </w:r>
          </w:p>
        </w:tc>
        <w:tc>
          <w:tcPr>
            <w:tcW w:w="1527" w:type="dxa"/>
            <w:tcBorders>
              <w:top w:val="nil"/>
              <w:left w:val="nil"/>
              <w:bottom w:val="nil"/>
              <w:right w:val="nil"/>
            </w:tcBorders>
            <w:shd w:val="clear" w:color="auto" w:fill="auto"/>
            <w:hideMark/>
          </w:tcPr>
          <w:p w14:paraId="4E122DE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2,400 tobacco farmers aged ≥ 18 years engaged in farming activities for ≥ 15 hours per week, identified from farms randomly selected from tobacco sales invoices issued by government mandate in 2009, interviewed at their farms during 8-week fieldwork period during harvest, São Lourenço do Sul-RS, southern Brazil, January and February 2011; 92.3% participation</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288 (12.0%) with minor psychiatric disorders</w:t>
            </w:r>
          </w:p>
        </w:tc>
        <w:tc>
          <w:tcPr>
            <w:tcW w:w="2328" w:type="dxa"/>
            <w:tcBorders>
              <w:top w:val="nil"/>
              <w:left w:val="nil"/>
              <w:bottom w:val="nil"/>
              <w:right w:val="nil"/>
            </w:tcBorders>
            <w:shd w:val="clear" w:color="auto" w:fill="auto"/>
            <w:hideMark/>
          </w:tcPr>
          <w:p w14:paraId="2A76FE0F"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Subjects without glyphosate exposure</w:t>
            </w:r>
          </w:p>
        </w:tc>
        <w:tc>
          <w:tcPr>
            <w:tcW w:w="2392" w:type="dxa"/>
            <w:tcBorders>
              <w:top w:val="nil"/>
              <w:left w:val="nil"/>
              <w:bottom w:val="nil"/>
              <w:right w:val="nil"/>
            </w:tcBorders>
            <w:shd w:val="clear" w:color="auto" w:fill="auto"/>
            <w:hideMark/>
          </w:tcPr>
          <w:p w14:paraId="31FD5FD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Self-reported use of glyphosate and 55 other pesticides on the farm (not necessarily personally applied) in the past year, prompted by cards with photographs and trade names </w:t>
            </w:r>
          </w:p>
        </w:tc>
        <w:tc>
          <w:tcPr>
            <w:tcW w:w="1431" w:type="dxa"/>
            <w:tcBorders>
              <w:top w:val="nil"/>
              <w:left w:val="nil"/>
              <w:bottom w:val="nil"/>
              <w:right w:val="nil"/>
            </w:tcBorders>
            <w:shd w:val="clear" w:color="auto" w:fill="auto"/>
            <w:hideMark/>
          </w:tcPr>
          <w:p w14:paraId="60518AA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Glyphosate used on farm in the past year (1,565 subjects)</w:t>
            </w:r>
          </w:p>
        </w:tc>
        <w:tc>
          <w:tcPr>
            <w:tcW w:w="1229" w:type="dxa"/>
            <w:tcBorders>
              <w:top w:val="nil"/>
              <w:left w:val="nil"/>
              <w:bottom w:val="nil"/>
              <w:right w:val="nil"/>
            </w:tcBorders>
            <w:shd w:val="clear" w:color="auto" w:fill="auto"/>
            <w:hideMark/>
          </w:tcPr>
          <w:p w14:paraId="3340E53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Minor psychiatric disorders</w:t>
            </w:r>
          </w:p>
        </w:tc>
        <w:tc>
          <w:tcPr>
            <w:tcW w:w="2380" w:type="dxa"/>
            <w:tcBorders>
              <w:top w:val="nil"/>
              <w:left w:val="nil"/>
              <w:bottom w:val="nil"/>
              <w:right w:val="nil"/>
            </w:tcBorders>
            <w:shd w:val="clear" w:color="auto" w:fill="auto"/>
            <w:hideMark/>
          </w:tcPr>
          <w:p w14:paraId="5BA61977" w14:textId="77777777" w:rsidR="0026776F" w:rsidRPr="0026776F" w:rsidRDefault="0026776F" w:rsidP="0026776F">
            <w:pPr>
              <w:spacing w:after="240"/>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Non-psychotic mental disorders assessed using Self-Reporting Questionnaire 20 items, developed to screen for common mental disorders in primary health care, including somatic factors (e.g., headaches, appetite, digestion, sleep), depressive/anxiety symptoms (e.g., feeling frightened, unhappy, or worthless; crying), and cognitive/decreased energy factors (e.g., not being able to concentrate or make decisions, suffering at work, being unable to enjoy daily activities); classified as "positive" based on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6 alterations in men or </w:t>
            </w:r>
            <w:r w:rsidRPr="0026776F">
              <w:rPr>
                <w:rFonts w:eastAsia="Times New Roman"/>
                <w:sz w:val="24"/>
                <w:szCs w:val="24"/>
                <w:lang w:eastAsia="en-US"/>
              </w:rPr>
              <w:t xml:space="preserve">≥ </w:t>
            </w:r>
            <w:r w:rsidRPr="0026776F">
              <w:rPr>
                <w:rFonts w:ascii="Calibri Light" w:eastAsia="Times New Roman" w:hAnsi="Calibri Light" w:cs="Calibri Light"/>
                <w:sz w:val="24"/>
                <w:szCs w:val="24"/>
                <w:lang w:eastAsia="en-US"/>
              </w:rPr>
              <w:t>8 in women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7 or </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 xml:space="preserve"> 8, respectively, in sensitivity analyses)</w:t>
            </w:r>
          </w:p>
        </w:tc>
        <w:tc>
          <w:tcPr>
            <w:tcW w:w="1707" w:type="dxa"/>
            <w:gridSpan w:val="2"/>
            <w:tcBorders>
              <w:top w:val="nil"/>
              <w:left w:val="nil"/>
              <w:bottom w:val="nil"/>
              <w:right w:val="nil"/>
            </w:tcBorders>
            <w:shd w:val="clear" w:color="auto" w:fill="auto"/>
            <w:hideMark/>
          </w:tcPr>
          <w:p w14:paraId="0E2BC3B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age, sex, annual tobacco production, employment status, difficulty in paying debts, alcohol consumption, religious activity, farming workday hours, strenuous work</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Considered: vehicle ownership, percentage of income arising from tobacco, family history of suicide, smoking, intense working pace, green tobacco sickness, chronic low back pain, pesticide poisoning</w:t>
            </w:r>
          </w:p>
        </w:tc>
        <w:tc>
          <w:tcPr>
            <w:tcW w:w="1572" w:type="dxa"/>
            <w:gridSpan w:val="2"/>
            <w:tcBorders>
              <w:top w:val="nil"/>
              <w:left w:val="nil"/>
              <w:bottom w:val="nil"/>
              <w:right w:val="nil"/>
            </w:tcBorders>
            <w:shd w:val="clear" w:color="auto" w:fill="auto"/>
            <w:hideMark/>
          </w:tcPr>
          <w:p w14:paraId="3FFF58D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Hierarchical multivariable Poisson regression with robust variance estimation</w:t>
            </w:r>
          </w:p>
        </w:tc>
        <w:tc>
          <w:tcPr>
            <w:tcW w:w="2366" w:type="dxa"/>
            <w:gridSpan w:val="2"/>
            <w:tcBorders>
              <w:top w:val="nil"/>
              <w:left w:val="nil"/>
              <w:bottom w:val="nil"/>
              <w:right w:val="nil"/>
            </w:tcBorders>
            <w:shd w:val="clear" w:color="auto" w:fill="auto"/>
            <w:hideMark/>
          </w:tcPr>
          <w:p w14:paraId="4200B78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Prevalence ratio, adjusted = 0.81 (0.65, 1.01)</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b/>
                <w:bCs/>
                <w:sz w:val="24"/>
                <w:szCs w:val="24"/>
                <w:lang w:eastAsia="en-US"/>
              </w:rPr>
              <w:br/>
              <w:t>Prevalence ratio, unadjusted = 0.71 (0.57, 0.88)</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Prevalence of minor psychiatric disorders on farms not using glyphosate = 14.8%</w:t>
            </w:r>
            <w:r w:rsidRPr="0026776F">
              <w:rPr>
                <w:rFonts w:ascii="Calibri Light" w:eastAsia="Times New Roman" w:hAnsi="Calibri Light" w:cs="Calibri Light"/>
                <w:sz w:val="24"/>
                <w:szCs w:val="24"/>
                <w:lang w:eastAsia="en-US"/>
              </w:rPr>
              <w:br/>
              <w:t>Prevalence of minor psychiatric disorders on farms using glyphosate = 10.5%</w:t>
            </w:r>
            <w:r w:rsidRPr="0026776F">
              <w:rPr>
                <w:rFonts w:ascii="Calibri Light" w:eastAsia="Times New Roman" w:hAnsi="Calibri Light" w:cs="Calibri Light"/>
                <w:sz w:val="24"/>
                <w:szCs w:val="24"/>
                <w:lang w:eastAsia="en-US"/>
              </w:rPr>
              <w:br/>
              <w:t>Wald p = 0.002</w:t>
            </w:r>
          </w:p>
        </w:tc>
        <w:tc>
          <w:tcPr>
            <w:tcW w:w="1458" w:type="dxa"/>
            <w:gridSpan w:val="2"/>
            <w:tcBorders>
              <w:top w:val="nil"/>
              <w:left w:val="nil"/>
              <w:bottom w:val="nil"/>
              <w:right w:val="nil"/>
            </w:tcBorders>
            <w:shd w:val="clear" w:color="auto" w:fill="auto"/>
            <w:hideMark/>
          </w:tcPr>
          <w:p w14:paraId="308E8EF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National Council for Scientific and Technological Development; Research</w:t>
            </w:r>
            <w:r w:rsidRPr="0026776F">
              <w:rPr>
                <w:rFonts w:ascii="Calibri Light" w:eastAsia="Times New Roman" w:hAnsi="Calibri Light" w:cs="Calibri Light"/>
                <w:sz w:val="24"/>
                <w:szCs w:val="24"/>
                <w:lang w:eastAsia="en-US"/>
              </w:rPr>
              <w:br/>
              <w:t>Support Foundation of the Rio Grande do Sul State</w:t>
            </w:r>
          </w:p>
        </w:tc>
      </w:tr>
      <w:tr w:rsidR="00D56E1C" w:rsidRPr="0026776F" w14:paraId="2FE4DBA1" w14:textId="77777777" w:rsidTr="00BB5571">
        <w:trPr>
          <w:trHeight w:val="7176"/>
        </w:trPr>
        <w:tc>
          <w:tcPr>
            <w:tcW w:w="1148" w:type="dxa"/>
            <w:tcBorders>
              <w:top w:val="nil"/>
              <w:left w:val="nil"/>
              <w:bottom w:val="nil"/>
              <w:right w:val="nil"/>
            </w:tcBorders>
            <w:shd w:val="clear" w:color="auto" w:fill="auto"/>
            <w:hideMark/>
          </w:tcPr>
          <w:p w14:paraId="0C1A632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Kim et al.</w:t>
            </w:r>
          </w:p>
        </w:tc>
        <w:tc>
          <w:tcPr>
            <w:tcW w:w="621" w:type="dxa"/>
            <w:tcBorders>
              <w:top w:val="nil"/>
              <w:left w:val="nil"/>
              <w:bottom w:val="nil"/>
              <w:right w:val="nil"/>
            </w:tcBorders>
            <w:shd w:val="clear" w:color="auto" w:fill="auto"/>
            <w:hideMark/>
          </w:tcPr>
          <w:p w14:paraId="6B5A0D3B"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2013</w:t>
            </w:r>
          </w:p>
        </w:tc>
        <w:tc>
          <w:tcPr>
            <w:tcW w:w="859" w:type="dxa"/>
            <w:tcBorders>
              <w:top w:val="nil"/>
              <w:left w:val="nil"/>
              <w:bottom w:val="nil"/>
              <w:right w:val="nil"/>
            </w:tcBorders>
            <w:shd w:val="clear" w:color="auto" w:fill="auto"/>
            <w:hideMark/>
          </w:tcPr>
          <w:p w14:paraId="78BA704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South Korea</w:t>
            </w:r>
          </w:p>
        </w:tc>
        <w:tc>
          <w:tcPr>
            <w:tcW w:w="1155" w:type="dxa"/>
            <w:tcBorders>
              <w:top w:val="nil"/>
              <w:left w:val="nil"/>
              <w:bottom w:val="nil"/>
              <w:right w:val="nil"/>
            </w:tcBorders>
            <w:shd w:val="clear" w:color="auto" w:fill="auto"/>
            <w:hideMark/>
          </w:tcPr>
          <w:p w14:paraId="2371C6D5"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Cross-sectional</w:t>
            </w:r>
          </w:p>
        </w:tc>
        <w:tc>
          <w:tcPr>
            <w:tcW w:w="1527" w:type="dxa"/>
            <w:tcBorders>
              <w:top w:val="nil"/>
              <w:left w:val="nil"/>
              <w:bottom w:val="nil"/>
              <w:right w:val="nil"/>
            </w:tcBorders>
            <w:shd w:val="clear" w:color="auto" w:fill="auto"/>
            <w:hideMark/>
          </w:tcPr>
          <w:p w14:paraId="5EE5A30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1,895 male farmers residing in rural areas, identified from nationwide sampling survey using stratified multi-stage probability sampling methods, South Korea, February and March 2011; 94.8% participation with non-missing data</w:t>
            </w:r>
          </w:p>
        </w:tc>
        <w:tc>
          <w:tcPr>
            <w:tcW w:w="2328" w:type="dxa"/>
            <w:tcBorders>
              <w:top w:val="nil"/>
              <w:left w:val="nil"/>
              <w:bottom w:val="nil"/>
              <w:right w:val="nil"/>
            </w:tcBorders>
            <w:shd w:val="clear" w:color="auto" w:fill="auto"/>
            <w:hideMark/>
          </w:tcPr>
          <w:p w14:paraId="2AAC58F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Subjects without glyphosate exposure</w:t>
            </w:r>
          </w:p>
        </w:tc>
        <w:tc>
          <w:tcPr>
            <w:tcW w:w="2392" w:type="dxa"/>
            <w:tcBorders>
              <w:top w:val="nil"/>
              <w:left w:val="nil"/>
              <w:bottom w:val="nil"/>
              <w:right w:val="nil"/>
            </w:tcBorders>
            <w:shd w:val="clear" w:color="auto" w:fill="auto"/>
            <w:hideMark/>
          </w:tcPr>
          <w:p w14:paraId="30DD437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Self-reported acute occupational pesticide poisoning in 2010, identified based on reporting any of 21 signs and symptoms (nausea, vomiting, diarrhea, sore throat, runny nose, dyspnea,</w:t>
            </w:r>
            <w:r w:rsidRPr="0026776F">
              <w:rPr>
                <w:rFonts w:ascii="Calibri Light" w:eastAsia="Times New Roman" w:hAnsi="Calibri Light" w:cs="Calibri Light"/>
                <w:sz w:val="24"/>
                <w:szCs w:val="24"/>
                <w:lang w:eastAsia="en-US"/>
              </w:rPr>
              <w:br/>
              <w:t>headache, dizziness, hyperactivity, profuse sweating, blurred vision, paresthesia, slurred speech, paralysis, chest pain, syncope, muscle weakness, skin irritation, eye irritation, lacrimation, fatigue) within 48 hours of occupational pesticide use, with further inquiry about pesticide products (including glyphosate) associated with poisoning</w:t>
            </w:r>
          </w:p>
        </w:tc>
        <w:tc>
          <w:tcPr>
            <w:tcW w:w="1431" w:type="dxa"/>
            <w:tcBorders>
              <w:top w:val="nil"/>
              <w:left w:val="nil"/>
              <w:bottom w:val="nil"/>
              <w:right w:val="nil"/>
            </w:tcBorders>
            <w:shd w:val="clear" w:color="auto" w:fill="auto"/>
            <w:hideMark/>
          </w:tcPr>
          <w:p w14:paraId="3371CFE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Acute occupational poisoning by glyphosate in prior year (2 subjects with depressive symptoms, 23 subjects without depressive symptoms)</w:t>
            </w:r>
          </w:p>
        </w:tc>
        <w:tc>
          <w:tcPr>
            <w:tcW w:w="1229" w:type="dxa"/>
            <w:tcBorders>
              <w:top w:val="nil"/>
              <w:left w:val="nil"/>
              <w:bottom w:val="nil"/>
              <w:right w:val="nil"/>
            </w:tcBorders>
            <w:shd w:val="clear" w:color="auto" w:fill="auto"/>
            <w:hideMark/>
          </w:tcPr>
          <w:p w14:paraId="30416FB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Depressive symptoms</w:t>
            </w:r>
          </w:p>
        </w:tc>
        <w:tc>
          <w:tcPr>
            <w:tcW w:w="2380" w:type="dxa"/>
            <w:tcBorders>
              <w:top w:val="nil"/>
              <w:left w:val="nil"/>
              <w:bottom w:val="nil"/>
              <w:right w:val="nil"/>
            </w:tcBorders>
            <w:shd w:val="clear" w:color="auto" w:fill="auto"/>
            <w:hideMark/>
          </w:tcPr>
          <w:p w14:paraId="59678C0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Self-reported depressive symptoms assessed by Korean version of the Geriatric Depression Screening Scale short form, chosen as an "adequate screening instrument for detecting major depressive episodes" as defined by criteria from Diagnostic and Statistical Manual of Mental Disorders, 4th Edition, for outpatients aged ≥ 60 years; based on yes/no questions on 15 specific depressive symptoms during the past week, with total scores ≥ 8 classified as having depressive symptoms</w:t>
            </w:r>
          </w:p>
        </w:tc>
        <w:tc>
          <w:tcPr>
            <w:tcW w:w="1707" w:type="dxa"/>
            <w:gridSpan w:val="2"/>
            <w:tcBorders>
              <w:top w:val="nil"/>
              <w:left w:val="nil"/>
              <w:bottom w:val="nil"/>
              <w:right w:val="nil"/>
            </w:tcBorders>
            <w:shd w:val="clear" w:color="auto" w:fill="auto"/>
            <w:hideMark/>
          </w:tcPr>
          <w:p w14:paraId="7474E75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age, income, marital status, smoking, physician-diagnosed comorbidity, perceived health status</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Considered: education, farm size, type of farming, application methods, use of personal protective equipment, safety behavior when applying pesticides, alcohol drinking, obesity</w:t>
            </w:r>
          </w:p>
        </w:tc>
        <w:tc>
          <w:tcPr>
            <w:tcW w:w="1572" w:type="dxa"/>
            <w:gridSpan w:val="2"/>
            <w:tcBorders>
              <w:top w:val="nil"/>
              <w:left w:val="nil"/>
              <w:bottom w:val="nil"/>
              <w:right w:val="nil"/>
            </w:tcBorders>
            <w:shd w:val="clear" w:color="auto" w:fill="auto"/>
            <w:hideMark/>
          </w:tcPr>
          <w:p w14:paraId="43DC419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Multivariable logistic regression</w:t>
            </w:r>
          </w:p>
        </w:tc>
        <w:tc>
          <w:tcPr>
            <w:tcW w:w="2366" w:type="dxa"/>
            <w:gridSpan w:val="2"/>
            <w:tcBorders>
              <w:top w:val="nil"/>
              <w:left w:val="nil"/>
              <w:bottom w:val="nil"/>
              <w:right w:val="nil"/>
            </w:tcBorders>
            <w:shd w:val="clear" w:color="auto" w:fill="auto"/>
            <w:hideMark/>
          </w:tcPr>
          <w:p w14:paraId="73CDD64F"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Odds ratio, adjusted = 0.49 (0.11, 2.13)</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unadjusted = 0.64 (0.14, 2.75)</w:t>
            </w:r>
          </w:p>
        </w:tc>
        <w:tc>
          <w:tcPr>
            <w:tcW w:w="1458" w:type="dxa"/>
            <w:gridSpan w:val="2"/>
            <w:tcBorders>
              <w:top w:val="nil"/>
              <w:left w:val="nil"/>
              <w:bottom w:val="nil"/>
              <w:right w:val="nil"/>
            </w:tcBorders>
            <w:shd w:val="clear" w:color="auto" w:fill="auto"/>
            <w:hideMark/>
          </w:tcPr>
          <w:p w14:paraId="3AA39055"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National Research Foundation of Korea; Cooperative Research Program for Agriculture Science and Technology</w:t>
            </w:r>
            <w:r w:rsidRPr="0026776F">
              <w:rPr>
                <w:rFonts w:ascii="Calibri Light" w:eastAsia="Times New Roman" w:hAnsi="Calibri Light" w:cs="Calibri Light"/>
                <w:sz w:val="24"/>
                <w:szCs w:val="24"/>
                <w:lang w:eastAsia="en-US"/>
              </w:rPr>
              <w:br/>
              <w:t>Development, Rural Development Administration, Republic of Korea</w:t>
            </w:r>
          </w:p>
        </w:tc>
      </w:tr>
      <w:tr w:rsidR="00D56E1C" w:rsidRPr="0026776F" w14:paraId="464C64BA" w14:textId="77777777" w:rsidTr="00BB5571">
        <w:trPr>
          <w:trHeight w:val="312"/>
        </w:trPr>
        <w:tc>
          <w:tcPr>
            <w:tcW w:w="3783" w:type="dxa"/>
            <w:gridSpan w:val="4"/>
            <w:tcBorders>
              <w:top w:val="nil"/>
              <w:left w:val="nil"/>
              <w:bottom w:val="nil"/>
              <w:right w:val="nil"/>
            </w:tcBorders>
            <w:shd w:val="clear" w:color="000000" w:fill="BFBFBF"/>
            <w:noWrap/>
            <w:vAlign w:val="bottom"/>
            <w:hideMark/>
          </w:tcPr>
          <w:p w14:paraId="79CA85A7" w14:textId="77777777" w:rsidR="0026776F" w:rsidRPr="0026776F" w:rsidRDefault="0026776F" w:rsidP="0026776F">
            <w:pP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Neurodevelopmental outcomes</w:t>
            </w:r>
          </w:p>
        </w:tc>
        <w:tc>
          <w:tcPr>
            <w:tcW w:w="1527" w:type="dxa"/>
            <w:tcBorders>
              <w:top w:val="nil"/>
              <w:left w:val="nil"/>
              <w:bottom w:val="nil"/>
              <w:right w:val="nil"/>
            </w:tcBorders>
            <w:shd w:val="clear" w:color="000000" w:fill="BFBFBF"/>
            <w:vAlign w:val="bottom"/>
            <w:hideMark/>
          </w:tcPr>
          <w:p w14:paraId="69765386"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28" w:type="dxa"/>
            <w:tcBorders>
              <w:top w:val="nil"/>
              <w:left w:val="nil"/>
              <w:bottom w:val="nil"/>
              <w:right w:val="nil"/>
            </w:tcBorders>
            <w:shd w:val="clear" w:color="000000" w:fill="BFBFBF"/>
            <w:vAlign w:val="bottom"/>
            <w:hideMark/>
          </w:tcPr>
          <w:p w14:paraId="7B6F1F4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92" w:type="dxa"/>
            <w:tcBorders>
              <w:top w:val="nil"/>
              <w:left w:val="nil"/>
              <w:bottom w:val="nil"/>
              <w:right w:val="nil"/>
            </w:tcBorders>
            <w:shd w:val="clear" w:color="000000" w:fill="BFBFBF"/>
            <w:vAlign w:val="bottom"/>
            <w:hideMark/>
          </w:tcPr>
          <w:p w14:paraId="710F102C"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31" w:type="dxa"/>
            <w:tcBorders>
              <w:top w:val="nil"/>
              <w:left w:val="nil"/>
              <w:bottom w:val="nil"/>
              <w:right w:val="nil"/>
            </w:tcBorders>
            <w:shd w:val="clear" w:color="000000" w:fill="BFBFBF"/>
            <w:vAlign w:val="bottom"/>
            <w:hideMark/>
          </w:tcPr>
          <w:p w14:paraId="69EC6915"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229" w:type="dxa"/>
            <w:tcBorders>
              <w:top w:val="nil"/>
              <w:left w:val="nil"/>
              <w:bottom w:val="nil"/>
              <w:right w:val="nil"/>
            </w:tcBorders>
            <w:shd w:val="clear" w:color="000000" w:fill="BFBFBF"/>
            <w:vAlign w:val="bottom"/>
            <w:hideMark/>
          </w:tcPr>
          <w:p w14:paraId="2D8849A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80" w:type="dxa"/>
            <w:tcBorders>
              <w:top w:val="nil"/>
              <w:left w:val="nil"/>
              <w:bottom w:val="nil"/>
              <w:right w:val="nil"/>
            </w:tcBorders>
            <w:shd w:val="clear" w:color="000000" w:fill="BFBFBF"/>
            <w:vAlign w:val="bottom"/>
            <w:hideMark/>
          </w:tcPr>
          <w:p w14:paraId="607DA11E"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707" w:type="dxa"/>
            <w:gridSpan w:val="2"/>
            <w:tcBorders>
              <w:top w:val="nil"/>
              <w:left w:val="nil"/>
              <w:bottom w:val="nil"/>
              <w:right w:val="nil"/>
            </w:tcBorders>
            <w:shd w:val="clear" w:color="000000" w:fill="BFBFBF"/>
            <w:vAlign w:val="bottom"/>
            <w:hideMark/>
          </w:tcPr>
          <w:p w14:paraId="4E9AF0DC"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572" w:type="dxa"/>
            <w:gridSpan w:val="2"/>
            <w:tcBorders>
              <w:top w:val="nil"/>
              <w:left w:val="nil"/>
              <w:bottom w:val="nil"/>
              <w:right w:val="nil"/>
            </w:tcBorders>
            <w:shd w:val="clear" w:color="000000" w:fill="BFBFBF"/>
            <w:vAlign w:val="bottom"/>
            <w:hideMark/>
          </w:tcPr>
          <w:p w14:paraId="29171685"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66" w:type="dxa"/>
            <w:gridSpan w:val="2"/>
            <w:tcBorders>
              <w:top w:val="nil"/>
              <w:left w:val="nil"/>
              <w:bottom w:val="nil"/>
              <w:right w:val="nil"/>
            </w:tcBorders>
            <w:shd w:val="clear" w:color="000000" w:fill="BFBFBF"/>
            <w:vAlign w:val="bottom"/>
            <w:hideMark/>
          </w:tcPr>
          <w:p w14:paraId="75C7A3AF"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58" w:type="dxa"/>
            <w:gridSpan w:val="2"/>
            <w:tcBorders>
              <w:top w:val="nil"/>
              <w:left w:val="nil"/>
              <w:bottom w:val="nil"/>
              <w:right w:val="nil"/>
            </w:tcBorders>
            <w:shd w:val="clear" w:color="000000" w:fill="BFBFBF"/>
            <w:vAlign w:val="bottom"/>
            <w:hideMark/>
          </w:tcPr>
          <w:p w14:paraId="06DF79B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r>
      <w:tr w:rsidR="00D56E1C" w:rsidRPr="0026776F" w14:paraId="64E40275" w14:textId="77777777" w:rsidTr="00BB5571">
        <w:trPr>
          <w:trHeight w:val="4992"/>
        </w:trPr>
        <w:tc>
          <w:tcPr>
            <w:tcW w:w="1148" w:type="dxa"/>
            <w:tcBorders>
              <w:top w:val="nil"/>
              <w:left w:val="nil"/>
              <w:bottom w:val="nil"/>
              <w:right w:val="nil"/>
            </w:tcBorders>
            <w:shd w:val="clear" w:color="auto" w:fill="auto"/>
            <w:hideMark/>
          </w:tcPr>
          <w:p w14:paraId="7BC0FCD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Garry et al.</w:t>
            </w:r>
          </w:p>
        </w:tc>
        <w:tc>
          <w:tcPr>
            <w:tcW w:w="621" w:type="dxa"/>
            <w:tcBorders>
              <w:top w:val="nil"/>
              <w:left w:val="nil"/>
              <w:bottom w:val="nil"/>
              <w:right w:val="nil"/>
            </w:tcBorders>
            <w:shd w:val="clear" w:color="auto" w:fill="auto"/>
            <w:hideMark/>
          </w:tcPr>
          <w:p w14:paraId="35B1036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2002</w:t>
            </w:r>
          </w:p>
        </w:tc>
        <w:tc>
          <w:tcPr>
            <w:tcW w:w="859" w:type="dxa"/>
            <w:tcBorders>
              <w:top w:val="nil"/>
              <w:left w:val="nil"/>
              <w:bottom w:val="nil"/>
              <w:right w:val="nil"/>
            </w:tcBorders>
            <w:shd w:val="clear" w:color="auto" w:fill="auto"/>
            <w:hideMark/>
          </w:tcPr>
          <w:p w14:paraId="62DC2F8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341929B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Cross-sectional</w:t>
            </w:r>
          </w:p>
        </w:tc>
        <w:tc>
          <w:tcPr>
            <w:tcW w:w="1527" w:type="dxa"/>
            <w:tcBorders>
              <w:top w:val="nil"/>
              <w:left w:val="nil"/>
              <w:bottom w:val="nil"/>
              <w:right w:val="nil"/>
            </w:tcBorders>
            <w:shd w:val="clear" w:color="auto" w:fill="auto"/>
            <w:hideMark/>
          </w:tcPr>
          <w:p w14:paraId="4461FDC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1,532 children born to 695 families of male licensed pesticide applicators (98% participation) living in Red River Valley, Minnesota, 1991–1996</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14 cases with congenital central nervous system anomaly, 2 autism cases, 14 ADD/ADHD cases</w:t>
            </w:r>
          </w:p>
        </w:tc>
        <w:tc>
          <w:tcPr>
            <w:tcW w:w="2328" w:type="dxa"/>
            <w:tcBorders>
              <w:top w:val="nil"/>
              <w:left w:val="nil"/>
              <w:bottom w:val="nil"/>
              <w:right w:val="nil"/>
            </w:tcBorders>
            <w:shd w:val="clear" w:color="auto" w:fill="auto"/>
            <w:hideMark/>
          </w:tcPr>
          <w:p w14:paraId="7E51091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Control children without congenital anomalies, without autism, or without ADD/ADHD</w:t>
            </w:r>
          </w:p>
        </w:tc>
        <w:tc>
          <w:tcPr>
            <w:tcW w:w="2392" w:type="dxa"/>
            <w:tcBorders>
              <w:top w:val="nil"/>
              <w:left w:val="nil"/>
              <w:bottom w:val="nil"/>
              <w:right w:val="nil"/>
            </w:tcBorders>
            <w:shd w:val="clear" w:color="auto" w:fill="auto"/>
            <w:hideMark/>
          </w:tcPr>
          <w:p w14:paraId="05D69CB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Self-reported ever use of phosphonamino herbicides (glyphosate, Roundup) and other specific pesticides (number NR) in 15 pesticide classes reported by telephone interview, with reinterview by written questionnaire ~6 months later, surveyed in 1997–1998; phone survey data used in analysis in absence of written questionnaire data</w:t>
            </w:r>
          </w:p>
        </w:tc>
        <w:tc>
          <w:tcPr>
            <w:tcW w:w="1431" w:type="dxa"/>
            <w:tcBorders>
              <w:top w:val="nil"/>
              <w:left w:val="nil"/>
              <w:bottom w:val="nil"/>
              <w:right w:val="nil"/>
            </w:tcBorders>
            <w:shd w:val="clear" w:color="auto" w:fill="auto"/>
            <w:hideMark/>
          </w:tcPr>
          <w:p w14:paraId="1547A8FF"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Parental ever use of glyphosate (6 of 14 children with ADD/ADHD)</w:t>
            </w:r>
          </w:p>
        </w:tc>
        <w:tc>
          <w:tcPr>
            <w:tcW w:w="1229" w:type="dxa"/>
            <w:tcBorders>
              <w:top w:val="nil"/>
              <w:left w:val="nil"/>
              <w:bottom w:val="nil"/>
              <w:right w:val="nil"/>
            </w:tcBorders>
            <w:shd w:val="clear" w:color="auto" w:fill="auto"/>
            <w:hideMark/>
          </w:tcPr>
          <w:p w14:paraId="792B0A2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Congenital central nervous system anomaly, autism, ADD/ADHD</w:t>
            </w:r>
          </w:p>
        </w:tc>
        <w:tc>
          <w:tcPr>
            <w:tcW w:w="2380" w:type="dxa"/>
            <w:tcBorders>
              <w:top w:val="nil"/>
              <w:left w:val="nil"/>
              <w:bottom w:val="nil"/>
              <w:right w:val="nil"/>
            </w:tcBorders>
            <w:shd w:val="clear" w:color="auto" w:fill="auto"/>
            <w:hideMark/>
          </w:tcPr>
          <w:p w14:paraId="0331CAB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Congenital central nervous system anomaly, autism, or ADD/ADHD self-reported by written questionnaire, with confirmation of congenital anomalies (not autism or ADD/ADHD) based on birth certificate and medical records if possible </w:t>
            </w:r>
          </w:p>
        </w:tc>
        <w:tc>
          <w:tcPr>
            <w:tcW w:w="1707" w:type="dxa"/>
            <w:gridSpan w:val="2"/>
            <w:tcBorders>
              <w:top w:val="nil"/>
              <w:left w:val="nil"/>
              <w:bottom w:val="nil"/>
              <w:right w:val="nil"/>
            </w:tcBorders>
            <w:shd w:val="clear" w:color="auto" w:fill="auto"/>
            <w:hideMark/>
          </w:tcPr>
          <w:p w14:paraId="2839D59F"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NR</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Considered: mother's age, smoking status, alcohol use, season of conception, chronic diseases such as diabetes, pharmacologically treated hypertension, arthritis, occupations other than agriculture, residence at a rural site or on a farm during childhood</w:t>
            </w:r>
          </w:p>
        </w:tc>
        <w:tc>
          <w:tcPr>
            <w:tcW w:w="1572" w:type="dxa"/>
            <w:gridSpan w:val="2"/>
            <w:tcBorders>
              <w:top w:val="nil"/>
              <w:left w:val="nil"/>
              <w:bottom w:val="nil"/>
              <w:right w:val="nil"/>
            </w:tcBorders>
            <w:shd w:val="clear" w:color="auto" w:fill="auto"/>
            <w:hideMark/>
          </w:tcPr>
          <w:p w14:paraId="4DC50F2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"Regression analysis"</w:t>
            </w:r>
          </w:p>
        </w:tc>
        <w:tc>
          <w:tcPr>
            <w:tcW w:w="2366" w:type="dxa"/>
            <w:gridSpan w:val="2"/>
            <w:tcBorders>
              <w:top w:val="nil"/>
              <w:left w:val="nil"/>
              <w:bottom w:val="nil"/>
              <w:right w:val="nil"/>
            </w:tcBorders>
            <w:shd w:val="clear" w:color="auto" w:fill="auto"/>
            <w:hideMark/>
          </w:tcPr>
          <w:p w14:paraId="1BE231B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b/>
                <w:bCs/>
                <w:sz w:val="24"/>
                <w:szCs w:val="24"/>
                <w:lang w:eastAsia="en-US"/>
              </w:rPr>
              <w:t xml:space="preserve">Odds ratio, ADD/ADHD = 3.6 (1.35, 9.65)  </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sz w:val="24"/>
                <w:szCs w:val="24"/>
                <w:lang w:eastAsia="en-US"/>
              </w:rPr>
              <w:t>Congenital central nervous system anomaly: no association (NR)</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Autism: no association (NR)</w:t>
            </w:r>
          </w:p>
        </w:tc>
        <w:tc>
          <w:tcPr>
            <w:tcW w:w="1458" w:type="dxa"/>
            <w:gridSpan w:val="2"/>
            <w:tcBorders>
              <w:top w:val="nil"/>
              <w:left w:val="nil"/>
              <w:bottom w:val="nil"/>
              <w:right w:val="nil"/>
            </w:tcBorders>
            <w:shd w:val="clear" w:color="auto" w:fill="auto"/>
            <w:hideMark/>
          </w:tcPr>
          <w:p w14:paraId="4F9A135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 National Institute of Environmental Health Sciences, people of the State of Minnesota</w:t>
            </w:r>
          </w:p>
        </w:tc>
      </w:tr>
      <w:tr w:rsidR="00D56E1C" w:rsidRPr="0026776F" w14:paraId="7AB2D4F4" w14:textId="77777777" w:rsidTr="00BB5571">
        <w:trPr>
          <w:trHeight w:val="4680"/>
        </w:trPr>
        <w:tc>
          <w:tcPr>
            <w:tcW w:w="1148" w:type="dxa"/>
            <w:tcBorders>
              <w:top w:val="nil"/>
              <w:left w:val="nil"/>
              <w:bottom w:val="nil"/>
              <w:right w:val="nil"/>
            </w:tcBorders>
            <w:shd w:val="clear" w:color="auto" w:fill="auto"/>
            <w:hideMark/>
          </w:tcPr>
          <w:p w14:paraId="1A3F424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Nevison</w:t>
            </w:r>
          </w:p>
        </w:tc>
        <w:tc>
          <w:tcPr>
            <w:tcW w:w="621" w:type="dxa"/>
            <w:tcBorders>
              <w:top w:val="nil"/>
              <w:left w:val="nil"/>
              <w:bottom w:val="nil"/>
              <w:right w:val="nil"/>
            </w:tcBorders>
            <w:shd w:val="clear" w:color="auto" w:fill="auto"/>
            <w:hideMark/>
          </w:tcPr>
          <w:p w14:paraId="07DDAC35"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2014</w:t>
            </w:r>
          </w:p>
        </w:tc>
        <w:tc>
          <w:tcPr>
            <w:tcW w:w="859" w:type="dxa"/>
            <w:tcBorders>
              <w:top w:val="nil"/>
              <w:left w:val="nil"/>
              <w:bottom w:val="nil"/>
              <w:right w:val="nil"/>
            </w:tcBorders>
            <w:shd w:val="clear" w:color="auto" w:fill="auto"/>
            <w:hideMark/>
          </w:tcPr>
          <w:p w14:paraId="5E2412A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28EC0FE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Ecological</w:t>
            </w:r>
          </w:p>
        </w:tc>
        <w:tc>
          <w:tcPr>
            <w:tcW w:w="1527" w:type="dxa"/>
            <w:tcBorders>
              <w:top w:val="nil"/>
              <w:left w:val="nil"/>
              <w:bottom w:val="nil"/>
              <w:right w:val="nil"/>
            </w:tcBorders>
            <w:shd w:val="clear" w:color="auto" w:fill="auto"/>
            <w:hideMark/>
          </w:tcPr>
          <w:p w14:paraId="032B8B4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U.S. children with autism aged 6–17 y in 1991–2010 + age 5 y in 2000–2010 from Individuals with Disabilities Education Act database, and California children with autism aged ≥ 5 y as of </w:t>
            </w:r>
            <w:r w:rsidRPr="0026776F">
              <w:rPr>
                <w:rFonts w:ascii="Calibri Light" w:eastAsia="Times New Roman" w:hAnsi="Calibri Light" w:cs="Calibri Light"/>
                <w:sz w:val="24"/>
                <w:szCs w:val="24"/>
                <w:lang w:eastAsia="en-US"/>
              </w:rPr>
              <w:lastRenderedPageBreak/>
              <w:t>2002 and aged 5 y in 1995–2006 from California Department of Developmental Services</w:t>
            </w:r>
          </w:p>
        </w:tc>
        <w:tc>
          <w:tcPr>
            <w:tcW w:w="2328" w:type="dxa"/>
            <w:tcBorders>
              <w:top w:val="nil"/>
              <w:left w:val="nil"/>
              <w:bottom w:val="nil"/>
              <w:right w:val="nil"/>
            </w:tcBorders>
            <w:shd w:val="clear" w:color="auto" w:fill="auto"/>
            <w:hideMark/>
          </w:tcPr>
          <w:p w14:paraId="388A112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Temporal trends by birth year</w:t>
            </w:r>
          </w:p>
        </w:tc>
        <w:tc>
          <w:tcPr>
            <w:tcW w:w="2392" w:type="dxa"/>
            <w:tcBorders>
              <w:top w:val="nil"/>
              <w:left w:val="nil"/>
              <w:bottom w:val="nil"/>
              <w:right w:val="nil"/>
            </w:tcBorders>
            <w:shd w:val="clear" w:color="auto" w:fill="auto"/>
            <w:hideMark/>
          </w:tcPr>
          <w:p w14:paraId="23C01B0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Estimated annual application of glyphosate to genetically modified corn and soy crops (in units of 1,000 tons/y), based on U.S. Department of Agriculture state-level data on crop acreage, percentage of corn and soybean crops that are genetically engineered, and glyphosate application rates per acre; also evaluated trends in </w:t>
            </w:r>
            <w:r w:rsidRPr="0026776F">
              <w:rPr>
                <w:rFonts w:ascii="Calibri Light" w:eastAsia="Times New Roman" w:hAnsi="Calibri Light" w:cs="Calibri Light"/>
                <w:sz w:val="24"/>
                <w:szCs w:val="24"/>
                <w:lang w:eastAsia="en-US"/>
              </w:rPr>
              <w:lastRenderedPageBreak/>
              <w:t>various other pesticides, chemicals, and substances</w:t>
            </w:r>
          </w:p>
        </w:tc>
        <w:tc>
          <w:tcPr>
            <w:tcW w:w="1431" w:type="dxa"/>
            <w:tcBorders>
              <w:top w:val="nil"/>
              <w:left w:val="nil"/>
              <w:bottom w:val="nil"/>
              <w:right w:val="nil"/>
            </w:tcBorders>
            <w:shd w:val="clear" w:color="auto" w:fill="auto"/>
            <w:hideMark/>
          </w:tcPr>
          <w:p w14:paraId="1BD88AB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Not applicable</w:t>
            </w:r>
          </w:p>
        </w:tc>
        <w:tc>
          <w:tcPr>
            <w:tcW w:w="1229" w:type="dxa"/>
            <w:tcBorders>
              <w:top w:val="nil"/>
              <w:left w:val="nil"/>
              <w:bottom w:val="nil"/>
              <w:right w:val="nil"/>
            </w:tcBorders>
            <w:shd w:val="clear" w:color="auto" w:fill="auto"/>
            <w:hideMark/>
          </w:tcPr>
          <w:p w14:paraId="5D4E85C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Autism</w:t>
            </w:r>
          </w:p>
        </w:tc>
        <w:tc>
          <w:tcPr>
            <w:tcW w:w="2380" w:type="dxa"/>
            <w:tcBorders>
              <w:top w:val="nil"/>
              <w:left w:val="nil"/>
              <w:bottom w:val="nil"/>
              <w:right w:val="nil"/>
            </w:tcBorders>
            <w:shd w:val="clear" w:color="auto" w:fill="auto"/>
            <w:hideMark/>
          </w:tcPr>
          <w:p w14:paraId="286E90A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Autism prevalence by year of birth ascertained based on counts from Individuals with Disabilities Education Act database and California Department of Developmental Services, divided by statewide grade-specific public school populations from National Center for Education Statistics annual reports in 1991–2010, with </w:t>
            </w:r>
            <w:r w:rsidRPr="0026776F">
              <w:rPr>
                <w:rFonts w:ascii="Calibri Light" w:eastAsia="Times New Roman" w:hAnsi="Calibri Light" w:cs="Calibri Light"/>
                <w:sz w:val="24"/>
                <w:szCs w:val="24"/>
                <w:lang w:eastAsia="en-US"/>
              </w:rPr>
              <w:lastRenderedPageBreak/>
              <w:t>denominator adjusted upward by 14% to account for private school populations</w:t>
            </w:r>
          </w:p>
        </w:tc>
        <w:tc>
          <w:tcPr>
            <w:tcW w:w="1707" w:type="dxa"/>
            <w:gridSpan w:val="2"/>
            <w:tcBorders>
              <w:top w:val="nil"/>
              <w:left w:val="nil"/>
              <w:bottom w:val="nil"/>
              <w:right w:val="nil"/>
            </w:tcBorders>
            <w:shd w:val="clear" w:color="auto" w:fill="auto"/>
            <w:hideMark/>
          </w:tcPr>
          <w:p w14:paraId="34AF8E4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None</w:t>
            </w:r>
          </w:p>
        </w:tc>
        <w:tc>
          <w:tcPr>
            <w:tcW w:w="1572" w:type="dxa"/>
            <w:gridSpan w:val="2"/>
            <w:tcBorders>
              <w:top w:val="nil"/>
              <w:left w:val="nil"/>
              <w:bottom w:val="nil"/>
              <w:right w:val="nil"/>
            </w:tcBorders>
            <w:shd w:val="clear" w:color="auto" w:fill="auto"/>
            <w:hideMark/>
          </w:tcPr>
          <w:p w14:paraId="4DF274E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Correlation coefficient</w:t>
            </w:r>
          </w:p>
        </w:tc>
        <w:tc>
          <w:tcPr>
            <w:tcW w:w="2366" w:type="dxa"/>
            <w:gridSpan w:val="2"/>
            <w:tcBorders>
              <w:top w:val="nil"/>
              <w:left w:val="nil"/>
              <w:bottom w:val="nil"/>
              <w:right w:val="nil"/>
            </w:tcBorders>
            <w:shd w:val="clear" w:color="auto" w:fill="auto"/>
            <w:hideMark/>
          </w:tcPr>
          <w:p w14:paraId="697B17A8"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Correlation ρ, California 2002 = 0.75, p &lt; 0.05</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Correlation ρ, U.S. = 0.92, p &lt; 0.05</w:t>
            </w:r>
          </w:p>
        </w:tc>
        <w:tc>
          <w:tcPr>
            <w:tcW w:w="1458" w:type="dxa"/>
            <w:gridSpan w:val="2"/>
            <w:tcBorders>
              <w:top w:val="nil"/>
              <w:left w:val="nil"/>
              <w:bottom w:val="nil"/>
              <w:right w:val="nil"/>
            </w:tcBorders>
            <w:shd w:val="clear" w:color="auto" w:fill="auto"/>
            <w:hideMark/>
          </w:tcPr>
          <w:p w14:paraId="3247772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None; study conducted by author as volunteer for SafeMinds Environmental Research Committee</w:t>
            </w:r>
          </w:p>
        </w:tc>
      </w:tr>
      <w:tr w:rsidR="00D56E1C" w:rsidRPr="0026776F" w14:paraId="42B36192" w14:textId="77777777" w:rsidTr="00BB5571">
        <w:trPr>
          <w:trHeight w:val="6864"/>
        </w:trPr>
        <w:tc>
          <w:tcPr>
            <w:tcW w:w="1148" w:type="dxa"/>
            <w:tcBorders>
              <w:top w:val="nil"/>
              <w:left w:val="nil"/>
              <w:bottom w:val="nil"/>
              <w:right w:val="nil"/>
            </w:tcBorders>
            <w:shd w:val="clear" w:color="auto" w:fill="auto"/>
            <w:hideMark/>
          </w:tcPr>
          <w:p w14:paraId="39A080E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Rull et al.</w:t>
            </w:r>
          </w:p>
        </w:tc>
        <w:tc>
          <w:tcPr>
            <w:tcW w:w="621" w:type="dxa"/>
            <w:tcBorders>
              <w:top w:val="nil"/>
              <w:left w:val="nil"/>
              <w:bottom w:val="nil"/>
              <w:right w:val="nil"/>
            </w:tcBorders>
            <w:shd w:val="clear" w:color="auto" w:fill="auto"/>
            <w:hideMark/>
          </w:tcPr>
          <w:p w14:paraId="5D7E569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2006</w:t>
            </w:r>
          </w:p>
        </w:tc>
        <w:tc>
          <w:tcPr>
            <w:tcW w:w="859" w:type="dxa"/>
            <w:tcBorders>
              <w:top w:val="nil"/>
              <w:left w:val="nil"/>
              <w:bottom w:val="nil"/>
              <w:right w:val="nil"/>
            </w:tcBorders>
            <w:shd w:val="clear" w:color="auto" w:fill="auto"/>
            <w:hideMark/>
          </w:tcPr>
          <w:p w14:paraId="52CDBB6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399BF7C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Population-based case-control</w:t>
            </w:r>
          </w:p>
        </w:tc>
        <w:tc>
          <w:tcPr>
            <w:tcW w:w="1527" w:type="dxa"/>
            <w:tcBorders>
              <w:top w:val="nil"/>
              <w:left w:val="nil"/>
              <w:bottom w:val="nil"/>
              <w:right w:val="nil"/>
            </w:tcBorders>
            <w:shd w:val="clear" w:color="auto" w:fill="auto"/>
            <w:hideMark/>
          </w:tcPr>
          <w:p w14:paraId="2F7D431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731 neural tube defect cases (including elective terminations) identified by California Birth Defects Monitoring Program, sampled from singleton liveborn infants and fetal deaths delivered 1987–1988 to women in most California counties (84% participation), and 1989–</w:t>
            </w:r>
            <w:r w:rsidRPr="0026776F">
              <w:rPr>
                <w:rFonts w:ascii="Calibri Light" w:eastAsia="Times New Roman" w:hAnsi="Calibri Light" w:cs="Calibri Light"/>
                <w:sz w:val="24"/>
                <w:szCs w:val="24"/>
                <w:lang w:eastAsia="en-US"/>
              </w:rPr>
              <w:lastRenderedPageBreak/>
              <w:t>1991 in all California counties except Los Angeles, Ventura, and Riverside (88% participation)</w:t>
            </w:r>
          </w:p>
        </w:tc>
        <w:tc>
          <w:tcPr>
            <w:tcW w:w="2328" w:type="dxa"/>
            <w:tcBorders>
              <w:top w:val="nil"/>
              <w:left w:val="nil"/>
              <w:bottom w:val="nil"/>
              <w:right w:val="nil"/>
            </w:tcBorders>
            <w:shd w:val="clear" w:color="auto" w:fill="auto"/>
            <w:hideMark/>
          </w:tcPr>
          <w:p w14:paraId="7383B33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940 controls without neural tube defects sampled from same sources (74% and 88% participation)</w:t>
            </w:r>
          </w:p>
        </w:tc>
        <w:tc>
          <w:tcPr>
            <w:tcW w:w="2392" w:type="dxa"/>
            <w:tcBorders>
              <w:top w:val="nil"/>
              <w:left w:val="nil"/>
              <w:bottom w:val="nil"/>
              <w:right w:val="nil"/>
            </w:tcBorders>
            <w:shd w:val="clear" w:color="auto" w:fill="auto"/>
            <w:hideMark/>
          </w:tcPr>
          <w:p w14:paraId="1E7FAB2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Residential proximity (yes or no) using self-reported address(es) during 2-month periconceptional period (geocoded for 92% of cases, 94% of controls) within 1,000 m of agricultural applications of glyphosate and 58 other specific pesticides, identified from pesticide use reports submitted to California Department of Pesticide Regulation in 1986–1991, linked to countywide land-use surveys from California Department of Water Resources conducted every 7–10 y, based on survey </w:t>
            </w:r>
            <w:r w:rsidRPr="0026776F">
              <w:rPr>
                <w:rFonts w:ascii="Calibri Light" w:eastAsia="Times New Roman" w:hAnsi="Calibri Light" w:cs="Calibri Light"/>
                <w:sz w:val="24"/>
                <w:szCs w:val="24"/>
                <w:lang w:eastAsia="en-US"/>
              </w:rPr>
              <w:lastRenderedPageBreak/>
              <w:t>closest to year of conception</w:t>
            </w:r>
          </w:p>
        </w:tc>
        <w:tc>
          <w:tcPr>
            <w:tcW w:w="1431" w:type="dxa"/>
            <w:tcBorders>
              <w:top w:val="nil"/>
              <w:left w:val="nil"/>
              <w:bottom w:val="nil"/>
              <w:right w:val="nil"/>
            </w:tcBorders>
            <w:shd w:val="clear" w:color="auto" w:fill="auto"/>
            <w:hideMark/>
          </w:tcPr>
          <w:p w14:paraId="22D61DB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Residential proximity during periconception period within 1,000 m of agricultural crops treated with glyphosate (45 cases, 33 controls)</w:t>
            </w:r>
          </w:p>
        </w:tc>
        <w:tc>
          <w:tcPr>
            <w:tcW w:w="1229" w:type="dxa"/>
            <w:tcBorders>
              <w:top w:val="nil"/>
              <w:left w:val="nil"/>
              <w:bottom w:val="nil"/>
              <w:right w:val="nil"/>
            </w:tcBorders>
            <w:shd w:val="clear" w:color="auto" w:fill="auto"/>
            <w:hideMark/>
          </w:tcPr>
          <w:p w14:paraId="0B3F86F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Neural tube defects</w:t>
            </w:r>
          </w:p>
        </w:tc>
        <w:tc>
          <w:tcPr>
            <w:tcW w:w="2380" w:type="dxa"/>
            <w:tcBorders>
              <w:top w:val="nil"/>
              <w:left w:val="nil"/>
              <w:bottom w:val="nil"/>
              <w:right w:val="nil"/>
            </w:tcBorders>
            <w:shd w:val="clear" w:color="auto" w:fill="auto"/>
            <w:hideMark/>
          </w:tcPr>
          <w:p w14:paraId="1F29B17C" w14:textId="0D4E42E9"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Confirmed diagnosis of anencephaly, spina bifida cystica, </w:t>
            </w:r>
            <w:r w:rsidR="00822A18" w:rsidRPr="00822A18">
              <w:rPr>
                <w:rFonts w:ascii="Calibri Light" w:eastAsia="Times New Roman" w:hAnsi="Calibri Light" w:cs="Calibri Light"/>
                <w:sz w:val="24"/>
                <w:szCs w:val="24"/>
                <w:lang w:eastAsia="en-US"/>
              </w:rPr>
              <w:t>craniorachischisis</w:t>
            </w:r>
            <w:r w:rsidRPr="0026776F">
              <w:rPr>
                <w:rFonts w:ascii="Calibri Light" w:eastAsia="Times New Roman" w:hAnsi="Calibri Light" w:cs="Calibri Light"/>
                <w:sz w:val="24"/>
                <w:szCs w:val="24"/>
                <w:lang w:eastAsia="en-US"/>
              </w:rPr>
              <w:t>, or iniencephaly, ascertained from California Birth Defects Monitoring Program</w:t>
            </w:r>
          </w:p>
        </w:tc>
        <w:tc>
          <w:tcPr>
            <w:tcW w:w="1707" w:type="dxa"/>
            <w:gridSpan w:val="2"/>
            <w:tcBorders>
              <w:top w:val="nil"/>
              <w:left w:val="nil"/>
              <w:bottom w:val="nil"/>
              <w:right w:val="nil"/>
            </w:tcBorders>
            <w:shd w:val="clear" w:color="auto" w:fill="auto"/>
            <w:hideMark/>
          </w:tcPr>
          <w:p w14:paraId="1D8AB04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study period, maternal race/ethnicity, education, periconceptional smoking, vitamin use, all other pesticides and physicochemical categories of pesticides in hierarchical model</w:t>
            </w:r>
          </w:p>
        </w:tc>
        <w:tc>
          <w:tcPr>
            <w:tcW w:w="1572" w:type="dxa"/>
            <w:gridSpan w:val="2"/>
            <w:tcBorders>
              <w:top w:val="nil"/>
              <w:left w:val="nil"/>
              <w:bottom w:val="nil"/>
              <w:right w:val="nil"/>
            </w:tcBorders>
            <w:shd w:val="clear" w:color="auto" w:fill="auto"/>
            <w:hideMark/>
          </w:tcPr>
          <w:p w14:paraId="6C99392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Two-stage hierarchical multivariable logistic regression, with all pesticides and covariates of interest in conventional dichotomous or polytomous stage 1, and pesticide-specific maximum-likelihood coefficients from first-stage model regressed on linear model with 12 dichotomous </w:t>
            </w:r>
            <w:r w:rsidRPr="0026776F">
              <w:rPr>
                <w:rFonts w:ascii="Calibri Light" w:eastAsia="Times New Roman" w:hAnsi="Calibri Light" w:cs="Calibri Light"/>
                <w:sz w:val="24"/>
                <w:szCs w:val="24"/>
                <w:lang w:eastAsia="en-US"/>
              </w:rPr>
              <w:lastRenderedPageBreak/>
              <w:t>indicator variables of physicochemical categories containing ≥ 2 pesticides each in stage 2</w:t>
            </w:r>
          </w:p>
        </w:tc>
        <w:tc>
          <w:tcPr>
            <w:tcW w:w="2366" w:type="dxa"/>
            <w:gridSpan w:val="2"/>
            <w:tcBorders>
              <w:top w:val="nil"/>
              <w:left w:val="nil"/>
              <w:bottom w:val="nil"/>
              <w:right w:val="nil"/>
            </w:tcBorders>
            <w:shd w:val="clear" w:color="auto" w:fill="auto"/>
            <w:hideMark/>
          </w:tcPr>
          <w:p w14:paraId="4D338C0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Odds ratio, single-pesticide model = 1.5 (1.0, 2.4)</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multiple-pesticide model = 1.5 (0.8, 2.9)</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hierarchical multiple-pesticide model = 1.4 (0.8, 2.5)</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"We also observed subtype associations between anencephaly and … glyphosate" (results NR)</w:t>
            </w:r>
          </w:p>
        </w:tc>
        <w:tc>
          <w:tcPr>
            <w:tcW w:w="1458" w:type="dxa"/>
            <w:gridSpan w:val="2"/>
            <w:tcBorders>
              <w:top w:val="nil"/>
              <w:left w:val="nil"/>
              <w:bottom w:val="nil"/>
              <w:right w:val="nil"/>
            </w:tcBorders>
            <w:shd w:val="clear" w:color="auto" w:fill="auto"/>
            <w:hideMark/>
          </w:tcPr>
          <w:p w14:paraId="4D90AFC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NR</w:t>
            </w:r>
          </w:p>
        </w:tc>
      </w:tr>
      <w:tr w:rsidR="00D56E1C" w:rsidRPr="0026776F" w14:paraId="20AAE435" w14:textId="77777777" w:rsidTr="00BB5571">
        <w:trPr>
          <w:trHeight w:val="8192"/>
        </w:trPr>
        <w:tc>
          <w:tcPr>
            <w:tcW w:w="1148" w:type="dxa"/>
            <w:tcBorders>
              <w:top w:val="nil"/>
              <w:left w:val="nil"/>
              <w:bottom w:val="nil"/>
              <w:right w:val="nil"/>
            </w:tcBorders>
            <w:shd w:val="clear" w:color="auto" w:fill="auto"/>
            <w:hideMark/>
          </w:tcPr>
          <w:p w14:paraId="76B2EB7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von Ehrenstein et al.</w:t>
            </w:r>
          </w:p>
        </w:tc>
        <w:tc>
          <w:tcPr>
            <w:tcW w:w="621" w:type="dxa"/>
            <w:tcBorders>
              <w:top w:val="nil"/>
              <w:left w:val="nil"/>
              <w:bottom w:val="nil"/>
              <w:right w:val="nil"/>
            </w:tcBorders>
            <w:shd w:val="clear" w:color="auto" w:fill="auto"/>
            <w:hideMark/>
          </w:tcPr>
          <w:p w14:paraId="48FF19E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2019</w:t>
            </w:r>
          </w:p>
        </w:tc>
        <w:tc>
          <w:tcPr>
            <w:tcW w:w="859" w:type="dxa"/>
            <w:tcBorders>
              <w:top w:val="nil"/>
              <w:left w:val="nil"/>
              <w:bottom w:val="nil"/>
              <w:right w:val="nil"/>
            </w:tcBorders>
            <w:shd w:val="clear" w:color="auto" w:fill="auto"/>
            <w:hideMark/>
          </w:tcPr>
          <w:p w14:paraId="7D909FA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304AD95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Population-based case-control</w:t>
            </w:r>
          </w:p>
        </w:tc>
        <w:tc>
          <w:tcPr>
            <w:tcW w:w="1527" w:type="dxa"/>
            <w:tcBorders>
              <w:top w:val="nil"/>
              <w:left w:val="nil"/>
              <w:bottom w:val="nil"/>
              <w:right w:val="nil"/>
            </w:tcBorders>
            <w:shd w:val="clear" w:color="auto" w:fill="auto"/>
            <w:hideMark/>
          </w:tcPr>
          <w:p w14:paraId="42808D4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2,961 autism spectrum disorder cases (445 with intellectual disability comorbidity, 2,516 without) identified from registry maintained at California Department of Developmental Services, including children born in eight major agricultural counties of Central Valley, California, in 1998–2010, based on probabilistic linkage to California birth records at Office of Vital Statistics; linkage rate 86.3%</w:t>
            </w:r>
          </w:p>
        </w:tc>
        <w:tc>
          <w:tcPr>
            <w:tcW w:w="2328" w:type="dxa"/>
            <w:tcBorders>
              <w:top w:val="nil"/>
              <w:left w:val="nil"/>
              <w:bottom w:val="nil"/>
              <w:right w:val="nil"/>
            </w:tcBorders>
            <w:shd w:val="clear" w:color="auto" w:fill="auto"/>
            <w:hideMark/>
          </w:tcPr>
          <w:p w14:paraId="58B90994" w14:textId="77777777" w:rsidR="0026776F" w:rsidRPr="0026776F" w:rsidRDefault="0026776F" w:rsidP="0026776F">
            <w:pPr>
              <w:spacing w:after="240"/>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35,370 controls without autism spectrum disorder randomly matched 10:1 to cases by birth year and sex, identified from California birth records in same counties and birth years</w:t>
            </w:r>
          </w:p>
        </w:tc>
        <w:tc>
          <w:tcPr>
            <w:tcW w:w="2392" w:type="dxa"/>
            <w:tcBorders>
              <w:top w:val="nil"/>
              <w:left w:val="nil"/>
              <w:bottom w:val="nil"/>
              <w:right w:val="nil"/>
            </w:tcBorders>
            <w:shd w:val="clear" w:color="auto" w:fill="auto"/>
            <w:hideMark/>
          </w:tcPr>
          <w:p w14:paraId="4DB1475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Residential proximity (yes or no) using birth address within 2,000 or 2,500 m of agricultural applications of glyphosate and 10 other specific pesticides identified from pesticide use reports submitted to California Department of Pesticide Regulation, linked to countywide land-use surveys from California Department of Water Resources, with monthly average pounds applied per acre generated by geographic information system and applied to 3-month pre-conception period, gestational period by month, and first year of life </w:t>
            </w:r>
          </w:p>
        </w:tc>
        <w:tc>
          <w:tcPr>
            <w:tcW w:w="1431" w:type="dxa"/>
            <w:tcBorders>
              <w:top w:val="nil"/>
              <w:left w:val="nil"/>
              <w:bottom w:val="nil"/>
              <w:right w:val="nil"/>
            </w:tcBorders>
            <w:shd w:val="clear" w:color="auto" w:fill="auto"/>
            <w:hideMark/>
          </w:tcPr>
          <w:p w14:paraId="250B710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Residential proximity at birth within 2,000 m (2,500 m in sensitivity analyses) of agricultural crops treated with glyphosate in 3 months before pregnancy, during pregnancy, or in first year of life (2,293 cases, 26,660 controls during pregnancy; 2,256 cases, 26,390 controls during first year of life)</w:t>
            </w:r>
          </w:p>
        </w:tc>
        <w:tc>
          <w:tcPr>
            <w:tcW w:w="1229" w:type="dxa"/>
            <w:tcBorders>
              <w:top w:val="nil"/>
              <w:left w:val="nil"/>
              <w:bottom w:val="nil"/>
              <w:right w:val="nil"/>
            </w:tcBorders>
            <w:shd w:val="clear" w:color="auto" w:fill="auto"/>
            <w:hideMark/>
          </w:tcPr>
          <w:p w14:paraId="42FC2D3A"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Autism spectrum disorder, with or without intellectual disability</w:t>
            </w:r>
          </w:p>
        </w:tc>
        <w:tc>
          <w:tcPr>
            <w:tcW w:w="2380" w:type="dxa"/>
            <w:tcBorders>
              <w:top w:val="nil"/>
              <w:left w:val="nil"/>
              <w:bottom w:val="nil"/>
              <w:right w:val="nil"/>
            </w:tcBorders>
            <w:shd w:val="clear" w:color="auto" w:fill="auto"/>
            <w:hideMark/>
          </w:tcPr>
          <w:p w14:paraId="5F5FE46F" w14:textId="77777777" w:rsidR="0026776F" w:rsidRPr="0026776F" w:rsidRDefault="0026776F" w:rsidP="0026776F">
            <w:pPr>
              <w:spacing w:after="240"/>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Autism spectrum disorder ascertained from California Department of Developmental Services through contracted regional centers, following diagnostic criteria of the </w:t>
            </w:r>
            <w:r w:rsidRPr="0026776F">
              <w:rPr>
                <w:rFonts w:ascii="Calibri Light" w:eastAsia="Times New Roman" w:hAnsi="Calibri Light" w:cs="Calibri Light"/>
                <w:i/>
                <w:iCs/>
                <w:sz w:val="24"/>
                <w:szCs w:val="24"/>
                <w:lang w:eastAsia="en-US"/>
              </w:rPr>
              <w:t>Diagnostic and Statistical Manual of Mental Disorders</w:t>
            </w:r>
            <w:r w:rsidRPr="0026776F">
              <w:rPr>
                <w:rFonts w:ascii="Calibri Light" w:eastAsia="Times New Roman" w:hAnsi="Calibri Light" w:cs="Calibri Light"/>
                <w:sz w:val="24"/>
                <w:szCs w:val="24"/>
                <w:lang w:eastAsia="en-US"/>
              </w:rPr>
              <w:t>, fourth edition (DSM-IV); comorbid intellectual disability diagnosed according to DSM-IV criteria corresponding to International Classification of Diseases, 9th revision, code for "mental retardation"</w:t>
            </w:r>
          </w:p>
        </w:tc>
        <w:tc>
          <w:tcPr>
            <w:tcW w:w="1707" w:type="dxa"/>
            <w:gridSpan w:val="2"/>
            <w:tcBorders>
              <w:top w:val="nil"/>
              <w:left w:val="nil"/>
              <w:bottom w:val="nil"/>
              <w:right w:val="nil"/>
            </w:tcBorders>
            <w:shd w:val="clear" w:color="auto" w:fill="auto"/>
            <w:hideMark/>
          </w:tcPr>
          <w:p w14:paraId="7CCB526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year of birth, sex, maternal race/ethnicity, maternal age, maternal education, modeled ambient nitrogen oxides concentration within 1,500 m of birth address; in some models: residential proximity during three periods (periconception, pregnancy, first year of life), residential proximity to up to 2 other associated pesticides</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Considered: maternal birthplace, urban vs. rural residence, census-based socioeconomic status, source of payment for delivery, preterm birth</w:t>
            </w:r>
          </w:p>
        </w:tc>
        <w:tc>
          <w:tcPr>
            <w:tcW w:w="1572" w:type="dxa"/>
            <w:gridSpan w:val="2"/>
            <w:tcBorders>
              <w:top w:val="nil"/>
              <w:left w:val="nil"/>
              <w:bottom w:val="nil"/>
              <w:right w:val="nil"/>
            </w:tcBorders>
            <w:shd w:val="clear" w:color="auto" w:fill="auto"/>
            <w:hideMark/>
          </w:tcPr>
          <w:p w14:paraId="1F25690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Multivariable logistic regression; semi-Bayesian hierarchical models in sensitivity analyses (not shown)</w:t>
            </w:r>
          </w:p>
        </w:tc>
        <w:tc>
          <w:tcPr>
            <w:tcW w:w="2366" w:type="dxa"/>
            <w:gridSpan w:val="2"/>
            <w:tcBorders>
              <w:top w:val="nil"/>
              <w:left w:val="nil"/>
              <w:bottom w:val="nil"/>
              <w:right w:val="nil"/>
            </w:tcBorders>
            <w:shd w:val="clear" w:color="auto" w:fill="auto"/>
            <w:hideMark/>
          </w:tcPr>
          <w:p w14:paraId="793BE89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Autism spectrum disorder with or without intellectual disability:</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3 months before pregnancy, adjusted for other periods = 0.97 (0.87, 1.08)</w:t>
            </w:r>
            <w:r w:rsidRPr="0026776F">
              <w:rPr>
                <w:rFonts w:ascii="Calibri Light" w:eastAsia="Times New Roman" w:hAnsi="Calibri Light" w:cs="Calibri Light"/>
                <w:sz w:val="24"/>
                <w:szCs w:val="24"/>
                <w:lang w:eastAsia="en-US"/>
              </w:rPr>
              <w:br/>
              <w:t>Odds ratio, during pregnancy, adjusted for other periods = 1.11 (0.96, 1.28)</w:t>
            </w:r>
            <w:r w:rsidRPr="0026776F">
              <w:rPr>
                <w:rFonts w:ascii="Calibri Light" w:eastAsia="Times New Roman" w:hAnsi="Calibri Light" w:cs="Calibri Light"/>
                <w:sz w:val="24"/>
                <w:szCs w:val="24"/>
                <w:lang w:eastAsia="en-US"/>
              </w:rPr>
              <w:br/>
              <w:t>Odds ratio, first year, adjusted for other periods = 1.09 (0.94, 1.26)</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b/>
                <w:bCs/>
                <w:sz w:val="24"/>
                <w:szCs w:val="24"/>
                <w:lang w:eastAsia="en-US"/>
              </w:rPr>
              <w:t>Odds ratio, during pregnancy = 1.16 (1.06, 1.27)</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sz w:val="24"/>
                <w:szCs w:val="24"/>
                <w:lang w:eastAsia="en-US"/>
              </w:rPr>
              <w:t>Odds ratio, during pregnancy, adjusted for 10 other pesticides = 1.12 (0.99, 1.27)</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b/>
                <w:bCs/>
                <w:sz w:val="24"/>
                <w:szCs w:val="24"/>
                <w:lang w:eastAsia="en-US"/>
              </w:rPr>
              <w:t>Odds ratio, during pregnancy, adjusted for permethrin = 1.14 (1.03, 1.26)</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sz w:val="24"/>
                <w:szCs w:val="24"/>
                <w:lang w:eastAsia="en-US"/>
              </w:rPr>
              <w:t>Odds ratio, during pregnancy, adjusted for permethrin and chlorpyrifos = 1.09 (0.98, 1.23)</w:t>
            </w:r>
            <w:r w:rsidRPr="0026776F">
              <w:rPr>
                <w:rFonts w:ascii="Calibri Light" w:eastAsia="Times New Roman" w:hAnsi="Calibri Light" w:cs="Calibri Light"/>
                <w:b/>
                <w:bCs/>
                <w:sz w:val="24"/>
                <w:szCs w:val="24"/>
                <w:lang w:eastAsia="en-US"/>
              </w:rPr>
              <w:br/>
              <w:t>Odds ratio, during pregnancy, adjusted for permethrin and myclobutanil = 1.16 (1.04, 1.29)</w:t>
            </w:r>
            <w:r w:rsidRPr="0026776F">
              <w:rPr>
                <w:rFonts w:ascii="Calibri Light" w:eastAsia="Times New Roman" w:hAnsi="Calibri Light" w:cs="Calibri Light"/>
                <w:b/>
                <w:bCs/>
                <w:sz w:val="24"/>
                <w:szCs w:val="24"/>
                <w:lang w:eastAsia="en-US"/>
              </w:rPr>
              <w:br/>
              <w:t xml:space="preserve">Odds ratio, during </w:t>
            </w:r>
            <w:r w:rsidRPr="0026776F">
              <w:rPr>
                <w:rFonts w:ascii="Calibri Light" w:eastAsia="Times New Roman" w:hAnsi="Calibri Light" w:cs="Calibri Light"/>
                <w:b/>
                <w:bCs/>
                <w:sz w:val="24"/>
                <w:szCs w:val="24"/>
                <w:lang w:eastAsia="en-US"/>
              </w:rPr>
              <w:lastRenderedPageBreak/>
              <w:t>pregnancy, adjusted for permethrin and methyl bromide = 1.14 (1.04, 1.26)</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b/>
                <w:bCs/>
                <w:sz w:val="24"/>
                <w:szCs w:val="24"/>
                <w:lang w:eastAsia="en-US"/>
              </w:rPr>
              <w:t>Odds ratio, first year = 1.15 (1.05, 1.26)</w:t>
            </w:r>
            <w:r w:rsidRPr="0026776F">
              <w:rPr>
                <w:rFonts w:ascii="Calibri Light" w:eastAsia="Times New Roman" w:hAnsi="Calibri Light" w:cs="Calibri Light"/>
                <w:b/>
                <w:bCs/>
                <w:sz w:val="24"/>
                <w:szCs w:val="24"/>
                <w:lang w:eastAsia="en-US"/>
              </w:rPr>
              <w:br/>
              <w:t>Odds ratio, first year, adjusted for 10 other pesticides = 1.17 (1.04, 1.32)</w:t>
            </w:r>
          </w:p>
        </w:tc>
        <w:tc>
          <w:tcPr>
            <w:tcW w:w="1458" w:type="dxa"/>
            <w:gridSpan w:val="2"/>
            <w:tcBorders>
              <w:top w:val="nil"/>
              <w:left w:val="nil"/>
              <w:bottom w:val="nil"/>
              <w:right w:val="nil"/>
            </w:tcBorders>
            <w:shd w:val="clear" w:color="auto" w:fill="auto"/>
            <w:hideMark/>
          </w:tcPr>
          <w:p w14:paraId="0A56028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U.S. National Institute of Environmental Health Sciences</w:t>
            </w:r>
          </w:p>
        </w:tc>
      </w:tr>
      <w:tr w:rsidR="00D56E1C" w:rsidRPr="0026776F" w14:paraId="0EC9F1A2" w14:textId="77777777" w:rsidTr="00BB5571">
        <w:trPr>
          <w:trHeight w:val="8192"/>
        </w:trPr>
        <w:tc>
          <w:tcPr>
            <w:tcW w:w="1148" w:type="dxa"/>
            <w:tcBorders>
              <w:top w:val="nil"/>
              <w:left w:val="nil"/>
              <w:bottom w:val="nil"/>
              <w:right w:val="nil"/>
            </w:tcBorders>
            <w:shd w:val="clear" w:color="auto" w:fill="auto"/>
            <w:hideMark/>
          </w:tcPr>
          <w:p w14:paraId="57019AD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von Ehrenstein et al. (continued)</w:t>
            </w:r>
          </w:p>
        </w:tc>
        <w:tc>
          <w:tcPr>
            <w:tcW w:w="621" w:type="dxa"/>
            <w:tcBorders>
              <w:top w:val="nil"/>
              <w:left w:val="nil"/>
              <w:bottom w:val="nil"/>
              <w:right w:val="nil"/>
            </w:tcBorders>
            <w:shd w:val="clear" w:color="auto" w:fill="auto"/>
            <w:hideMark/>
          </w:tcPr>
          <w:p w14:paraId="739D54C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2019</w:t>
            </w:r>
          </w:p>
        </w:tc>
        <w:tc>
          <w:tcPr>
            <w:tcW w:w="859" w:type="dxa"/>
            <w:tcBorders>
              <w:top w:val="nil"/>
              <w:left w:val="nil"/>
              <w:bottom w:val="nil"/>
              <w:right w:val="nil"/>
            </w:tcBorders>
            <w:shd w:val="clear" w:color="auto" w:fill="auto"/>
            <w:hideMark/>
          </w:tcPr>
          <w:p w14:paraId="75C99AF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1155" w:type="dxa"/>
            <w:tcBorders>
              <w:top w:val="nil"/>
              <w:left w:val="nil"/>
              <w:bottom w:val="nil"/>
              <w:right w:val="nil"/>
            </w:tcBorders>
            <w:shd w:val="clear" w:color="auto" w:fill="auto"/>
            <w:hideMark/>
          </w:tcPr>
          <w:p w14:paraId="524A3B8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1527" w:type="dxa"/>
            <w:tcBorders>
              <w:top w:val="nil"/>
              <w:left w:val="nil"/>
              <w:bottom w:val="nil"/>
              <w:right w:val="nil"/>
            </w:tcBorders>
            <w:shd w:val="clear" w:color="auto" w:fill="auto"/>
            <w:hideMark/>
          </w:tcPr>
          <w:p w14:paraId="04D9E55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2328" w:type="dxa"/>
            <w:tcBorders>
              <w:top w:val="nil"/>
              <w:left w:val="nil"/>
              <w:bottom w:val="nil"/>
              <w:right w:val="nil"/>
            </w:tcBorders>
            <w:shd w:val="clear" w:color="auto" w:fill="auto"/>
            <w:hideMark/>
          </w:tcPr>
          <w:p w14:paraId="363FD86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2392" w:type="dxa"/>
            <w:tcBorders>
              <w:top w:val="nil"/>
              <w:left w:val="nil"/>
              <w:bottom w:val="nil"/>
              <w:right w:val="nil"/>
            </w:tcBorders>
            <w:shd w:val="clear" w:color="auto" w:fill="auto"/>
            <w:hideMark/>
          </w:tcPr>
          <w:p w14:paraId="4A5EB2A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1431" w:type="dxa"/>
            <w:tcBorders>
              <w:top w:val="nil"/>
              <w:left w:val="nil"/>
              <w:bottom w:val="nil"/>
              <w:right w:val="nil"/>
            </w:tcBorders>
            <w:shd w:val="clear" w:color="auto" w:fill="auto"/>
            <w:hideMark/>
          </w:tcPr>
          <w:p w14:paraId="2DF971F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1229" w:type="dxa"/>
            <w:tcBorders>
              <w:top w:val="nil"/>
              <w:left w:val="nil"/>
              <w:bottom w:val="nil"/>
              <w:right w:val="nil"/>
            </w:tcBorders>
            <w:shd w:val="clear" w:color="auto" w:fill="auto"/>
            <w:hideMark/>
          </w:tcPr>
          <w:p w14:paraId="5595BF6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2380" w:type="dxa"/>
            <w:tcBorders>
              <w:top w:val="nil"/>
              <w:left w:val="nil"/>
              <w:bottom w:val="nil"/>
              <w:right w:val="nil"/>
            </w:tcBorders>
            <w:shd w:val="clear" w:color="auto" w:fill="auto"/>
            <w:hideMark/>
          </w:tcPr>
          <w:p w14:paraId="6CDCFF3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1707" w:type="dxa"/>
            <w:gridSpan w:val="2"/>
            <w:tcBorders>
              <w:top w:val="nil"/>
              <w:left w:val="nil"/>
              <w:bottom w:val="nil"/>
              <w:right w:val="nil"/>
            </w:tcBorders>
            <w:shd w:val="clear" w:color="auto" w:fill="auto"/>
            <w:hideMark/>
          </w:tcPr>
          <w:p w14:paraId="7537427B"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1572" w:type="dxa"/>
            <w:gridSpan w:val="2"/>
            <w:tcBorders>
              <w:top w:val="nil"/>
              <w:left w:val="nil"/>
              <w:bottom w:val="nil"/>
              <w:right w:val="nil"/>
            </w:tcBorders>
            <w:shd w:val="clear" w:color="auto" w:fill="auto"/>
            <w:hideMark/>
          </w:tcPr>
          <w:p w14:paraId="63FE6BBB"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w:t>
            </w:r>
          </w:p>
        </w:tc>
        <w:tc>
          <w:tcPr>
            <w:tcW w:w="2366" w:type="dxa"/>
            <w:gridSpan w:val="2"/>
            <w:tcBorders>
              <w:top w:val="nil"/>
              <w:left w:val="nil"/>
              <w:bottom w:val="nil"/>
              <w:right w:val="nil"/>
            </w:tcBorders>
            <w:shd w:val="clear" w:color="auto" w:fill="auto"/>
            <w:hideMark/>
          </w:tcPr>
          <w:p w14:paraId="3277D94C" w14:textId="77777777" w:rsidR="0026776F" w:rsidRPr="0026776F" w:rsidRDefault="0026776F" w:rsidP="0026776F">
            <w:pPr>
              <w:spacing w:after="240"/>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Autism spectrum disorder with intellectual disability:</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3 months before pregnancy, adjusted for other periods = 0.96 (0.74, 1.26)</w:t>
            </w:r>
            <w:r w:rsidRPr="0026776F">
              <w:rPr>
                <w:rFonts w:ascii="Calibri Light" w:eastAsia="Times New Roman" w:hAnsi="Calibri Light" w:cs="Calibri Light"/>
                <w:sz w:val="24"/>
                <w:szCs w:val="24"/>
                <w:lang w:eastAsia="en-US"/>
              </w:rPr>
              <w:br/>
              <w:t>Odds ratio, during pregnancy, adjusted for other periods = 0.96 (0.66, 1.40)</w:t>
            </w:r>
            <w:r w:rsidRPr="0026776F">
              <w:rPr>
                <w:rFonts w:ascii="Calibri Light" w:eastAsia="Times New Roman" w:hAnsi="Calibri Light" w:cs="Calibri Light"/>
                <w:b/>
                <w:bCs/>
                <w:sz w:val="24"/>
                <w:szCs w:val="24"/>
                <w:lang w:eastAsia="en-US"/>
              </w:rPr>
              <w:br/>
              <w:t>Odds ratio, first year, adjusted for other periods = 1.60 (1.09, 2.34)</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Odds ratio, during pregnancy = 1.33 (1.05, 1.69)</w:t>
            </w:r>
            <w:r w:rsidRPr="0026776F">
              <w:rPr>
                <w:rFonts w:ascii="Calibri Light" w:eastAsia="Times New Roman" w:hAnsi="Calibri Light" w:cs="Calibri Light"/>
                <w:sz w:val="24"/>
                <w:szCs w:val="24"/>
                <w:lang w:eastAsia="en-US"/>
              </w:rPr>
              <w:br/>
              <w:t>Odds ratio, during pregnancy, adjusted for 10 other pesticides = 1.12 (0.82, 1.53)</w:t>
            </w:r>
            <w:r w:rsidRPr="0026776F">
              <w:rPr>
                <w:rFonts w:ascii="Calibri Light" w:eastAsia="Times New Roman" w:hAnsi="Calibri Light" w:cs="Calibri Light"/>
                <w:sz w:val="24"/>
                <w:szCs w:val="24"/>
                <w:lang w:eastAsia="en-US"/>
              </w:rPr>
              <w:br/>
              <w:t>Odds ratio, during pregnancy, adjusted for permethrin = 1.17 (0.91, 1.50)</w:t>
            </w:r>
            <w:r w:rsidRPr="0026776F">
              <w:rPr>
                <w:rFonts w:ascii="Calibri Light" w:eastAsia="Times New Roman" w:hAnsi="Calibri Light" w:cs="Calibri Light"/>
                <w:sz w:val="24"/>
                <w:szCs w:val="24"/>
                <w:lang w:eastAsia="en-US"/>
              </w:rPr>
              <w:br/>
              <w:t>Odds ratio, during pregnancy, adjusted for permethrin and chlorpyrifos = 1.12 (0.84, 1.51)</w:t>
            </w:r>
            <w:r w:rsidRPr="0026776F">
              <w:rPr>
                <w:rFonts w:ascii="Calibri Light" w:eastAsia="Times New Roman" w:hAnsi="Calibri Light" w:cs="Calibri Light"/>
                <w:sz w:val="24"/>
                <w:szCs w:val="24"/>
                <w:lang w:eastAsia="en-US"/>
              </w:rPr>
              <w:br/>
              <w:t>Odds ratio, during pregnancy, adjusted for permethrin and myclobutanil = 1.08 (0.82, 1.43)</w:t>
            </w:r>
            <w:r w:rsidRPr="0026776F">
              <w:rPr>
                <w:rFonts w:ascii="Calibri Light" w:eastAsia="Times New Roman" w:hAnsi="Calibri Light" w:cs="Calibri Light"/>
                <w:sz w:val="24"/>
                <w:szCs w:val="24"/>
                <w:lang w:eastAsia="en-US"/>
              </w:rPr>
              <w:br/>
              <w:t xml:space="preserve">Odds ratio, during pregnancy, adjusted </w:t>
            </w:r>
            <w:r w:rsidRPr="0026776F">
              <w:rPr>
                <w:rFonts w:ascii="Calibri Light" w:eastAsia="Times New Roman" w:hAnsi="Calibri Light" w:cs="Calibri Light"/>
                <w:sz w:val="24"/>
                <w:szCs w:val="24"/>
                <w:lang w:eastAsia="en-US"/>
              </w:rPr>
              <w:lastRenderedPageBreak/>
              <w:t>for permethrin and methyl bromide = 1.12 (0.86, 1.45)</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b/>
                <w:bCs/>
                <w:sz w:val="24"/>
                <w:szCs w:val="24"/>
                <w:lang w:eastAsia="en-US"/>
              </w:rPr>
              <w:br/>
              <w:t>Odds ratio, first year = 1.51 (1.18, 1.92)</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sz w:val="24"/>
                <w:szCs w:val="24"/>
                <w:lang w:eastAsia="en-US"/>
              </w:rPr>
              <w:t>Odds ratio, first year, adjusted for 10 other pesticides = 1.37 (0.99, 1.89)</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b/>
                <w:bCs/>
                <w:sz w:val="24"/>
                <w:szCs w:val="24"/>
                <w:lang w:eastAsia="en-US"/>
              </w:rPr>
              <w:t>Odds ratio, first year, adjusted for permethrin = 1.34 (1.03, 1.74)</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sz w:val="24"/>
                <w:szCs w:val="24"/>
                <w:lang w:eastAsia="en-US"/>
              </w:rPr>
              <w:t>Odds ratio, first year, adjusted for permethrin and chlorpyrifos = 1.33 (0.98, 1.81)</w:t>
            </w:r>
            <w:r w:rsidRPr="0026776F">
              <w:rPr>
                <w:rFonts w:ascii="Calibri Light" w:eastAsia="Times New Roman" w:hAnsi="Calibri Light" w:cs="Calibri Light"/>
                <w:sz w:val="24"/>
                <w:szCs w:val="24"/>
                <w:lang w:eastAsia="en-US"/>
              </w:rPr>
              <w:br/>
              <w:t>Odds ratio, first year, adjusted for permethrin and myclobutanil = 1.31 (0.99, 1.74)</w:t>
            </w:r>
            <w:r w:rsidRPr="0026776F">
              <w:rPr>
                <w:rFonts w:ascii="Calibri Light" w:eastAsia="Times New Roman" w:hAnsi="Calibri Light" w:cs="Calibri Light"/>
                <w:sz w:val="24"/>
                <w:szCs w:val="24"/>
                <w:lang w:eastAsia="en-US"/>
              </w:rPr>
              <w:br/>
              <w:t>Odds ratio, first year, adjusted for permethrin and methyl bromide = 1.29 (0.98, 1.68)</w:t>
            </w:r>
          </w:p>
        </w:tc>
        <w:tc>
          <w:tcPr>
            <w:tcW w:w="1458" w:type="dxa"/>
            <w:gridSpan w:val="2"/>
            <w:tcBorders>
              <w:top w:val="nil"/>
              <w:left w:val="nil"/>
              <w:bottom w:val="nil"/>
              <w:right w:val="nil"/>
            </w:tcBorders>
            <w:shd w:val="clear" w:color="auto" w:fill="auto"/>
            <w:hideMark/>
          </w:tcPr>
          <w:p w14:paraId="3AD815D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w:t>
            </w:r>
          </w:p>
        </w:tc>
      </w:tr>
      <w:tr w:rsidR="00D56E1C" w:rsidRPr="0026776F" w14:paraId="3218FEF8" w14:textId="77777777" w:rsidTr="00BB5571">
        <w:trPr>
          <w:trHeight w:val="6552"/>
        </w:trPr>
        <w:tc>
          <w:tcPr>
            <w:tcW w:w="1148" w:type="dxa"/>
            <w:tcBorders>
              <w:top w:val="nil"/>
              <w:left w:val="nil"/>
              <w:bottom w:val="nil"/>
              <w:right w:val="nil"/>
            </w:tcBorders>
            <w:shd w:val="clear" w:color="auto" w:fill="auto"/>
            <w:hideMark/>
          </w:tcPr>
          <w:p w14:paraId="74478D3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Yang et al.</w:t>
            </w:r>
          </w:p>
        </w:tc>
        <w:tc>
          <w:tcPr>
            <w:tcW w:w="621" w:type="dxa"/>
            <w:tcBorders>
              <w:top w:val="nil"/>
              <w:left w:val="nil"/>
              <w:bottom w:val="nil"/>
              <w:right w:val="nil"/>
            </w:tcBorders>
            <w:shd w:val="clear" w:color="auto" w:fill="auto"/>
            <w:hideMark/>
          </w:tcPr>
          <w:p w14:paraId="780288F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2014</w:t>
            </w:r>
          </w:p>
        </w:tc>
        <w:tc>
          <w:tcPr>
            <w:tcW w:w="859" w:type="dxa"/>
            <w:tcBorders>
              <w:top w:val="nil"/>
              <w:left w:val="nil"/>
              <w:bottom w:val="nil"/>
              <w:right w:val="nil"/>
            </w:tcBorders>
            <w:shd w:val="clear" w:color="auto" w:fill="auto"/>
            <w:hideMark/>
          </w:tcPr>
          <w:p w14:paraId="144D7F4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nil"/>
              <w:right w:val="nil"/>
            </w:tcBorders>
            <w:shd w:val="clear" w:color="auto" w:fill="auto"/>
            <w:hideMark/>
          </w:tcPr>
          <w:p w14:paraId="7C18203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Population-based case-control</w:t>
            </w:r>
          </w:p>
        </w:tc>
        <w:tc>
          <w:tcPr>
            <w:tcW w:w="1527" w:type="dxa"/>
            <w:tcBorders>
              <w:top w:val="nil"/>
              <w:left w:val="nil"/>
              <w:bottom w:val="nil"/>
              <w:right w:val="nil"/>
            </w:tcBorders>
            <w:shd w:val="clear" w:color="auto" w:fill="auto"/>
            <w:hideMark/>
          </w:tcPr>
          <w:p w14:paraId="4498563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 xml:space="preserve">73 anencephaly cases, 123 spina bifida cases, 277 cleft lip cases with or without cleft palate, and 117 cleft palate alone cases delivered in 8 counties of San Joaquin Valley, California, 1997–2006, identified by California Birth Defects Monitoring Program through active surveillance at all hospitals with obstetric or pediatric services, cytogenetic laboratories, and all clinical genetics prenatal and postnatal outpatient services, excluding </w:t>
            </w:r>
            <w:r w:rsidRPr="0026776F">
              <w:rPr>
                <w:rFonts w:ascii="Calibri Light" w:eastAsia="Times New Roman" w:hAnsi="Calibri Light" w:cs="Calibri Light"/>
                <w:sz w:val="24"/>
                <w:szCs w:val="24"/>
                <w:lang w:eastAsia="en-US"/>
              </w:rPr>
              <w:lastRenderedPageBreak/>
              <w:t>cases with single-gene conditions, chromosomal abnormalities, or identifiable syndromes, and excluding mothers with pregestational diabetes; 71% participation</w:t>
            </w:r>
          </w:p>
        </w:tc>
        <w:tc>
          <w:tcPr>
            <w:tcW w:w="2328" w:type="dxa"/>
            <w:tcBorders>
              <w:top w:val="nil"/>
              <w:left w:val="nil"/>
              <w:bottom w:val="nil"/>
              <w:right w:val="nil"/>
            </w:tcBorders>
            <w:shd w:val="clear" w:color="auto" w:fill="auto"/>
            <w:hideMark/>
          </w:tcPr>
          <w:p w14:paraId="232F4D7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785 nonmalformed, live-born controls randomly selected from same birth hospitals as cases, excluding mothers with pregestational diabetes; 69% participation</w:t>
            </w:r>
          </w:p>
        </w:tc>
        <w:tc>
          <w:tcPr>
            <w:tcW w:w="2392" w:type="dxa"/>
            <w:tcBorders>
              <w:top w:val="nil"/>
              <w:left w:val="nil"/>
              <w:bottom w:val="nil"/>
              <w:right w:val="nil"/>
            </w:tcBorders>
            <w:shd w:val="clear" w:color="auto" w:fill="auto"/>
            <w:hideMark/>
          </w:tcPr>
          <w:p w14:paraId="68BBF33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Residential proximity (yes or no) using self-reported address(es) during 3-month periconceptional period (geocoded for 82% of cases, 83% of controls) with 500 m of agricultural applications of glyphosate and other specific pesticides (number NR) in 33 pesticide groups, and identified from pesticide use reports submitted to California Department of Pesticide Regulation in 1997–2006, linked to countywide land-use surveys from California Department of Water Resources conducted every 5–7 y</w:t>
            </w:r>
          </w:p>
        </w:tc>
        <w:tc>
          <w:tcPr>
            <w:tcW w:w="1431" w:type="dxa"/>
            <w:tcBorders>
              <w:top w:val="nil"/>
              <w:left w:val="nil"/>
              <w:bottom w:val="nil"/>
              <w:right w:val="nil"/>
            </w:tcBorders>
            <w:shd w:val="clear" w:color="auto" w:fill="auto"/>
            <w:hideMark/>
          </w:tcPr>
          <w:p w14:paraId="0D6EAA8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Residential proximity during periconception period within 500 m of agricultural crops treated with glyphosate (12 anencephaly cases, 21 spina bifida cases, 57 cleft lip with or without cleft palate cases, 23 cleft palate alone cases, 166 controls)</w:t>
            </w:r>
          </w:p>
        </w:tc>
        <w:tc>
          <w:tcPr>
            <w:tcW w:w="1229" w:type="dxa"/>
            <w:tcBorders>
              <w:top w:val="nil"/>
              <w:left w:val="nil"/>
              <w:bottom w:val="nil"/>
              <w:right w:val="nil"/>
            </w:tcBorders>
            <w:shd w:val="clear" w:color="auto" w:fill="auto"/>
            <w:hideMark/>
          </w:tcPr>
          <w:p w14:paraId="698FAD57"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Neural tube defects: anencephaly, spina bifida, cleft lip with or without cleft palate, cleft palate alone</w:t>
            </w:r>
          </w:p>
        </w:tc>
        <w:tc>
          <w:tcPr>
            <w:tcW w:w="2380" w:type="dxa"/>
            <w:tcBorders>
              <w:top w:val="nil"/>
              <w:left w:val="nil"/>
              <w:bottom w:val="nil"/>
              <w:right w:val="nil"/>
            </w:tcBorders>
            <w:shd w:val="clear" w:color="auto" w:fill="auto"/>
            <w:hideMark/>
          </w:tcPr>
          <w:p w14:paraId="47F9CF54"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Diagnosis of anencephaly, spina bifida, cleft lip with or without cleft palate, or cleft palate alone confirmed by clinical geneticists based on clinical, surgical, or autopsy reports</w:t>
            </w:r>
          </w:p>
        </w:tc>
        <w:tc>
          <w:tcPr>
            <w:tcW w:w="1707" w:type="dxa"/>
            <w:gridSpan w:val="2"/>
            <w:tcBorders>
              <w:top w:val="nil"/>
              <w:left w:val="nil"/>
              <w:bottom w:val="nil"/>
              <w:right w:val="nil"/>
            </w:tcBorders>
            <w:shd w:val="clear" w:color="auto" w:fill="auto"/>
            <w:hideMark/>
          </w:tcPr>
          <w:p w14:paraId="5593927F"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Adjusted: maternal race/ethnicity, education, pre-pregnancy body mass index, parity, folic acid supplement use, periconceptional smoking; infant sex (stratified) for cleft lip and cleft palate</w:t>
            </w:r>
          </w:p>
        </w:tc>
        <w:tc>
          <w:tcPr>
            <w:tcW w:w="1572" w:type="dxa"/>
            <w:gridSpan w:val="2"/>
            <w:tcBorders>
              <w:top w:val="nil"/>
              <w:left w:val="nil"/>
              <w:bottom w:val="nil"/>
              <w:right w:val="nil"/>
            </w:tcBorders>
            <w:shd w:val="clear" w:color="auto" w:fill="auto"/>
            <w:hideMark/>
          </w:tcPr>
          <w:p w14:paraId="1967E8D5"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Multivariable logistic regression</w:t>
            </w:r>
          </w:p>
        </w:tc>
        <w:tc>
          <w:tcPr>
            <w:tcW w:w="2366" w:type="dxa"/>
            <w:gridSpan w:val="2"/>
            <w:tcBorders>
              <w:top w:val="nil"/>
              <w:left w:val="nil"/>
              <w:bottom w:val="nil"/>
              <w:right w:val="nil"/>
            </w:tcBorders>
            <w:shd w:val="clear" w:color="auto" w:fill="auto"/>
            <w:hideMark/>
          </w:tcPr>
          <w:p w14:paraId="425BECE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Odds ratio for anencephaly = 0.8 (0.4, 1.6)</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for spina bifida = 0.8 (0.5, 1.4)</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for cleft lip with or without cleft palate = 0.9 (0.6, 1.3)</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Odds ratio for cleft palate alone = 0.9 (0.5, 1.5)</w:t>
            </w:r>
          </w:p>
        </w:tc>
        <w:tc>
          <w:tcPr>
            <w:tcW w:w="1458" w:type="dxa"/>
            <w:gridSpan w:val="2"/>
            <w:tcBorders>
              <w:top w:val="nil"/>
              <w:left w:val="nil"/>
              <w:bottom w:val="nil"/>
              <w:right w:val="nil"/>
            </w:tcBorders>
            <w:shd w:val="clear" w:color="auto" w:fill="auto"/>
            <w:hideMark/>
          </w:tcPr>
          <w:p w14:paraId="5B9D06C1"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Gerber Foundation, U.S. Centers for Disease Control and Prevention</w:t>
            </w:r>
          </w:p>
        </w:tc>
      </w:tr>
      <w:tr w:rsidR="00D56E1C" w:rsidRPr="0026776F" w14:paraId="18F096C6" w14:textId="77777777" w:rsidTr="00BB5571">
        <w:trPr>
          <w:trHeight w:val="312"/>
        </w:trPr>
        <w:tc>
          <w:tcPr>
            <w:tcW w:w="3783" w:type="dxa"/>
            <w:gridSpan w:val="4"/>
            <w:tcBorders>
              <w:top w:val="nil"/>
              <w:left w:val="nil"/>
              <w:bottom w:val="nil"/>
              <w:right w:val="nil"/>
            </w:tcBorders>
            <w:shd w:val="clear" w:color="000000" w:fill="BFBFBF"/>
            <w:noWrap/>
            <w:vAlign w:val="bottom"/>
            <w:hideMark/>
          </w:tcPr>
          <w:p w14:paraId="03FA364E" w14:textId="77777777" w:rsidR="0026776F" w:rsidRPr="0026776F" w:rsidRDefault="0026776F" w:rsidP="0026776F">
            <w:pP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Other/mixed neurological outcomes</w:t>
            </w:r>
          </w:p>
        </w:tc>
        <w:tc>
          <w:tcPr>
            <w:tcW w:w="1527" w:type="dxa"/>
            <w:tcBorders>
              <w:top w:val="nil"/>
              <w:left w:val="nil"/>
              <w:bottom w:val="nil"/>
              <w:right w:val="nil"/>
            </w:tcBorders>
            <w:shd w:val="clear" w:color="000000" w:fill="BFBFBF"/>
            <w:vAlign w:val="bottom"/>
            <w:hideMark/>
          </w:tcPr>
          <w:p w14:paraId="31020961"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28" w:type="dxa"/>
            <w:tcBorders>
              <w:top w:val="nil"/>
              <w:left w:val="nil"/>
              <w:bottom w:val="nil"/>
              <w:right w:val="nil"/>
            </w:tcBorders>
            <w:shd w:val="clear" w:color="000000" w:fill="BFBFBF"/>
            <w:vAlign w:val="bottom"/>
            <w:hideMark/>
          </w:tcPr>
          <w:p w14:paraId="362EAD2C"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92" w:type="dxa"/>
            <w:tcBorders>
              <w:top w:val="nil"/>
              <w:left w:val="nil"/>
              <w:bottom w:val="nil"/>
              <w:right w:val="nil"/>
            </w:tcBorders>
            <w:shd w:val="clear" w:color="000000" w:fill="BFBFBF"/>
            <w:vAlign w:val="bottom"/>
            <w:hideMark/>
          </w:tcPr>
          <w:p w14:paraId="37B65025"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31" w:type="dxa"/>
            <w:tcBorders>
              <w:top w:val="nil"/>
              <w:left w:val="nil"/>
              <w:bottom w:val="nil"/>
              <w:right w:val="nil"/>
            </w:tcBorders>
            <w:shd w:val="clear" w:color="000000" w:fill="BFBFBF"/>
            <w:vAlign w:val="bottom"/>
            <w:hideMark/>
          </w:tcPr>
          <w:p w14:paraId="682D6924"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229" w:type="dxa"/>
            <w:tcBorders>
              <w:top w:val="nil"/>
              <w:left w:val="nil"/>
              <w:bottom w:val="nil"/>
              <w:right w:val="nil"/>
            </w:tcBorders>
            <w:shd w:val="clear" w:color="000000" w:fill="BFBFBF"/>
            <w:vAlign w:val="bottom"/>
            <w:hideMark/>
          </w:tcPr>
          <w:p w14:paraId="312771C8"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80" w:type="dxa"/>
            <w:tcBorders>
              <w:top w:val="nil"/>
              <w:left w:val="nil"/>
              <w:bottom w:val="nil"/>
              <w:right w:val="nil"/>
            </w:tcBorders>
            <w:shd w:val="clear" w:color="000000" w:fill="BFBFBF"/>
            <w:vAlign w:val="bottom"/>
            <w:hideMark/>
          </w:tcPr>
          <w:p w14:paraId="5144C81E"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707" w:type="dxa"/>
            <w:gridSpan w:val="2"/>
            <w:tcBorders>
              <w:top w:val="nil"/>
              <w:left w:val="nil"/>
              <w:bottom w:val="nil"/>
              <w:right w:val="nil"/>
            </w:tcBorders>
            <w:shd w:val="clear" w:color="000000" w:fill="BFBFBF"/>
            <w:vAlign w:val="bottom"/>
            <w:hideMark/>
          </w:tcPr>
          <w:p w14:paraId="56BE0528"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572" w:type="dxa"/>
            <w:gridSpan w:val="2"/>
            <w:tcBorders>
              <w:top w:val="nil"/>
              <w:left w:val="nil"/>
              <w:bottom w:val="nil"/>
              <w:right w:val="nil"/>
            </w:tcBorders>
            <w:shd w:val="clear" w:color="000000" w:fill="BFBFBF"/>
            <w:vAlign w:val="bottom"/>
            <w:hideMark/>
          </w:tcPr>
          <w:p w14:paraId="52D8BCB3"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2366" w:type="dxa"/>
            <w:gridSpan w:val="2"/>
            <w:tcBorders>
              <w:top w:val="nil"/>
              <w:left w:val="nil"/>
              <w:bottom w:val="nil"/>
              <w:right w:val="nil"/>
            </w:tcBorders>
            <w:shd w:val="clear" w:color="000000" w:fill="BFBFBF"/>
            <w:vAlign w:val="bottom"/>
            <w:hideMark/>
          </w:tcPr>
          <w:p w14:paraId="5FCC11D1"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c>
          <w:tcPr>
            <w:tcW w:w="1458" w:type="dxa"/>
            <w:gridSpan w:val="2"/>
            <w:tcBorders>
              <w:top w:val="nil"/>
              <w:left w:val="nil"/>
              <w:bottom w:val="nil"/>
              <w:right w:val="nil"/>
            </w:tcBorders>
            <w:shd w:val="clear" w:color="000000" w:fill="BFBFBF"/>
            <w:vAlign w:val="bottom"/>
            <w:hideMark/>
          </w:tcPr>
          <w:p w14:paraId="32D46342"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 </w:t>
            </w:r>
          </w:p>
        </w:tc>
      </w:tr>
      <w:tr w:rsidR="00D56E1C" w:rsidRPr="0026776F" w14:paraId="7FF991E3" w14:textId="77777777" w:rsidTr="00BB5571">
        <w:trPr>
          <w:trHeight w:val="8192"/>
        </w:trPr>
        <w:tc>
          <w:tcPr>
            <w:tcW w:w="1148" w:type="dxa"/>
            <w:tcBorders>
              <w:top w:val="nil"/>
              <w:left w:val="nil"/>
              <w:bottom w:val="single" w:sz="4" w:space="0" w:color="auto"/>
              <w:right w:val="nil"/>
            </w:tcBorders>
            <w:shd w:val="clear" w:color="auto" w:fill="auto"/>
            <w:hideMark/>
          </w:tcPr>
          <w:p w14:paraId="60D4DB75"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Seneff et al.</w:t>
            </w:r>
          </w:p>
        </w:tc>
        <w:tc>
          <w:tcPr>
            <w:tcW w:w="621" w:type="dxa"/>
            <w:tcBorders>
              <w:top w:val="nil"/>
              <w:left w:val="nil"/>
              <w:bottom w:val="single" w:sz="4" w:space="0" w:color="auto"/>
              <w:right w:val="nil"/>
            </w:tcBorders>
            <w:shd w:val="clear" w:color="auto" w:fill="auto"/>
            <w:hideMark/>
          </w:tcPr>
          <w:p w14:paraId="60F3F3D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2015</w:t>
            </w:r>
          </w:p>
        </w:tc>
        <w:tc>
          <w:tcPr>
            <w:tcW w:w="859" w:type="dxa"/>
            <w:tcBorders>
              <w:top w:val="nil"/>
              <w:left w:val="nil"/>
              <w:bottom w:val="single" w:sz="4" w:space="0" w:color="auto"/>
              <w:right w:val="nil"/>
            </w:tcBorders>
            <w:shd w:val="clear" w:color="auto" w:fill="auto"/>
            <w:hideMark/>
          </w:tcPr>
          <w:p w14:paraId="09DD6A6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U.S.</w:t>
            </w:r>
          </w:p>
        </w:tc>
        <w:tc>
          <w:tcPr>
            <w:tcW w:w="1155" w:type="dxa"/>
            <w:tcBorders>
              <w:top w:val="nil"/>
              <w:left w:val="nil"/>
              <w:bottom w:val="single" w:sz="4" w:space="0" w:color="auto"/>
              <w:right w:val="nil"/>
            </w:tcBorders>
            <w:shd w:val="clear" w:color="auto" w:fill="auto"/>
            <w:hideMark/>
          </w:tcPr>
          <w:p w14:paraId="0E46A95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Ecological</w:t>
            </w:r>
          </w:p>
        </w:tc>
        <w:tc>
          <w:tcPr>
            <w:tcW w:w="1527" w:type="dxa"/>
            <w:tcBorders>
              <w:top w:val="nil"/>
              <w:left w:val="nil"/>
              <w:bottom w:val="single" w:sz="4" w:space="0" w:color="auto"/>
              <w:right w:val="nil"/>
            </w:tcBorders>
            <w:shd w:val="clear" w:color="auto" w:fill="auto"/>
            <w:hideMark/>
          </w:tcPr>
          <w:p w14:paraId="47DC0903"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Annual disease-specific U.S. hospital discharge rates, based on National Hospital Discharge Survey data from U.S. Centers for Disease Control and Prevention, 1998</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2010</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Age-adjusted cause-specific mortality rates, based on data from U.S. Centers for Disease Control and Prevention mortality files</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 xml:space="preserve">Counts of U.S. children aged 6 y diagnosed with autism, based on U.S. Department of Education data collected under </w:t>
            </w:r>
            <w:r w:rsidRPr="0026776F">
              <w:rPr>
                <w:rFonts w:ascii="Calibri Light" w:eastAsia="Times New Roman" w:hAnsi="Calibri Light" w:cs="Calibri Light"/>
                <w:sz w:val="24"/>
                <w:szCs w:val="24"/>
                <w:lang w:eastAsia="en-US"/>
              </w:rPr>
              <w:lastRenderedPageBreak/>
              <w:t>Individuals with Disabilities Education Act, 1995–2010</w:t>
            </w:r>
          </w:p>
        </w:tc>
        <w:tc>
          <w:tcPr>
            <w:tcW w:w="2328" w:type="dxa"/>
            <w:tcBorders>
              <w:top w:val="nil"/>
              <w:left w:val="nil"/>
              <w:bottom w:val="single" w:sz="4" w:space="0" w:color="auto"/>
              <w:right w:val="nil"/>
            </w:tcBorders>
            <w:shd w:val="clear" w:color="auto" w:fill="auto"/>
            <w:hideMark/>
          </w:tcPr>
          <w:p w14:paraId="5F5282B8"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lastRenderedPageBreak/>
              <w:t>Temporal trends by year</w:t>
            </w:r>
          </w:p>
        </w:tc>
        <w:tc>
          <w:tcPr>
            <w:tcW w:w="2392" w:type="dxa"/>
            <w:tcBorders>
              <w:top w:val="nil"/>
              <w:left w:val="nil"/>
              <w:bottom w:val="single" w:sz="4" w:space="0" w:color="auto"/>
              <w:right w:val="nil"/>
            </w:tcBorders>
            <w:shd w:val="clear" w:color="auto" w:fill="auto"/>
            <w:hideMark/>
          </w:tcPr>
          <w:p w14:paraId="7B6DA362"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Estimated annual application of glyphosate to corn and soy crops (in units of pounds/y), based on U.S. Department of Agriculture state-level data on total glyphosate applied to corn and soy crops and total acreage planted in surveyed U.S. states, 1990</w:t>
            </w:r>
            <w:r w:rsidRPr="0026776F">
              <w:rPr>
                <w:rFonts w:eastAsia="Times New Roman"/>
                <w:sz w:val="24"/>
                <w:szCs w:val="24"/>
                <w:lang w:eastAsia="en-US"/>
              </w:rPr>
              <w:t>–</w:t>
            </w:r>
            <w:r w:rsidRPr="0026776F">
              <w:rPr>
                <w:rFonts w:ascii="Calibri Light" w:eastAsia="Times New Roman" w:hAnsi="Calibri Light" w:cs="Calibri Light"/>
                <w:sz w:val="24"/>
                <w:szCs w:val="24"/>
                <w:lang w:eastAsia="en-US"/>
              </w:rPr>
              <w:t>2010</w:t>
            </w:r>
          </w:p>
        </w:tc>
        <w:tc>
          <w:tcPr>
            <w:tcW w:w="1431" w:type="dxa"/>
            <w:tcBorders>
              <w:top w:val="nil"/>
              <w:left w:val="nil"/>
              <w:bottom w:val="single" w:sz="4" w:space="0" w:color="auto"/>
              <w:right w:val="nil"/>
            </w:tcBorders>
            <w:shd w:val="clear" w:color="auto" w:fill="auto"/>
            <w:hideMark/>
          </w:tcPr>
          <w:p w14:paraId="3821DEF0"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Not applicable</w:t>
            </w:r>
          </w:p>
        </w:tc>
        <w:tc>
          <w:tcPr>
            <w:tcW w:w="1229" w:type="dxa"/>
            <w:tcBorders>
              <w:top w:val="nil"/>
              <w:left w:val="nil"/>
              <w:bottom w:val="single" w:sz="4" w:space="0" w:color="auto"/>
              <w:right w:val="nil"/>
            </w:tcBorders>
            <w:shd w:val="clear" w:color="auto" w:fill="auto"/>
            <w:hideMark/>
          </w:tcPr>
          <w:p w14:paraId="06726C3E"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Hospital discharges: sleep disorder, autism, ADHD, anxiety, schizophrenia, dementia</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Deaths: suicide by overdose of prescription drugs, Alzheimer disease, dementia</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Childhood autism</w:t>
            </w:r>
          </w:p>
        </w:tc>
        <w:tc>
          <w:tcPr>
            <w:tcW w:w="2380" w:type="dxa"/>
            <w:tcBorders>
              <w:top w:val="nil"/>
              <w:left w:val="nil"/>
              <w:bottom w:val="single" w:sz="4" w:space="0" w:color="auto"/>
              <w:right w:val="nil"/>
            </w:tcBorders>
            <w:shd w:val="clear" w:color="auto" w:fill="auto"/>
            <w:hideMark/>
          </w:tcPr>
          <w:p w14:paraId="6EAF2BD6"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National annual hospital discharge rates per 1,000 to 100,000 coded based on International Classification of Diseases diagnosis codes, including any of up to seven discharge codes; list of outcomes analyzed NR</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National annual mortality rates per 100,000 coded based on International Classification of Diseases diagnosis codes; list of outcomes analyzed NR</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National annual autism counts based Individuals with Disabilities Education Act database</w:t>
            </w:r>
          </w:p>
        </w:tc>
        <w:tc>
          <w:tcPr>
            <w:tcW w:w="1707" w:type="dxa"/>
            <w:gridSpan w:val="2"/>
            <w:tcBorders>
              <w:top w:val="nil"/>
              <w:left w:val="nil"/>
              <w:bottom w:val="single" w:sz="4" w:space="0" w:color="auto"/>
              <w:right w:val="nil"/>
            </w:tcBorders>
            <w:shd w:val="clear" w:color="auto" w:fill="auto"/>
            <w:hideMark/>
          </w:tcPr>
          <w:p w14:paraId="51319C1D"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None for hospital discharge data</w:t>
            </w:r>
            <w:r w:rsidRPr="0026776F">
              <w:rPr>
                <w:rFonts w:ascii="Calibri Light" w:eastAsia="Times New Roman" w:hAnsi="Calibri Light" w:cs="Calibri Light"/>
                <w:sz w:val="24"/>
                <w:szCs w:val="24"/>
                <w:lang w:eastAsia="en-US"/>
              </w:rPr>
              <w:br/>
            </w:r>
            <w:r w:rsidRPr="0026776F">
              <w:rPr>
                <w:rFonts w:ascii="Calibri Light" w:eastAsia="Times New Roman" w:hAnsi="Calibri Light" w:cs="Calibri Light"/>
                <w:sz w:val="24"/>
                <w:szCs w:val="24"/>
                <w:lang w:eastAsia="en-US"/>
              </w:rPr>
              <w:br/>
              <w:t>Age for autism and mortality data</w:t>
            </w:r>
          </w:p>
        </w:tc>
        <w:tc>
          <w:tcPr>
            <w:tcW w:w="1572" w:type="dxa"/>
            <w:gridSpan w:val="2"/>
            <w:tcBorders>
              <w:top w:val="nil"/>
              <w:left w:val="nil"/>
              <w:bottom w:val="single" w:sz="4" w:space="0" w:color="auto"/>
              <w:right w:val="nil"/>
            </w:tcBorders>
            <w:shd w:val="clear" w:color="auto" w:fill="auto"/>
            <w:hideMark/>
          </w:tcPr>
          <w:p w14:paraId="773EE99C"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Correlation coefficient</w:t>
            </w:r>
          </w:p>
        </w:tc>
        <w:tc>
          <w:tcPr>
            <w:tcW w:w="2366" w:type="dxa"/>
            <w:gridSpan w:val="2"/>
            <w:tcBorders>
              <w:top w:val="nil"/>
              <w:left w:val="nil"/>
              <w:bottom w:val="single" w:sz="4" w:space="0" w:color="auto"/>
              <w:right w:val="nil"/>
            </w:tcBorders>
            <w:shd w:val="clear" w:color="auto" w:fill="auto"/>
            <w:hideMark/>
          </w:tcPr>
          <w:p w14:paraId="43950726" w14:textId="77777777" w:rsidR="0026776F" w:rsidRPr="0026776F" w:rsidRDefault="0026776F" w:rsidP="0026776F">
            <w:pPr>
              <w:jc w:val="center"/>
              <w:rPr>
                <w:rFonts w:ascii="Calibri Light" w:eastAsia="Times New Roman" w:hAnsi="Calibri Light" w:cs="Calibri Light"/>
                <w:b/>
                <w:bCs/>
                <w:sz w:val="24"/>
                <w:szCs w:val="24"/>
                <w:lang w:eastAsia="en-US"/>
              </w:rPr>
            </w:pPr>
            <w:r w:rsidRPr="0026776F">
              <w:rPr>
                <w:rFonts w:ascii="Calibri Light" w:eastAsia="Times New Roman" w:hAnsi="Calibri Light" w:cs="Calibri Light"/>
                <w:b/>
                <w:bCs/>
                <w:sz w:val="24"/>
                <w:szCs w:val="24"/>
                <w:lang w:eastAsia="en-US"/>
              </w:rPr>
              <w:t>Sleep disorder discharge correlation ρ = 0.99, p ≤ 7.7 × 10</w:t>
            </w:r>
            <w:r w:rsidRPr="0026776F">
              <w:rPr>
                <w:rFonts w:ascii="Calibri Light" w:eastAsia="Times New Roman" w:hAnsi="Calibri Light" w:cs="Calibri Light"/>
                <w:b/>
                <w:bCs/>
                <w:sz w:val="24"/>
                <w:szCs w:val="24"/>
                <w:vertAlign w:val="superscript"/>
                <w:lang w:eastAsia="en-US"/>
              </w:rPr>
              <w:t>-6</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Autism discharge correlation ρ = 0.98, p ≤ 9.6 × 10</w:t>
            </w:r>
            <w:r w:rsidRPr="0026776F">
              <w:rPr>
                <w:rFonts w:ascii="Calibri Light" w:eastAsia="Times New Roman" w:hAnsi="Calibri Light" w:cs="Calibri Light"/>
                <w:b/>
                <w:bCs/>
                <w:sz w:val="24"/>
                <w:szCs w:val="24"/>
                <w:vertAlign w:val="superscript"/>
                <w:lang w:eastAsia="en-US"/>
              </w:rPr>
              <w:t>-6</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ADHD discharge correlation ρ = 0.95, p ≤ 3.6 × 10</w:t>
            </w:r>
            <w:r w:rsidRPr="0026776F">
              <w:rPr>
                <w:rFonts w:ascii="Calibri Light" w:eastAsia="Times New Roman" w:hAnsi="Calibri Light" w:cs="Calibri Light"/>
                <w:b/>
                <w:bCs/>
                <w:sz w:val="24"/>
                <w:szCs w:val="24"/>
                <w:vertAlign w:val="superscript"/>
                <w:lang w:eastAsia="en-US"/>
              </w:rPr>
              <w:t>-5</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Anxiety discharge correlation ρ = 0.95, p ≤ 3.2 × 10</w:t>
            </w:r>
            <w:r w:rsidRPr="0026776F">
              <w:rPr>
                <w:rFonts w:ascii="Calibri Light" w:eastAsia="Times New Roman" w:hAnsi="Calibri Light" w:cs="Calibri Light"/>
                <w:b/>
                <w:bCs/>
                <w:sz w:val="24"/>
                <w:szCs w:val="24"/>
                <w:vertAlign w:val="superscript"/>
                <w:lang w:eastAsia="en-US"/>
              </w:rPr>
              <w:t>-5</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Schizophrenia discharge correlation ρ = 0.88, p ≤ 2.5 × 10</w:t>
            </w:r>
            <w:r w:rsidRPr="0026776F">
              <w:rPr>
                <w:rFonts w:ascii="Calibri Light" w:eastAsia="Times New Roman" w:hAnsi="Calibri Light" w:cs="Calibri Light"/>
                <w:b/>
                <w:bCs/>
                <w:sz w:val="24"/>
                <w:szCs w:val="24"/>
                <w:vertAlign w:val="superscript"/>
                <w:lang w:eastAsia="en-US"/>
              </w:rPr>
              <w:t>-4</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Dementia discharge correlation ρ = 0.93, p ≤ 5.8 × 10</w:t>
            </w:r>
            <w:r w:rsidRPr="0026776F">
              <w:rPr>
                <w:rFonts w:ascii="Calibri Light" w:eastAsia="Times New Roman" w:hAnsi="Calibri Light" w:cs="Calibri Light"/>
                <w:b/>
                <w:bCs/>
                <w:sz w:val="24"/>
                <w:szCs w:val="24"/>
                <w:vertAlign w:val="superscript"/>
                <w:lang w:eastAsia="en-US"/>
              </w:rPr>
              <w:t>-5</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Suicide by overdose of prescription drugs correlation ρ = 0.95, p ≤ 3.0 × 10</w:t>
            </w:r>
            <w:r w:rsidRPr="0026776F">
              <w:rPr>
                <w:rFonts w:ascii="Calibri Light" w:eastAsia="Times New Roman" w:hAnsi="Calibri Light" w:cs="Calibri Light"/>
                <w:b/>
                <w:bCs/>
                <w:sz w:val="24"/>
                <w:szCs w:val="24"/>
                <w:vertAlign w:val="superscript"/>
                <w:lang w:eastAsia="en-US"/>
              </w:rPr>
              <w:t>-8</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Alzheimer disease death correlation ρ = 0.96, p ≤ 1.7 × 10</w:t>
            </w:r>
            <w:r w:rsidRPr="0026776F">
              <w:rPr>
                <w:rFonts w:ascii="Calibri Light" w:eastAsia="Times New Roman" w:hAnsi="Calibri Light" w:cs="Calibri Light"/>
                <w:b/>
                <w:bCs/>
                <w:sz w:val="24"/>
                <w:szCs w:val="24"/>
                <w:vertAlign w:val="superscript"/>
                <w:lang w:eastAsia="en-US"/>
              </w:rPr>
              <w:t>-8</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Senile dementia death correlation ρ = 0.99, p ≤ 2.3 × 10-9</w:t>
            </w:r>
            <w:r w:rsidRPr="0026776F">
              <w:rPr>
                <w:rFonts w:ascii="Calibri Light" w:eastAsia="Times New Roman" w:hAnsi="Calibri Light" w:cs="Calibri Light"/>
                <w:b/>
                <w:bCs/>
                <w:sz w:val="24"/>
                <w:szCs w:val="24"/>
                <w:lang w:eastAsia="en-US"/>
              </w:rPr>
              <w:br/>
            </w:r>
            <w:r w:rsidRPr="0026776F">
              <w:rPr>
                <w:rFonts w:ascii="Calibri Light" w:eastAsia="Times New Roman" w:hAnsi="Calibri Light" w:cs="Calibri Light"/>
                <w:b/>
                <w:bCs/>
                <w:sz w:val="24"/>
                <w:szCs w:val="24"/>
                <w:lang w:eastAsia="en-US"/>
              </w:rPr>
              <w:br/>
              <w:t>Childhood autism correlation ρ = 0.997, p ≤ 2.4 × 10</w:t>
            </w:r>
            <w:r w:rsidRPr="0026776F">
              <w:rPr>
                <w:rFonts w:ascii="Calibri Light" w:eastAsia="Times New Roman" w:hAnsi="Calibri Light" w:cs="Calibri Light"/>
                <w:b/>
                <w:bCs/>
                <w:sz w:val="24"/>
                <w:szCs w:val="24"/>
                <w:vertAlign w:val="superscript"/>
                <w:lang w:eastAsia="en-US"/>
              </w:rPr>
              <w:t>-7</w:t>
            </w:r>
          </w:p>
        </w:tc>
        <w:tc>
          <w:tcPr>
            <w:tcW w:w="1458" w:type="dxa"/>
            <w:gridSpan w:val="2"/>
            <w:tcBorders>
              <w:top w:val="nil"/>
              <w:left w:val="nil"/>
              <w:bottom w:val="single" w:sz="4" w:space="0" w:color="auto"/>
              <w:right w:val="nil"/>
            </w:tcBorders>
            <w:shd w:val="clear" w:color="auto" w:fill="auto"/>
            <w:hideMark/>
          </w:tcPr>
          <w:p w14:paraId="474011D9" w14:textId="77777777" w:rsidR="0026776F" w:rsidRPr="0026776F" w:rsidRDefault="0026776F" w:rsidP="0026776F">
            <w:pPr>
              <w:jc w:val="center"/>
              <w:rPr>
                <w:rFonts w:ascii="Calibri Light" w:eastAsia="Times New Roman" w:hAnsi="Calibri Light" w:cs="Calibri Light"/>
                <w:sz w:val="24"/>
                <w:szCs w:val="24"/>
                <w:lang w:eastAsia="en-US"/>
              </w:rPr>
            </w:pPr>
            <w:r w:rsidRPr="0026776F">
              <w:rPr>
                <w:rFonts w:ascii="Calibri Light" w:eastAsia="Times New Roman" w:hAnsi="Calibri Light" w:cs="Calibri Light"/>
                <w:sz w:val="24"/>
                <w:szCs w:val="24"/>
                <w:lang w:eastAsia="en-US"/>
              </w:rPr>
              <w:t>Quanta Computer, Inc., Taiwan</w:t>
            </w:r>
          </w:p>
        </w:tc>
      </w:tr>
      <w:tr w:rsidR="0026776F" w:rsidRPr="0026776F" w14:paraId="3F467558" w14:textId="77777777" w:rsidTr="00BB5571">
        <w:trPr>
          <w:gridAfter w:val="1"/>
          <w:wAfter w:w="639" w:type="dxa"/>
          <w:trHeight w:val="312"/>
        </w:trPr>
        <w:tc>
          <w:tcPr>
            <w:tcW w:w="15972" w:type="dxa"/>
            <w:gridSpan w:val="11"/>
            <w:tcBorders>
              <w:top w:val="nil"/>
              <w:left w:val="nil"/>
              <w:bottom w:val="nil"/>
              <w:right w:val="nil"/>
            </w:tcBorders>
            <w:shd w:val="clear" w:color="auto" w:fill="auto"/>
            <w:noWrap/>
            <w:vAlign w:val="bottom"/>
            <w:hideMark/>
          </w:tcPr>
          <w:p w14:paraId="022DC7A4" w14:textId="2E5BDA6E" w:rsidR="0026776F" w:rsidRPr="0026776F" w:rsidRDefault="0026776F" w:rsidP="0026776F">
            <w:pPr>
              <w:rPr>
                <w:rFonts w:ascii="Times New Roman" w:eastAsia="Times New Roman" w:hAnsi="Times New Roman" w:cs="Times New Roman"/>
                <w:sz w:val="20"/>
                <w:szCs w:val="20"/>
                <w:lang w:eastAsia="en-US"/>
              </w:rPr>
            </w:pPr>
            <w:r w:rsidRPr="0026776F">
              <w:rPr>
                <w:rFonts w:ascii="Calibri Light" w:eastAsia="Times New Roman" w:hAnsi="Calibri Light" w:cs="Calibri Light"/>
                <w:sz w:val="24"/>
                <w:szCs w:val="24"/>
                <w:lang w:eastAsia="en-US"/>
              </w:rPr>
              <w:t>ADD/ADHD: attention deficit disorder/attention deficit hyperactivity disorder; ALS: amyotrophic lateral sclerosis; CI: confidence interval; NR: not reported</w:t>
            </w:r>
          </w:p>
        </w:tc>
        <w:tc>
          <w:tcPr>
            <w:tcW w:w="1656" w:type="dxa"/>
            <w:gridSpan w:val="2"/>
            <w:tcBorders>
              <w:top w:val="nil"/>
              <w:left w:val="nil"/>
              <w:bottom w:val="nil"/>
              <w:right w:val="nil"/>
            </w:tcBorders>
            <w:shd w:val="clear" w:color="auto" w:fill="auto"/>
            <w:hideMark/>
          </w:tcPr>
          <w:p w14:paraId="315094AD"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2051" w:type="dxa"/>
            <w:gridSpan w:val="2"/>
            <w:tcBorders>
              <w:top w:val="nil"/>
              <w:left w:val="nil"/>
              <w:bottom w:val="nil"/>
              <w:right w:val="nil"/>
            </w:tcBorders>
            <w:shd w:val="clear" w:color="auto" w:fill="auto"/>
            <w:hideMark/>
          </w:tcPr>
          <w:p w14:paraId="7B64903B"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1855" w:type="dxa"/>
            <w:gridSpan w:val="2"/>
            <w:tcBorders>
              <w:top w:val="nil"/>
              <w:left w:val="nil"/>
              <w:bottom w:val="nil"/>
              <w:right w:val="nil"/>
            </w:tcBorders>
            <w:shd w:val="clear" w:color="auto" w:fill="auto"/>
            <w:hideMark/>
          </w:tcPr>
          <w:p w14:paraId="5BFE210A" w14:textId="77777777" w:rsidR="0026776F" w:rsidRPr="0026776F" w:rsidRDefault="0026776F" w:rsidP="0026776F">
            <w:pPr>
              <w:jc w:val="center"/>
              <w:rPr>
                <w:rFonts w:ascii="Times New Roman" w:eastAsia="Times New Roman" w:hAnsi="Times New Roman" w:cs="Times New Roman"/>
                <w:sz w:val="20"/>
                <w:szCs w:val="20"/>
                <w:lang w:eastAsia="en-US"/>
              </w:rPr>
            </w:pPr>
          </w:p>
        </w:tc>
      </w:tr>
      <w:tr w:rsidR="00D56E1C" w:rsidRPr="0026776F" w14:paraId="42665C4C" w14:textId="77777777" w:rsidTr="00BB5571">
        <w:trPr>
          <w:trHeight w:val="312"/>
        </w:trPr>
        <w:tc>
          <w:tcPr>
            <w:tcW w:w="10030" w:type="dxa"/>
            <w:gridSpan w:val="7"/>
            <w:tcBorders>
              <w:top w:val="nil"/>
              <w:left w:val="nil"/>
              <w:bottom w:val="nil"/>
              <w:right w:val="nil"/>
            </w:tcBorders>
            <w:shd w:val="clear" w:color="auto" w:fill="auto"/>
            <w:noWrap/>
            <w:hideMark/>
          </w:tcPr>
          <w:p w14:paraId="46A78781" w14:textId="15A2A850" w:rsidR="0026776F" w:rsidRPr="0026776F" w:rsidRDefault="0026776F" w:rsidP="0026776F">
            <w:pPr>
              <w:rPr>
                <w:rFonts w:ascii="Times New Roman" w:eastAsia="Times New Roman" w:hAnsi="Times New Roman" w:cs="Times New Roman"/>
                <w:sz w:val="20"/>
                <w:szCs w:val="20"/>
                <w:lang w:eastAsia="en-US"/>
              </w:rPr>
            </w:pPr>
            <w:r w:rsidRPr="0026776F">
              <w:rPr>
                <w:rFonts w:ascii="Calibri Light" w:eastAsia="Times New Roman" w:hAnsi="Calibri Light" w:cs="Calibri Light"/>
                <w:sz w:val="24"/>
                <w:szCs w:val="24"/>
                <w:lang w:eastAsia="en-US"/>
              </w:rPr>
              <w:t xml:space="preserve">Statistically significant associations are shown in bold font. </w:t>
            </w:r>
          </w:p>
        </w:tc>
        <w:tc>
          <w:tcPr>
            <w:tcW w:w="1431" w:type="dxa"/>
            <w:tcBorders>
              <w:top w:val="nil"/>
              <w:left w:val="nil"/>
              <w:bottom w:val="nil"/>
              <w:right w:val="nil"/>
            </w:tcBorders>
            <w:shd w:val="clear" w:color="auto" w:fill="auto"/>
            <w:hideMark/>
          </w:tcPr>
          <w:p w14:paraId="24063283"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1229" w:type="dxa"/>
            <w:tcBorders>
              <w:top w:val="nil"/>
              <w:left w:val="nil"/>
              <w:bottom w:val="nil"/>
              <w:right w:val="nil"/>
            </w:tcBorders>
            <w:shd w:val="clear" w:color="auto" w:fill="auto"/>
            <w:hideMark/>
          </w:tcPr>
          <w:p w14:paraId="1CCC8C7B"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2380" w:type="dxa"/>
            <w:tcBorders>
              <w:top w:val="nil"/>
              <w:left w:val="nil"/>
              <w:bottom w:val="nil"/>
              <w:right w:val="nil"/>
            </w:tcBorders>
            <w:shd w:val="clear" w:color="auto" w:fill="auto"/>
            <w:hideMark/>
          </w:tcPr>
          <w:p w14:paraId="6E3609B2"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1707" w:type="dxa"/>
            <w:gridSpan w:val="2"/>
            <w:tcBorders>
              <w:top w:val="nil"/>
              <w:left w:val="nil"/>
              <w:bottom w:val="nil"/>
              <w:right w:val="nil"/>
            </w:tcBorders>
            <w:shd w:val="clear" w:color="auto" w:fill="auto"/>
            <w:hideMark/>
          </w:tcPr>
          <w:p w14:paraId="2A1EE8A7"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1572" w:type="dxa"/>
            <w:gridSpan w:val="2"/>
            <w:tcBorders>
              <w:top w:val="nil"/>
              <w:left w:val="nil"/>
              <w:bottom w:val="nil"/>
              <w:right w:val="nil"/>
            </w:tcBorders>
            <w:shd w:val="clear" w:color="auto" w:fill="auto"/>
            <w:hideMark/>
          </w:tcPr>
          <w:p w14:paraId="7ED01339"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2366" w:type="dxa"/>
            <w:gridSpan w:val="2"/>
            <w:tcBorders>
              <w:top w:val="nil"/>
              <w:left w:val="nil"/>
              <w:bottom w:val="nil"/>
              <w:right w:val="nil"/>
            </w:tcBorders>
            <w:shd w:val="clear" w:color="auto" w:fill="auto"/>
            <w:hideMark/>
          </w:tcPr>
          <w:p w14:paraId="0F7E79A1" w14:textId="77777777" w:rsidR="0026776F" w:rsidRPr="0026776F" w:rsidRDefault="0026776F" w:rsidP="0026776F">
            <w:pPr>
              <w:jc w:val="center"/>
              <w:rPr>
                <w:rFonts w:ascii="Times New Roman" w:eastAsia="Times New Roman" w:hAnsi="Times New Roman" w:cs="Times New Roman"/>
                <w:sz w:val="20"/>
                <w:szCs w:val="20"/>
                <w:lang w:eastAsia="en-US"/>
              </w:rPr>
            </w:pPr>
          </w:p>
        </w:tc>
        <w:tc>
          <w:tcPr>
            <w:tcW w:w="1458" w:type="dxa"/>
            <w:gridSpan w:val="2"/>
            <w:tcBorders>
              <w:top w:val="nil"/>
              <w:left w:val="nil"/>
              <w:bottom w:val="nil"/>
              <w:right w:val="nil"/>
            </w:tcBorders>
            <w:shd w:val="clear" w:color="auto" w:fill="auto"/>
            <w:hideMark/>
          </w:tcPr>
          <w:p w14:paraId="020CDC26" w14:textId="77777777" w:rsidR="0026776F" w:rsidRPr="0026776F" w:rsidRDefault="0026776F" w:rsidP="0026776F">
            <w:pPr>
              <w:jc w:val="center"/>
              <w:rPr>
                <w:rFonts w:ascii="Times New Roman" w:eastAsia="Times New Roman" w:hAnsi="Times New Roman" w:cs="Times New Roman"/>
                <w:sz w:val="20"/>
                <w:szCs w:val="20"/>
                <w:lang w:eastAsia="en-US"/>
              </w:rPr>
            </w:pPr>
          </w:p>
        </w:tc>
      </w:tr>
    </w:tbl>
    <w:p w14:paraId="5589DE32" w14:textId="2E83227D" w:rsidR="00B55A78" w:rsidRDefault="00B55A78" w:rsidP="00B55A78">
      <w:pPr>
        <w:spacing w:after="160" w:line="259" w:lineRule="auto"/>
        <w:rPr>
          <w:rFonts w:ascii="Times New Roman" w:hAnsi="Times New Roman" w:cs="Times New Roman"/>
          <w:b/>
          <w:bCs/>
          <w:sz w:val="24"/>
          <w:szCs w:val="24"/>
        </w:rPr>
      </w:pPr>
    </w:p>
    <w:p w14:paraId="77CEF28B" w14:textId="77777777" w:rsidR="00B55A78" w:rsidRDefault="00B55A78">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684A11D" w14:textId="77777777" w:rsidR="00914B35" w:rsidRDefault="00914B35" w:rsidP="00B55A78">
      <w:pPr>
        <w:spacing w:after="160" w:line="259" w:lineRule="auto"/>
        <w:rPr>
          <w:rFonts w:ascii="Times New Roman" w:hAnsi="Times New Roman" w:cs="Times New Roman"/>
          <w:b/>
          <w:bCs/>
          <w:sz w:val="24"/>
          <w:szCs w:val="24"/>
        </w:rPr>
        <w:sectPr w:rsidR="00914B35" w:rsidSect="00791F34">
          <w:headerReference w:type="default" r:id="rId8"/>
          <w:pgSz w:w="24480" w:h="15840" w:orient="landscape" w:code="3"/>
          <w:pgMar w:top="1440" w:right="1440" w:bottom="1440" w:left="1440" w:header="720" w:footer="720" w:gutter="0"/>
          <w:cols w:space="720"/>
          <w:docGrid w:linePitch="360"/>
        </w:sectPr>
      </w:pPr>
    </w:p>
    <w:p w14:paraId="6CE1D3B1" w14:textId="76C857F0" w:rsidR="000428E0" w:rsidRDefault="001A63A2" w:rsidP="00B55A78">
      <w:pPr>
        <w:spacing w:after="160" w:line="259" w:lineRule="auto"/>
        <w:rPr>
          <w:rFonts w:ascii="Times New Roman" w:hAnsi="Times New Roman" w:cs="Times New Roman"/>
          <w:b/>
          <w:bCs/>
          <w:sz w:val="24"/>
          <w:szCs w:val="24"/>
        </w:rPr>
      </w:pPr>
      <w:r w:rsidRPr="001A63A2">
        <w:rPr>
          <w:rFonts w:ascii="Times New Roman" w:hAnsi="Times New Roman" w:cs="Times New Roman"/>
          <w:b/>
          <w:bCs/>
          <w:noProof/>
          <w:sz w:val="24"/>
          <w:szCs w:val="24"/>
        </w:rPr>
        <w:lastRenderedPageBreak/>
        <w:drawing>
          <wp:inline distT="0" distB="0" distL="0" distR="0" wp14:anchorId="7EE281C1" wp14:editId="70CC0483">
            <wp:extent cx="13716000" cy="639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0" cy="6394450"/>
                    </a:xfrm>
                    <a:prstGeom prst="rect">
                      <a:avLst/>
                    </a:prstGeom>
                  </pic:spPr>
                </pic:pic>
              </a:graphicData>
            </a:graphic>
          </wp:inline>
        </w:drawing>
      </w:r>
    </w:p>
    <w:sectPr w:rsidR="000428E0" w:rsidSect="00914B35">
      <w:headerReference w:type="default" r:id="rId10"/>
      <w:type w:val="continuous"/>
      <w:pgSz w:w="24480" w:h="15840" w:orient="landscape"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9C6B" w14:textId="77777777" w:rsidR="00202337" w:rsidRDefault="00202337" w:rsidP="00F77EA1">
      <w:r>
        <w:separator/>
      </w:r>
    </w:p>
  </w:endnote>
  <w:endnote w:type="continuationSeparator" w:id="0">
    <w:p w14:paraId="02C090B6" w14:textId="77777777" w:rsidR="00202337" w:rsidRDefault="00202337" w:rsidP="00F7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0B3E" w14:textId="77777777" w:rsidR="00202337" w:rsidRDefault="00202337" w:rsidP="00F77EA1">
      <w:r>
        <w:separator/>
      </w:r>
    </w:p>
  </w:footnote>
  <w:footnote w:type="continuationSeparator" w:id="0">
    <w:p w14:paraId="167CF096" w14:textId="77777777" w:rsidR="00202337" w:rsidRDefault="00202337" w:rsidP="00F77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F088" w14:textId="11B2D381" w:rsidR="00B31B8B" w:rsidRPr="00914B35" w:rsidRDefault="0026776F" w:rsidP="00914B35">
    <w:pPr>
      <w:spacing w:after="120" w:line="276" w:lineRule="auto"/>
    </w:pPr>
    <w:r>
      <w:rPr>
        <w:rFonts w:ascii="Times New Roman" w:hAnsi="Times New Roman" w:cs="Times New Roman"/>
        <w:b/>
        <w:bCs/>
        <w:sz w:val="24"/>
        <w:szCs w:val="24"/>
      </w:rPr>
      <w:t xml:space="preserve">Supplemental </w:t>
    </w:r>
    <w:r w:rsidR="00B31B8B">
      <w:rPr>
        <w:rFonts w:ascii="Times New Roman" w:hAnsi="Times New Roman" w:cs="Times New Roman"/>
        <w:b/>
        <w:bCs/>
        <w:sz w:val="24"/>
        <w:szCs w:val="24"/>
      </w:rPr>
      <w:t xml:space="preserve">Table </w:t>
    </w:r>
    <w:r w:rsidR="007C3FC5">
      <w:rPr>
        <w:rFonts w:ascii="Times New Roman" w:hAnsi="Times New Roman" w:cs="Times New Roman"/>
        <w:b/>
        <w:bCs/>
        <w:sz w:val="24"/>
        <w:szCs w:val="24"/>
      </w:rPr>
      <w:t>1</w:t>
    </w:r>
    <w:r w:rsidR="00B31B8B">
      <w:rPr>
        <w:rFonts w:ascii="Times New Roman" w:hAnsi="Times New Roman" w:cs="Times New Roman"/>
        <w:b/>
        <w:bCs/>
        <w:sz w:val="24"/>
        <w:szCs w:val="24"/>
      </w:rPr>
      <w:t xml:space="preserve">. </w:t>
    </w:r>
    <w:r w:rsidR="007C3FC5">
      <w:rPr>
        <w:rFonts w:ascii="Times New Roman" w:hAnsi="Times New Roman" w:cs="Times New Roman"/>
        <w:b/>
        <w:bCs/>
        <w:sz w:val="24"/>
        <w:szCs w:val="24"/>
      </w:rPr>
      <w:t xml:space="preserve">Summary of methodological characteristics and results of </w:t>
    </w:r>
    <w:r>
      <w:rPr>
        <w:rFonts w:ascii="Times New Roman" w:hAnsi="Times New Roman" w:cs="Times New Roman"/>
        <w:b/>
        <w:bCs/>
        <w:sz w:val="24"/>
        <w:szCs w:val="24"/>
      </w:rPr>
      <w:t>low</w:t>
    </w:r>
    <w:r w:rsidR="007C3FC5">
      <w:rPr>
        <w:rFonts w:ascii="Times New Roman" w:hAnsi="Times New Roman" w:cs="Times New Roman"/>
        <w:b/>
        <w:bCs/>
        <w:sz w:val="24"/>
        <w:szCs w:val="24"/>
      </w:rPr>
      <w:t>-quality epidemiological studies of glyphosate exposure and neurological outcomes.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9B33" w14:textId="46BD22B0" w:rsidR="007C3FC5" w:rsidRPr="00914B35" w:rsidRDefault="0026776F" w:rsidP="00914B35">
    <w:pPr>
      <w:spacing w:after="120" w:line="276" w:lineRule="auto"/>
    </w:pPr>
    <w:r>
      <w:rPr>
        <w:rFonts w:ascii="Times New Roman" w:hAnsi="Times New Roman" w:cs="Times New Roman"/>
        <w:b/>
        <w:bCs/>
        <w:sz w:val="24"/>
        <w:szCs w:val="24"/>
      </w:rPr>
      <w:t>Supplemental Figure</w:t>
    </w:r>
    <w:r w:rsidR="007C3FC5">
      <w:rPr>
        <w:rFonts w:ascii="Times New Roman" w:hAnsi="Times New Roman" w:cs="Times New Roman"/>
        <w:b/>
        <w:bCs/>
        <w:sz w:val="24"/>
        <w:szCs w:val="24"/>
      </w:rPr>
      <w:t xml:space="preserve"> </w:t>
    </w:r>
    <w:r>
      <w:rPr>
        <w:rFonts w:ascii="Times New Roman" w:hAnsi="Times New Roman" w:cs="Times New Roman"/>
        <w:b/>
        <w:bCs/>
        <w:sz w:val="24"/>
        <w:szCs w:val="24"/>
      </w:rPr>
      <w:t>1</w:t>
    </w:r>
    <w:r w:rsidR="007C3FC5">
      <w:rPr>
        <w:rFonts w:ascii="Times New Roman" w:hAnsi="Times New Roman" w:cs="Times New Roman"/>
        <w:b/>
        <w:bCs/>
        <w:sz w:val="24"/>
        <w:szCs w:val="24"/>
      </w:rPr>
      <w:t xml:space="preserve">. Heat map of risk-of-bias ratings in domains of study design and population, exposure assessment, outcome assessment, confounder control, and statistical approach, </w:t>
    </w:r>
    <w:r>
      <w:rPr>
        <w:rFonts w:ascii="Times New Roman" w:hAnsi="Times New Roman" w:cs="Times New Roman"/>
        <w:b/>
        <w:bCs/>
        <w:sz w:val="24"/>
        <w:szCs w:val="24"/>
      </w:rPr>
      <w:t>a</w:t>
    </w:r>
    <w:r w:rsidR="007C3FC5">
      <w:rPr>
        <w:rFonts w:ascii="Times New Roman" w:hAnsi="Times New Roman" w:cs="Times New Roman"/>
        <w:b/>
        <w:bCs/>
        <w:sz w:val="24"/>
        <w:szCs w:val="24"/>
      </w:rPr>
      <w:t xml:space="preserve">nd overall quality rating for epidemiological studies of glyphosate exposure and neurological outcomes. </w:t>
    </w:r>
    <w:r w:rsidR="007C3FC5" w:rsidRPr="00914B35">
      <w:rPr>
        <w:rFonts w:ascii="Times New Roman" w:hAnsi="Times New Roman" w:cs="Times New Roman"/>
        <w:sz w:val="24"/>
        <w:szCs w:val="24"/>
      </w:rPr>
      <w:t>Green denotes high quality (low risk of bias), yellow denotes moderate quality (moderate risk of bias), and orange denotes low quality (high risk of bias).</w:t>
    </w:r>
    <w:r w:rsidR="008D5BAD" w:rsidRPr="008D5BAD">
      <w:rPr>
        <w:rFonts w:ascii="Times New Roman" w:hAnsi="Times New Roman" w:cs="Times New Roman"/>
        <w:sz w:val="24"/>
        <w:szCs w:val="24"/>
      </w:rPr>
      <w:t xml:space="preserve"> Three studies that used different methods depending on the exposure metric (Beard et al. 2013; Montgomery et al. 2017) or the neurological outcome (Garry et al. 2002) received two ratings in a single domain</w:t>
    </w:r>
    <w:r w:rsidR="008D5BAD">
      <w:rPr>
        <w:rFonts w:ascii="Times New Roman" w:hAnsi="Times New Roman"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BCD"/>
    <w:multiLevelType w:val="multilevel"/>
    <w:tmpl w:val="08309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67C9D"/>
    <w:multiLevelType w:val="multilevel"/>
    <w:tmpl w:val="F0A0F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F6DB8"/>
    <w:multiLevelType w:val="hybridMultilevel"/>
    <w:tmpl w:val="8D323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86F73"/>
    <w:multiLevelType w:val="hybridMultilevel"/>
    <w:tmpl w:val="DBAE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C5321"/>
    <w:multiLevelType w:val="multilevel"/>
    <w:tmpl w:val="B436F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36EAF"/>
    <w:multiLevelType w:val="hybridMultilevel"/>
    <w:tmpl w:val="23107C22"/>
    <w:lvl w:ilvl="0" w:tplc="04090001">
      <w:start w:val="1"/>
      <w:numFmt w:val="bullet"/>
      <w:lvlText w:val=""/>
      <w:lvlJc w:val="left"/>
      <w:pPr>
        <w:ind w:left="360" w:hanging="360"/>
      </w:pPr>
      <w:rPr>
        <w:rFonts w:ascii="Symbol" w:hAnsi="Symbol" w:hint="default"/>
      </w:rPr>
    </w:lvl>
    <w:lvl w:ilvl="1" w:tplc="37922FF4">
      <w:start w:val="1"/>
      <w:numFmt w:val="decimal"/>
      <w:lvlText w:val="%2."/>
      <w:lvlJc w:val="left"/>
      <w:pPr>
        <w:ind w:left="1080" w:hanging="360"/>
      </w:pPr>
      <w:rPr>
        <w:rFonts w:hint="default"/>
        <w:b/>
        <w:bCs/>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C74F9C"/>
    <w:multiLevelType w:val="hybridMultilevel"/>
    <w:tmpl w:val="C7AE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246D2"/>
    <w:multiLevelType w:val="multilevel"/>
    <w:tmpl w:val="4B486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CB3AC4"/>
    <w:multiLevelType w:val="hybridMultilevel"/>
    <w:tmpl w:val="43687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250ED"/>
    <w:multiLevelType w:val="hybridMultilevel"/>
    <w:tmpl w:val="9B8A8334"/>
    <w:lvl w:ilvl="0" w:tplc="2898DBC4">
      <w:start w:val="2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77742"/>
    <w:multiLevelType w:val="hybridMultilevel"/>
    <w:tmpl w:val="B532F45E"/>
    <w:lvl w:ilvl="0" w:tplc="600C2F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1744F"/>
    <w:multiLevelType w:val="hybridMultilevel"/>
    <w:tmpl w:val="FB602860"/>
    <w:lvl w:ilvl="0" w:tplc="47FA9EA0">
      <w:start w:val="92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0DF1861"/>
    <w:multiLevelType w:val="hybridMultilevel"/>
    <w:tmpl w:val="0F1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A7144"/>
    <w:multiLevelType w:val="hybridMultilevel"/>
    <w:tmpl w:val="2CD08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D5AD2"/>
    <w:multiLevelType w:val="hybridMultilevel"/>
    <w:tmpl w:val="CB2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A19CD"/>
    <w:multiLevelType w:val="multilevel"/>
    <w:tmpl w:val="2AFEC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FC77BE"/>
    <w:multiLevelType w:val="multilevel"/>
    <w:tmpl w:val="F7647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
  </w:num>
  <w:num w:numId="4">
    <w:abstractNumId w:val="16"/>
  </w:num>
  <w:num w:numId="5">
    <w:abstractNumId w:val="0"/>
  </w:num>
  <w:num w:numId="6">
    <w:abstractNumId w:val="7"/>
  </w:num>
  <w:num w:numId="7">
    <w:abstractNumId w:val="15"/>
  </w:num>
  <w:num w:numId="8">
    <w:abstractNumId w:val="5"/>
  </w:num>
  <w:num w:numId="9">
    <w:abstractNumId w:val="3"/>
  </w:num>
  <w:num w:numId="10">
    <w:abstractNumId w:val="2"/>
  </w:num>
  <w:num w:numId="11">
    <w:abstractNumId w:val="14"/>
  </w:num>
  <w:num w:numId="12">
    <w:abstractNumId w:val="13"/>
  </w:num>
  <w:num w:numId="13">
    <w:abstractNumId w:val="8"/>
  </w:num>
  <w:num w:numId="14">
    <w:abstractNumId w:val="10"/>
  </w:num>
  <w:num w:numId="15">
    <w:abstractNumId w:val="6"/>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ntl Arch Occup Environ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zpfef22deepvedf96xt50oppfs2r0vwwrx&quot;&gt;Glyphosate and neurotox&lt;record-ids&gt;&lt;item&gt;115&lt;/item&gt;&lt;item&gt;141&lt;/item&gt;&lt;item&gt;212&lt;/item&gt;&lt;item&gt;284&lt;/item&gt;&lt;item&gt;383&lt;/item&gt;&lt;item&gt;415&lt;/item&gt;&lt;item&gt;428&lt;/item&gt;&lt;item&gt;443&lt;/item&gt;&lt;item&gt;481&lt;/item&gt;&lt;item&gt;486&lt;/item&gt;&lt;item&gt;503&lt;/item&gt;&lt;item&gt;514&lt;/item&gt;&lt;item&gt;525&lt;/item&gt;&lt;item&gt;559&lt;/item&gt;&lt;item&gt;578&lt;/item&gt;&lt;item&gt;602&lt;/item&gt;&lt;item&gt;605&lt;/item&gt;&lt;item&gt;607&lt;/item&gt;&lt;item&gt;613&lt;/item&gt;&lt;item&gt;615&lt;/item&gt;&lt;item&gt;616&lt;/item&gt;&lt;item&gt;617&lt;/item&gt;&lt;item&gt;618&lt;/item&gt;&lt;item&gt;619&lt;/item&gt;&lt;item&gt;620&lt;/item&gt;&lt;item&gt;621&lt;/item&gt;&lt;item&gt;622&lt;/item&gt;&lt;item&gt;623&lt;/item&gt;&lt;item&gt;624&lt;/item&gt;&lt;item&gt;626&lt;/item&gt;&lt;item&gt;627&lt;/item&gt;&lt;item&gt;628&lt;/item&gt;&lt;item&gt;629&lt;/item&gt;&lt;item&gt;630&lt;/item&gt;&lt;item&gt;631&lt;/item&gt;&lt;item&gt;632&lt;/item&gt;&lt;item&gt;633&lt;/item&gt;&lt;item&gt;635&lt;/item&gt;&lt;item&gt;638&lt;/item&gt;&lt;item&gt;647&lt;/item&gt;&lt;item&gt;649&lt;/item&gt;&lt;item&gt;657&lt;/item&gt;&lt;item&gt;659&lt;/item&gt;&lt;item&gt;676&lt;/item&gt;&lt;item&gt;679&lt;/item&gt;&lt;item&gt;680&lt;/item&gt;&lt;item&gt;685&lt;/item&gt;&lt;item&gt;686&lt;/item&gt;&lt;item&gt;688&lt;/item&gt;&lt;item&gt;689&lt;/item&gt;&lt;/record-ids&gt;&lt;/item&gt;&lt;/Libraries&gt;"/>
  </w:docVars>
  <w:rsids>
    <w:rsidRoot w:val="000A7074"/>
    <w:rsid w:val="00000525"/>
    <w:rsid w:val="000006A9"/>
    <w:rsid w:val="00000C41"/>
    <w:rsid w:val="00000F8D"/>
    <w:rsid w:val="00003982"/>
    <w:rsid w:val="00005937"/>
    <w:rsid w:val="00005C22"/>
    <w:rsid w:val="0000683D"/>
    <w:rsid w:val="00010E99"/>
    <w:rsid w:val="0001121A"/>
    <w:rsid w:val="000121E5"/>
    <w:rsid w:val="00012EBC"/>
    <w:rsid w:val="000131DD"/>
    <w:rsid w:val="000147E8"/>
    <w:rsid w:val="000153CA"/>
    <w:rsid w:val="000164A4"/>
    <w:rsid w:val="00023636"/>
    <w:rsid w:val="00027289"/>
    <w:rsid w:val="000272EC"/>
    <w:rsid w:val="000308FA"/>
    <w:rsid w:val="0003096D"/>
    <w:rsid w:val="00031C0A"/>
    <w:rsid w:val="00036ACA"/>
    <w:rsid w:val="000372A1"/>
    <w:rsid w:val="00037CB3"/>
    <w:rsid w:val="000428E0"/>
    <w:rsid w:val="000465B4"/>
    <w:rsid w:val="00046877"/>
    <w:rsid w:val="00046E61"/>
    <w:rsid w:val="00050570"/>
    <w:rsid w:val="00051C68"/>
    <w:rsid w:val="00052F78"/>
    <w:rsid w:val="0005444D"/>
    <w:rsid w:val="000548E5"/>
    <w:rsid w:val="00057915"/>
    <w:rsid w:val="00057FE3"/>
    <w:rsid w:val="00060292"/>
    <w:rsid w:val="00062320"/>
    <w:rsid w:val="00062A4E"/>
    <w:rsid w:val="000630E3"/>
    <w:rsid w:val="00063E54"/>
    <w:rsid w:val="00064392"/>
    <w:rsid w:val="00064D27"/>
    <w:rsid w:val="00065D1B"/>
    <w:rsid w:val="000716C1"/>
    <w:rsid w:val="00071C6E"/>
    <w:rsid w:val="00073561"/>
    <w:rsid w:val="000748F1"/>
    <w:rsid w:val="000813C8"/>
    <w:rsid w:val="00083916"/>
    <w:rsid w:val="00084FF5"/>
    <w:rsid w:val="000867E3"/>
    <w:rsid w:val="00086A6D"/>
    <w:rsid w:val="0008738A"/>
    <w:rsid w:val="00092853"/>
    <w:rsid w:val="00092B4A"/>
    <w:rsid w:val="000936D2"/>
    <w:rsid w:val="00094154"/>
    <w:rsid w:val="000A1177"/>
    <w:rsid w:val="000A1D5C"/>
    <w:rsid w:val="000A4A0C"/>
    <w:rsid w:val="000A7074"/>
    <w:rsid w:val="000A70C4"/>
    <w:rsid w:val="000A74D0"/>
    <w:rsid w:val="000B3C3B"/>
    <w:rsid w:val="000B3D09"/>
    <w:rsid w:val="000B4807"/>
    <w:rsid w:val="000B5C37"/>
    <w:rsid w:val="000B67FF"/>
    <w:rsid w:val="000C1552"/>
    <w:rsid w:val="000C1FFF"/>
    <w:rsid w:val="000C33D2"/>
    <w:rsid w:val="000C44A6"/>
    <w:rsid w:val="000C6148"/>
    <w:rsid w:val="000C624F"/>
    <w:rsid w:val="000D00E0"/>
    <w:rsid w:val="000D37EE"/>
    <w:rsid w:val="000D3BFD"/>
    <w:rsid w:val="000D41D3"/>
    <w:rsid w:val="000D6C76"/>
    <w:rsid w:val="000D7882"/>
    <w:rsid w:val="000D7A19"/>
    <w:rsid w:val="000E7401"/>
    <w:rsid w:val="000E77BF"/>
    <w:rsid w:val="000E7866"/>
    <w:rsid w:val="000F1A81"/>
    <w:rsid w:val="000F3881"/>
    <w:rsid w:val="000F4D4A"/>
    <w:rsid w:val="000F580F"/>
    <w:rsid w:val="000F7B22"/>
    <w:rsid w:val="00100B21"/>
    <w:rsid w:val="00102D59"/>
    <w:rsid w:val="00103768"/>
    <w:rsid w:val="00103A11"/>
    <w:rsid w:val="00105F0B"/>
    <w:rsid w:val="0010670D"/>
    <w:rsid w:val="00106793"/>
    <w:rsid w:val="001076D2"/>
    <w:rsid w:val="00107F80"/>
    <w:rsid w:val="00110DDF"/>
    <w:rsid w:val="00111C83"/>
    <w:rsid w:val="001126A2"/>
    <w:rsid w:val="00115BC3"/>
    <w:rsid w:val="00116C33"/>
    <w:rsid w:val="00116DB2"/>
    <w:rsid w:val="0012281B"/>
    <w:rsid w:val="00122AF4"/>
    <w:rsid w:val="00122CC1"/>
    <w:rsid w:val="00123CE0"/>
    <w:rsid w:val="00123EB7"/>
    <w:rsid w:val="00124510"/>
    <w:rsid w:val="001253C5"/>
    <w:rsid w:val="00125D4B"/>
    <w:rsid w:val="00125D96"/>
    <w:rsid w:val="0012799F"/>
    <w:rsid w:val="00127A7D"/>
    <w:rsid w:val="00127D65"/>
    <w:rsid w:val="001318BF"/>
    <w:rsid w:val="0013352F"/>
    <w:rsid w:val="00134E51"/>
    <w:rsid w:val="0014067C"/>
    <w:rsid w:val="00142094"/>
    <w:rsid w:val="00144543"/>
    <w:rsid w:val="00147618"/>
    <w:rsid w:val="00147AD2"/>
    <w:rsid w:val="0015269D"/>
    <w:rsid w:val="001528B7"/>
    <w:rsid w:val="001535CD"/>
    <w:rsid w:val="00153C03"/>
    <w:rsid w:val="001548CB"/>
    <w:rsid w:val="00154BED"/>
    <w:rsid w:val="00156282"/>
    <w:rsid w:val="0015631A"/>
    <w:rsid w:val="0016028F"/>
    <w:rsid w:val="00160423"/>
    <w:rsid w:val="0016159E"/>
    <w:rsid w:val="00164016"/>
    <w:rsid w:val="00164543"/>
    <w:rsid w:val="00166006"/>
    <w:rsid w:val="00166B23"/>
    <w:rsid w:val="001705E1"/>
    <w:rsid w:val="0017271C"/>
    <w:rsid w:val="00172D45"/>
    <w:rsid w:val="00174617"/>
    <w:rsid w:val="0018013B"/>
    <w:rsid w:val="0018030C"/>
    <w:rsid w:val="00180DE0"/>
    <w:rsid w:val="00185826"/>
    <w:rsid w:val="00186739"/>
    <w:rsid w:val="00190772"/>
    <w:rsid w:val="0019275C"/>
    <w:rsid w:val="001A164F"/>
    <w:rsid w:val="001A4139"/>
    <w:rsid w:val="001A51E0"/>
    <w:rsid w:val="001A57A1"/>
    <w:rsid w:val="001A63A2"/>
    <w:rsid w:val="001A6C50"/>
    <w:rsid w:val="001A6CC4"/>
    <w:rsid w:val="001A7536"/>
    <w:rsid w:val="001B08B1"/>
    <w:rsid w:val="001B286C"/>
    <w:rsid w:val="001B3E06"/>
    <w:rsid w:val="001B4E07"/>
    <w:rsid w:val="001B7E48"/>
    <w:rsid w:val="001B7EA3"/>
    <w:rsid w:val="001C19DF"/>
    <w:rsid w:val="001C2B8B"/>
    <w:rsid w:val="001C7A98"/>
    <w:rsid w:val="001D38F3"/>
    <w:rsid w:val="001D3A6D"/>
    <w:rsid w:val="001D5E5C"/>
    <w:rsid w:val="001D7409"/>
    <w:rsid w:val="001D7C5C"/>
    <w:rsid w:val="001E0E52"/>
    <w:rsid w:val="001E1682"/>
    <w:rsid w:val="001E31DA"/>
    <w:rsid w:val="001E4FC6"/>
    <w:rsid w:val="001E5CB9"/>
    <w:rsid w:val="001E67BF"/>
    <w:rsid w:val="001F2828"/>
    <w:rsid w:val="001F36A2"/>
    <w:rsid w:val="001F58A8"/>
    <w:rsid w:val="001F592E"/>
    <w:rsid w:val="001F6B59"/>
    <w:rsid w:val="00200275"/>
    <w:rsid w:val="002022DC"/>
    <w:rsid w:val="00202337"/>
    <w:rsid w:val="00202670"/>
    <w:rsid w:val="0020602D"/>
    <w:rsid w:val="00211D6A"/>
    <w:rsid w:val="00213356"/>
    <w:rsid w:val="00213567"/>
    <w:rsid w:val="00213F10"/>
    <w:rsid w:val="00217030"/>
    <w:rsid w:val="002174AE"/>
    <w:rsid w:val="00217949"/>
    <w:rsid w:val="00220715"/>
    <w:rsid w:val="00220F0B"/>
    <w:rsid w:val="00222290"/>
    <w:rsid w:val="002243D3"/>
    <w:rsid w:val="00224AEB"/>
    <w:rsid w:val="00225097"/>
    <w:rsid w:val="002254BF"/>
    <w:rsid w:val="00225F51"/>
    <w:rsid w:val="00226DF2"/>
    <w:rsid w:val="0022797A"/>
    <w:rsid w:val="00230242"/>
    <w:rsid w:val="00231244"/>
    <w:rsid w:val="00231FA0"/>
    <w:rsid w:val="00234C0D"/>
    <w:rsid w:val="002403A2"/>
    <w:rsid w:val="002443B2"/>
    <w:rsid w:val="002461B9"/>
    <w:rsid w:val="0024624A"/>
    <w:rsid w:val="002464C5"/>
    <w:rsid w:val="002518EE"/>
    <w:rsid w:val="00251DAA"/>
    <w:rsid w:val="002522CB"/>
    <w:rsid w:val="002532EF"/>
    <w:rsid w:val="00253E7D"/>
    <w:rsid w:val="00254D21"/>
    <w:rsid w:val="002564A2"/>
    <w:rsid w:val="00256AC1"/>
    <w:rsid w:val="002578AA"/>
    <w:rsid w:val="002614EA"/>
    <w:rsid w:val="00262A20"/>
    <w:rsid w:val="00262BC4"/>
    <w:rsid w:val="0026426F"/>
    <w:rsid w:val="00265718"/>
    <w:rsid w:val="002657B1"/>
    <w:rsid w:val="00266180"/>
    <w:rsid w:val="0026776F"/>
    <w:rsid w:val="00273760"/>
    <w:rsid w:val="00276858"/>
    <w:rsid w:val="00280E8A"/>
    <w:rsid w:val="00282E52"/>
    <w:rsid w:val="00284258"/>
    <w:rsid w:val="00284B32"/>
    <w:rsid w:val="002854B7"/>
    <w:rsid w:val="00286CAD"/>
    <w:rsid w:val="00291E96"/>
    <w:rsid w:val="00292B27"/>
    <w:rsid w:val="00293BEA"/>
    <w:rsid w:val="00293F4A"/>
    <w:rsid w:val="002960C8"/>
    <w:rsid w:val="0029787E"/>
    <w:rsid w:val="002A301C"/>
    <w:rsid w:val="002A36A0"/>
    <w:rsid w:val="002A5C3E"/>
    <w:rsid w:val="002A651E"/>
    <w:rsid w:val="002A75EF"/>
    <w:rsid w:val="002B05A5"/>
    <w:rsid w:val="002B06F1"/>
    <w:rsid w:val="002B2A01"/>
    <w:rsid w:val="002B4795"/>
    <w:rsid w:val="002B4C7C"/>
    <w:rsid w:val="002B4CDE"/>
    <w:rsid w:val="002B53C9"/>
    <w:rsid w:val="002B600D"/>
    <w:rsid w:val="002B6B43"/>
    <w:rsid w:val="002C013D"/>
    <w:rsid w:val="002C0D12"/>
    <w:rsid w:val="002C7F27"/>
    <w:rsid w:val="002D1FBC"/>
    <w:rsid w:val="002D3071"/>
    <w:rsid w:val="002D3837"/>
    <w:rsid w:val="002D4940"/>
    <w:rsid w:val="002D681F"/>
    <w:rsid w:val="002D682A"/>
    <w:rsid w:val="002E7405"/>
    <w:rsid w:val="002F027B"/>
    <w:rsid w:val="002F07D5"/>
    <w:rsid w:val="002F266D"/>
    <w:rsid w:val="002F512E"/>
    <w:rsid w:val="002F7471"/>
    <w:rsid w:val="002F77C4"/>
    <w:rsid w:val="002F7B9C"/>
    <w:rsid w:val="00300E38"/>
    <w:rsid w:val="00301FF2"/>
    <w:rsid w:val="0030228F"/>
    <w:rsid w:val="00303B03"/>
    <w:rsid w:val="00304F9D"/>
    <w:rsid w:val="00305AFA"/>
    <w:rsid w:val="003079B5"/>
    <w:rsid w:val="00313594"/>
    <w:rsid w:val="00315B89"/>
    <w:rsid w:val="00315D40"/>
    <w:rsid w:val="0032029D"/>
    <w:rsid w:val="00321B22"/>
    <w:rsid w:val="00323736"/>
    <w:rsid w:val="00323C05"/>
    <w:rsid w:val="00323CC1"/>
    <w:rsid w:val="003240C6"/>
    <w:rsid w:val="00325521"/>
    <w:rsid w:val="003256B0"/>
    <w:rsid w:val="00331BB6"/>
    <w:rsid w:val="00331CF6"/>
    <w:rsid w:val="00332610"/>
    <w:rsid w:val="003335B0"/>
    <w:rsid w:val="00335AC1"/>
    <w:rsid w:val="00336CE5"/>
    <w:rsid w:val="00340C90"/>
    <w:rsid w:val="00342551"/>
    <w:rsid w:val="00343AB3"/>
    <w:rsid w:val="00343F0B"/>
    <w:rsid w:val="00343F32"/>
    <w:rsid w:val="003457EC"/>
    <w:rsid w:val="0034601B"/>
    <w:rsid w:val="00347858"/>
    <w:rsid w:val="00350641"/>
    <w:rsid w:val="00351375"/>
    <w:rsid w:val="00352286"/>
    <w:rsid w:val="00353BBF"/>
    <w:rsid w:val="003564B0"/>
    <w:rsid w:val="00356B0A"/>
    <w:rsid w:val="00360546"/>
    <w:rsid w:val="00363D17"/>
    <w:rsid w:val="00365889"/>
    <w:rsid w:val="00366F74"/>
    <w:rsid w:val="00371BAE"/>
    <w:rsid w:val="00372180"/>
    <w:rsid w:val="00374F16"/>
    <w:rsid w:val="00375394"/>
    <w:rsid w:val="0037666D"/>
    <w:rsid w:val="00377F26"/>
    <w:rsid w:val="00380C49"/>
    <w:rsid w:val="00383362"/>
    <w:rsid w:val="00383DE5"/>
    <w:rsid w:val="003843DF"/>
    <w:rsid w:val="00386A35"/>
    <w:rsid w:val="003909AE"/>
    <w:rsid w:val="00392BBA"/>
    <w:rsid w:val="003A6844"/>
    <w:rsid w:val="003A6C93"/>
    <w:rsid w:val="003A6FFA"/>
    <w:rsid w:val="003A7C13"/>
    <w:rsid w:val="003B1B80"/>
    <w:rsid w:val="003B2792"/>
    <w:rsid w:val="003B77B6"/>
    <w:rsid w:val="003B7A66"/>
    <w:rsid w:val="003C0472"/>
    <w:rsid w:val="003C12DA"/>
    <w:rsid w:val="003C517D"/>
    <w:rsid w:val="003C5CFE"/>
    <w:rsid w:val="003C697D"/>
    <w:rsid w:val="003C6A7F"/>
    <w:rsid w:val="003D08B8"/>
    <w:rsid w:val="003D2729"/>
    <w:rsid w:val="003D5342"/>
    <w:rsid w:val="003D7A37"/>
    <w:rsid w:val="003E08A7"/>
    <w:rsid w:val="003E0AFE"/>
    <w:rsid w:val="003E1782"/>
    <w:rsid w:val="003E484A"/>
    <w:rsid w:val="003E4958"/>
    <w:rsid w:val="003E5330"/>
    <w:rsid w:val="003E5EDD"/>
    <w:rsid w:val="003E7CCB"/>
    <w:rsid w:val="003F05F3"/>
    <w:rsid w:val="003F20D2"/>
    <w:rsid w:val="003F227F"/>
    <w:rsid w:val="003F2D2F"/>
    <w:rsid w:val="003F5CBB"/>
    <w:rsid w:val="00400A1A"/>
    <w:rsid w:val="004029D6"/>
    <w:rsid w:val="00405B6D"/>
    <w:rsid w:val="00412901"/>
    <w:rsid w:val="0041291B"/>
    <w:rsid w:val="00416107"/>
    <w:rsid w:val="004203E7"/>
    <w:rsid w:val="0042361C"/>
    <w:rsid w:val="004247E3"/>
    <w:rsid w:val="00426208"/>
    <w:rsid w:val="004302C9"/>
    <w:rsid w:val="004308F7"/>
    <w:rsid w:val="00433A2D"/>
    <w:rsid w:val="00433DDC"/>
    <w:rsid w:val="00440AD1"/>
    <w:rsid w:val="00441BCF"/>
    <w:rsid w:val="00441DB8"/>
    <w:rsid w:val="004440DD"/>
    <w:rsid w:val="00445408"/>
    <w:rsid w:val="00450553"/>
    <w:rsid w:val="00450E8D"/>
    <w:rsid w:val="004523C6"/>
    <w:rsid w:val="00454E8F"/>
    <w:rsid w:val="00455C76"/>
    <w:rsid w:val="00455E18"/>
    <w:rsid w:val="004569C2"/>
    <w:rsid w:val="00460721"/>
    <w:rsid w:val="00460E9E"/>
    <w:rsid w:val="0046128A"/>
    <w:rsid w:val="0046559D"/>
    <w:rsid w:val="00465C87"/>
    <w:rsid w:val="004677B3"/>
    <w:rsid w:val="0047341E"/>
    <w:rsid w:val="00473B1F"/>
    <w:rsid w:val="004750B4"/>
    <w:rsid w:val="0047515A"/>
    <w:rsid w:val="00475C54"/>
    <w:rsid w:val="00475D9A"/>
    <w:rsid w:val="00477C9B"/>
    <w:rsid w:val="004819C3"/>
    <w:rsid w:val="00481D28"/>
    <w:rsid w:val="00483B25"/>
    <w:rsid w:val="004849F4"/>
    <w:rsid w:val="00485A2B"/>
    <w:rsid w:val="00486993"/>
    <w:rsid w:val="00487DBC"/>
    <w:rsid w:val="00491451"/>
    <w:rsid w:val="00492BED"/>
    <w:rsid w:val="004934C1"/>
    <w:rsid w:val="00494306"/>
    <w:rsid w:val="004A2E2F"/>
    <w:rsid w:val="004B1920"/>
    <w:rsid w:val="004C2738"/>
    <w:rsid w:val="004C2E98"/>
    <w:rsid w:val="004C394C"/>
    <w:rsid w:val="004C5AA1"/>
    <w:rsid w:val="004C5D8F"/>
    <w:rsid w:val="004C60A4"/>
    <w:rsid w:val="004C66F5"/>
    <w:rsid w:val="004C6D25"/>
    <w:rsid w:val="004C6D71"/>
    <w:rsid w:val="004C6E38"/>
    <w:rsid w:val="004C7A9C"/>
    <w:rsid w:val="004D048C"/>
    <w:rsid w:val="004D60F7"/>
    <w:rsid w:val="004D6C8D"/>
    <w:rsid w:val="004D759F"/>
    <w:rsid w:val="004D79D7"/>
    <w:rsid w:val="004E6C75"/>
    <w:rsid w:val="004E6E1C"/>
    <w:rsid w:val="004F3753"/>
    <w:rsid w:val="004F5B8B"/>
    <w:rsid w:val="004F5C8B"/>
    <w:rsid w:val="004F7EAE"/>
    <w:rsid w:val="00501550"/>
    <w:rsid w:val="005015D5"/>
    <w:rsid w:val="00501811"/>
    <w:rsid w:val="005027C4"/>
    <w:rsid w:val="005045FE"/>
    <w:rsid w:val="0050564F"/>
    <w:rsid w:val="0050615C"/>
    <w:rsid w:val="005066A3"/>
    <w:rsid w:val="0050673C"/>
    <w:rsid w:val="00507A90"/>
    <w:rsid w:val="00514894"/>
    <w:rsid w:val="005170F7"/>
    <w:rsid w:val="00517A69"/>
    <w:rsid w:val="00521412"/>
    <w:rsid w:val="00524370"/>
    <w:rsid w:val="005249CD"/>
    <w:rsid w:val="00525C54"/>
    <w:rsid w:val="005268E5"/>
    <w:rsid w:val="00527588"/>
    <w:rsid w:val="005308D9"/>
    <w:rsid w:val="00531FAF"/>
    <w:rsid w:val="005323EA"/>
    <w:rsid w:val="00533244"/>
    <w:rsid w:val="005346AD"/>
    <w:rsid w:val="00534BB1"/>
    <w:rsid w:val="00535AAE"/>
    <w:rsid w:val="00537714"/>
    <w:rsid w:val="0053772C"/>
    <w:rsid w:val="00537F0D"/>
    <w:rsid w:val="0054066F"/>
    <w:rsid w:val="0054167C"/>
    <w:rsid w:val="00542732"/>
    <w:rsid w:val="00542746"/>
    <w:rsid w:val="00543DB6"/>
    <w:rsid w:val="00546385"/>
    <w:rsid w:val="00546D10"/>
    <w:rsid w:val="005473BF"/>
    <w:rsid w:val="0055167A"/>
    <w:rsid w:val="00551ECB"/>
    <w:rsid w:val="00552139"/>
    <w:rsid w:val="005527A2"/>
    <w:rsid w:val="00552EC7"/>
    <w:rsid w:val="00556179"/>
    <w:rsid w:val="0055768D"/>
    <w:rsid w:val="005578CC"/>
    <w:rsid w:val="0056124F"/>
    <w:rsid w:val="00565CC8"/>
    <w:rsid w:val="00565DC8"/>
    <w:rsid w:val="005702F8"/>
    <w:rsid w:val="00570E83"/>
    <w:rsid w:val="005745C9"/>
    <w:rsid w:val="005760B7"/>
    <w:rsid w:val="00576BB1"/>
    <w:rsid w:val="005772D7"/>
    <w:rsid w:val="005801B8"/>
    <w:rsid w:val="00581AFA"/>
    <w:rsid w:val="005826F8"/>
    <w:rsid w:val="005827D6"/>
    <w:rsid w:val="00582CF4"/>
    <w:rsid w:val="00582DEE"/>
    <w:rsid w:val="005841E7"/>
    <w:rsid w:val="005855E7"/>
    <w:rsid w:val="00586369"/>
    <w:rsid w:val="0059011B"/>
    <w:rsid w:val="005904EB"/>
    <w:rsid w:val="00590F8E"/>
    <w:rsid w:val="00591222"/>
    <w:rsid w:val="0059157B"/>
    <w:rsid w:val="005915AA"/>
    <w:rsid w:val="00593172"/>
    <w:rsid w:val="0059353C"/>
    <w:rsid w:val="00594281"/>
    <w:rsid w:val="0059457B"/>
    <w:rsid w:val="00595BF0"/>
    <w:rsid w:val="00597CD6"/>
    <w:rsid w:val="005A7E1C"/>
    <w:rsid w:val="005B0410"/>
    <w:rsid w:val="005B0ABC"/>
    <w:rsid w:val="005B0B03"/>
    <w:rsid w:val="005B42EE"/>
    <w:rsid w:val="005B4F74"/>
    <w:rsid w:val="005C02F4"/>
    <w:rsid w:val="005C0C18"/>
    <w:rsid w:val="005C12D9"/>
    <w:rsid w:val="005C1363"/>
    <w:rsid w:val="005C1413"/>
    <w:rsid w:val="005C14CF"/>
    <w:rsid w:val="005C3761"/>
    <w:rsid w:val="005C718E"/>
    <w:rsid w:val="005D1090"/>
    <w:rsid w:val="005D2012"/>
    <w:rsid w:val="005D22F0"/>
    <w:rsid w:val="005D24DA"/>
    <w:rsid w:val="005D2BD4"/>
    <w:rsid w:val="005D3FE3"/>
    <w:rsid w:val="005D5E9C"/>
    <w:rsid w:val="005D7039"/>
    <w:rsid w:val="005E0449"/>
    <w:rsid w:val="005E3021"/>
    <w:rsid w:val="005E7795"/>
    <w:rsid w:val="005F0EDB"/>
    <w:rsid w:val="005F148A"/>
    <w:rsid w:val="005F2095"/>
    <w:rsid w:val="005F23AE"/>
    <w:rsid w:val="005F3A26"/>
    <w:rsid w:val="005F7A41"/>
    <w:rsid w:val="00604276"/>
    <w:rsid w:val="006044E2"/>
    <w:rsid w:val="00604673"/>
    <w:rsid w:val="0061069F"/>
    <w:rsid w:val="00610834"/>
    <w:rsid w:val="00613457"/>
    <w:rsid w:val="0062099F"/>
    <w:rsid w:val="00620F51"/>
    <w:rsid w:val="00621FEB"/>
    <w:rsid w:val="00622864"/>
    <w:rsid w:val="00622963"/>
    <w:rsid w:val="00623671"/>
    <w:rsid w:val="00624096"/>
    <w:rsid w:val="00624311"/>
    <w:rsid w:val="006256D0"/>
    <w:rsid w:val="00625897"/>
    <w:rsid w:val="00626B17"/>
    <w:rsid w:val="00630F89"/>
    <w:rsid w:val="006320FE"/>
    <w:rsid w:val="00635C76"/>
    <w:rsid w:val="00635D22"/>
    <w:rsid w:val="0063628D"/>
    <w:rsid w:val="00637715"/>
    <w:rsid w:val="00637AC4"/>
    <w:rsid w:val="00641BF0"/>
    <w:rsid w:val="00642FF5"/>
    <w:rsid w:val="00643E6E"/>
    <w:rsid w:val="0064404C"/>
    <w:rsid w:val="00644E66"/>
    <w:rsid w:val="00644EAF"/>
    <w:rsid w:val="00646C23"/>
    <w:rsid w:val="00650FA7"/>
    <w:rsid w:val="00651127"/>
    <w:rsid w:val="00652AF4"/>
    <w:rsid w:val="006571D4"/>
    <w:rsid w:val="00657732"/>
    <w:rsid w:val="00660766"/>
    <w:rsid w:val="00662E51"/>
    <w:rsid w:val="00663DAC"/>
    <w:rsid w:val="00666039"/>
    <w:rsid w:val="00666D64"/>
    <w:rsid w:val="00666F64"/>
    <w:rsid w:val="00667F18"/>
    <w:rsid w:val="00674C23"/>
    <w:rsid w:val="006752CF"/>
    <w:rsid w:val="006753BA"/>
    <w:rsid w:val="00676725"/>
    <w:rsid w:val="006779B3"/>
    <w:rsid w:val="00680494"/>
    <w:rsid w:val="00680573"/>
    <w:rsid w:val="00681633"/>
    <w:rsid w:val="00681DCA"/>
    <w:rsid w:val="00682527"/>
    <w:rsid w:val="00691B27"/>
    <w:rsid w:val="00692DD0"/>
    <w:rsid w:val="006934FC"/>
    <w:rsid w:val="00693917"/>
    <w:rsid w:val="00693AAD"/>
    <w:rsid w:val="006A2F91"/>
    <w:rsid w:val="006A6D4E"/>
    <w:rsid w:val="006B206F"/>
    <w:rsid w:val="006B36F8"/>
    <w:rsid w:val="006B4585"/>
    <w:rsid w:val="006B5877"/>
    <w:rsid w:val="006B69AF"/>
    <w:rsid w:val="006C0099"/>
    <w:rsid w:val="006C0572"/>
    <w:rsid w:val="006C1887"/>
    <w:rsid w:val="006C1FC8"/>
    <w:rsid w:val="006C3C50"/>
    <w:rsid w:val="006C4BB8"/>
    <w:rsid w:val="006C53AC"/>
    <w:rsid w:val="006C768C"/>
    <w:rsid w:val="006D01EB"/>
    <w:rsid w:val="006D156E"/>
    <w:rsid w:val="006D445F"/>
    <w:rsid w:val="006D6400"/>
    <w:rsid w:val="006D6C21"/>
    <w:rsid w:val="006E0AEB"/>
    <w:rsid w:val="006E216E"/>
    <w:rsid w:val="006E485F"/>
    <w:rsid w:val="006E5B3D"/>
    <w:rsid w:val="006F0300"/>
    <w:rsid w:val="006F046D"/>
    <w:rsid w:val="006F0A11"/>
    <w:rsid w:val="006F0C52"/>
    <w:rsid w:val="006F2EB3"/>
    <w:rsid w:val="006F3F07"/>
    <w:rsid w:val="006F486D"/>
    <w:rsid w:val="006F4ABE"/>
    <w:rsid w:val="006F54A6"/>
    <w:rsid w:val="006F7F23"/>
    <w:rsid w:val="0070022C"/>
    <w:rsid w:val="00706A37"/>
    <w:rsid w:val="00706FA4"/>
    <w:rsid w:val="00711DB0"/>
    <w:rsid w:val="00712783"/>
    <w:rsid w:val="00712BA7"/>
    <w:rsid w:val="00712D57"/>
    <w:rsid w:val="007145C6"/>
    <w:rsid w:val="00716756"/>
    <w:rsid w:val="00716774"/>
    <w:rsid w:val="007167C9"/>
    <w:rsid w:val="007168D5"/>
    <w:rsid w:val="0072062E"/>
    <w:rsid w:val="0072068A"/>
    <w:rsid w:val="0072194A"/>
    <w:rsid w:val="00723F73"/>
    <w:rsid w:val="00725234"/>
    <w:rsid w:val="007260B0"/>
    <w:rsid w:val="0072733C"/>
    <w:rsid w:val="00727868"/>
    <w:rsid w:val="00730517"/>
    <w:rsid w:val="0073231B"/>
    <w:rsid w:val="00736413"/>
    <w:rsid w:val="0073714C"/>
    <w:rsid w:val="00737DEF"/>
    <w:rsid w:val="00742D78"/>
    <w:rsid w:val="00742FBB"/>
    <w:rsid w:val="0074579A"/>
    <w:rsid w:val="007468AC"/>
    <w:rsid w:val="0075150E"/>
    <w:rsid w:val="007567E2"/>
    <w:rsid w:val="00756D38"/>
    <w:rsid w:val="00756F89"/>
    <w:rsid w:val="007576EC"/>
    <w:rsid w:val="00757C0E"/>
    <w:rsid w:val="007602AE"/>
    <w:rsid w:val="00760462"/>
    <w:rsid w:val="0076647E"/>
    <w:rsid w:val="00767314"/>
    <w:rsid w:val="00767FCC"/>
    <w:rsid w:val="00770A72"/>
    <w:rsid w:val="007717D2"/>
    <w:rsid w:val="007722C2"/>
    <w:rsid w:val="007731D9"/>
    <w:rsid w:val="00773AC6"/>
    <w:rsid w:val="00780BF5"/>
    <w:rsid w:val="00780D0D"/>
    <w:rsid w:val="0078751B"/>
    <w:rsid w:val="007910AB"/>
    <w:rsid w:val="00791F34"/>
    <w:rsid w:val="00791FF6"/>
    <w:rsid w:val="00794544"/>
    <w:rsid w:val="00794D33"/>
    <w:rsid w:val="00794F01"/>
    <w:rsid w:val="00797875"/>
    <w:rsid w:val="007A1619"/>
    <w:rsid w:val="007A46CF"/>
    <w:rsid w:val="007A6EAE"/>
    <w:rsid w:val="007A75A4"/>
    <w:rsid w:val="007B13A2"/>
    <w:rsid w:val="007B57E8"/>
    <w:rsid w:val="007B7434"/>
    <w:rsid w:val="007B7ED5"/>
    <w:rsid w:val="007C089B"/>
    <w:rsid w:val="007C1C18"/>
    <w:rsid w:val="007C3918"/>
    <w:rsid w:val="007C3FC5"/>
    <w:rsid w:val="007C78C4"/>
    <w:rsid w:val="007D009A"/>
    <w:rsid w:val="007D0F93"/>
    <w:rsid w:val="007D1C55"/>
    <w:rsid w:val="007D1F80"/>
    <w:rsid w:val="007D7ED8"/>
    <w:rsid w:val="007E1797"/>
    <w:rsid w:val="007E1EEB"/>
    <w:rsid w:val="007E2558"/>
    <w:rsid w:val="007E38FA"/>
    <w:rsid w:val="007E457D"/>
    <w:rsid w:val="007F3C16"/>
    <w:rsid w:val="00800E44"/>
    <w:rsid w:val="008052A8"/>
    <w:rsid w:val="0081042A"/>
    <w:rsid w:val="0081062E"/>
    <w:rsid w:val="008112FE"/>
    <w:rsid w:val="00811F39"/>
    <w:rsid w:val="00813AA9"/>
    <w:rsid w:val="00814BAA"/>
    <w:rsid w:val="008154ED"/>
    <w:rsid w:val="00815D5C"/>
    <w:rsid w:val="00817495"/>
    <w:rsid w:val="00820D79"/>
    <w:rsid w:val="00821233"/>
    <w:rsid w:val="00822A18"/>
    <w:rsid w:val="0082302F"/>
    <w:rsid w:val="00823F6F"/>
    <w:rsid w:val="0083144A"/>
    <w:rsid w:val="008330F3"/>
    <w:rsid w:val="00833802"/>
    <w:rsid w:val="00834156"/>
    <w:rsid w:val="00834612"/>
    <w:rsid w:val="008369F0"/>
    <w:rsid w:val="008448A7"/>
    <w:rsid w:val="008454AD"/>
    <w:rsid w:val="0084694C"/>
    <w:rsid w:val="00846A1D"/>
    <w:rsid w:val="00850D8C"/>
    <w:rsid w:val="00851B08"/>
    <w:rsid w:val="00853BE0"/>
    <w:rsid w:val="008573FD"/>
    <w:rsid w:val="00857518"/>
    <w:rsid w:val="00857CAF"/>
    <w:rsid w:val="00860F0D"/>
    <w:rsid w:val="00861AF2"/>
    <w:rsid w:val="00862378"/>
    <w:rsid w:val="008647D4"/>
    <w:rsid w:val="00864D6D"/>
    <w:rsid w:val="00864E0A"/>
    <w:rsid w:val="00865060"/>
    <w:rsid w:val="00866F87"/>
    <w:rsid w:val="0086772F"/>
    <w:rsid w:val="00867824"/>
    <w:rsid w:val="00873017"/>
    <w:rsid w:val="00873BFC"/>
    <w:rsid w:val="00875271"/>
    <w:rsid w:val="008774C9"/>
    <w:rsid w:val="0088370F"/>
    <w:rsid w:val="008853EF"/>
    <w:rsid w:val="0088577E"/>
    <w:rsid w:val="00885F67"/>
    <w:rsid w:val="00886D5D"/>
    <w:rsid w:val="00890EF6"/>
    <w:rsid w:val="0089134E"/>
    <w:rsid w:val="00891772"/>
    <w:rsid w:val="00892350"/>
    <w:rsid w:val="00893BEE"/>
    <w:rsid w:val="00893DA9"/>
    <w:rsid w:val="00896BAE"/>
    <w:rsid w:val="008A207E"/>
    <w:rsid w:val="008A3433"/>
    <w:rsid w:val="008A550C"/>
    <w:rsid w:val="008B0565"/>
    <w:rsid w:val="008B05FE"/>
    <w:rsid w:val="008B1C57"/>
    <w:rsid w:val="008B1F40"/>
    <w:rsid w:val="008B2BFC"/>
    <w:rsid w:val="008B3393"/>
    <w:rsid w:val="008B35BA"/>
    <w:rsid w:val="008B3E19"/>
    <w:rsid w:val="008B3EE7"/>
    <w:rsid w:val="008B5E9A"/>
    <w:rsid w:val="008B6B43"/>
    <w:rsid w:val="008B7D0D"/>
    <w:rsid w:val="008C02A9"/>
    <w:rsid w:val="008C121C"/>
    <w:rsid w:val="008C4FC2"/>
    <w:rsid w:val="008C51E6"/>
    <w:rsid w:val="008C5239"/>
    <w:rsid w:val="008C689D"/>
    <w:rsid w:val="008D2EBF"/>
    <w:rsid w:val="008D3309"/>
    <w:rsid w:val="008D5BAD"/>
    <w:rsid w:val="008E26B5"/>
    <w:rsid w:val="008E3FDA"/>
    <w:rsid w:val="008E5186"/>
    <w:rsid w:val="008E62D0"/>
    <w:rsid w:val="008E658B"/>
    <w:rsid w:val="008E66B6"/>
    <w:rsid w:val="008E6CD9"/>
    <w:rsid w:val="008F264C"/>
    <w:rsid w:val="008F373B"/>
    <w:rsid w:val="008F5FE6"/>
    <w:rsid w:val="008F6350"/>
    <w:rsid w:val="00900266"/>
    <w:rsid w:val="0090048B"/>
    <w:rsid w:val="009014F3"/>
    <w:rsid w:val="00901C30"/>
    <w:rsid w:val="009129E8"/>
    <w:rsid w:val="00914721"/>
    <w:rsid w:val="00914B35"/>
    <w:rsid w:val="00916469"/>
    <w:rsid w:val="00916D7D"/>
    <w:rsid w:val="00917AE6"/>
    <w:rsid w:val="00917F76"/>
    <w:rsid w:val="00922060"/>
    <w:rsid w:val="00924D01"/>
    <w:rsid w:val="00927951"/>
    <w:rsid w:val="009313F1"/>
    <w:rsid w:val="00932D1E"/>
    <w:rsid w:val="00933085"/>
    <w:rsid w:val="00934DB2"/>
    <w:rsid w:val="00940573"/>
    <w:rsid w:val="00944177"/>
    <w:rsid w:val="00944B22"/>
    <w:rsid w:val="00944C89"/>
    <w:rsid w:val="00945CBA"/>
    <w:rsid w:val="00945F42"/>
    <w:rsid w:val="00947E67"/>
    <w:rsid w:val="00947F8E"/>
    <w:rsid w:val="009507C0"/>
    <w:rsid w:val="00951DC4"/>
    <w:rsid w:val="009529C4"/>
    <w:rsid w:val="00952E40"/>
    <w:rsid w:val="0095328A"/>
    <w:rsid w:val="00957FE7"/>
    <w:rsid w:val="00961F1E"/>
    <w:rsid w:val="00962409"/>
    <w:rsid w:val="00963C7F"/>
    <w:rsid w:val="0097575B"/>
    <w:rsid w:val="00975D2B"/>
    <w:rsid w:val="009772B9"/>
    <w:rsid w:val="0098089B"/>
    <w:rsid w:val="00980AA9"/>
    <w:rsid w:val="00985D97"/>
    <w:rsid w:val="00985F14"/>
    <w:rsid w:val="0098613E"/>
    <w:rsid w:val="00987FF8"/>
    <w:rsid w:val="009946C2"/>
    <w:rsid w:val="00995387"/>
    <w:rsid w:val="0099540F"/>
    <w:rsid w:val="00995C14"/>
    <w:rsid w:val="0099696A"/>
    <w:rsid w:val="009A0973"/>
    <w:rsid w:val="009A10FC"/>
    <w:rsid w:val="009A3433"/>
    <w:rsid w:val="009A416A"/>
    <w:rsid w:val="009A4479"/>
    <w:rsid w:val="009A4873"/>
    <w:rsid w:val="009A6D7B"/>
    <w:rsid w:val="009B280B"/>
    <w:rsid w:val="009B2D54"/>
    <w:rsid w:val="009B48CB"/>
    <w:rsid w:val="009B4EEE"/>
    <w:rsid w:val="009B6B3B"/>
    <w:rsid w:val="009B7945"/>
    <w:rsid w:val="009B7A17"/>
    <w:rsid w:val="009C0FF4"/>
    <w:rsid w:val="009C16C9"/>
    <w:rsid w:val="009C559F"/>
    <w:rsid w:val="009C56EA"/>
    <w:rsid w:val="009C62D2"/>
    <w:rsid w:val="009D30AA"/>
    <w:rsid w:val="009D3ADD"/>
    <w:rsid w:val="009E1639"/>
    <w:rsid w:val="009E3894"/>
    <w:rsid w:val="009E4D9A"/>
    <w:rsid w:val="009F0642"/>
    <w:rsid w:val="009F2943"/>
    <w:rsid w:val="00A00378"/>
    <w:rsid w:val="00A03C7D"/>
    <w:rsid w:val="00A069BF"/>
    <w:rsid w:val="00A07949"/>
    <w:rsid w:val="00A110CD"/>
    <w:rsid w:val="00A11EEA"/>
    <w:rsid w:val="00A129DD"/>
    <w:rsid w:val="00A152B0"/>
    <w:rsid w:val="00A179F8"/>
    <w:rsid w:val="00A216F3"/>
    <w:rsid w:val="00A22118"/>
    <w:rsid w:val="00A22E22"/>
    <w:rsid w:val="00A243A1"/>
    <w:rsid w:val="00A256B0"/>
    <w:rsid w:val="00A31013"/>
    <w:rsid w:val="00A31062"/>
    <w:rsid w:val="00A313A1"/>
    <w:rsid w:val="00A34E94"/>
    <w:rsid w:val="00A35586"/>
    <w:rsid w:val="00A35C47"/>
    <w:rsid w:val="00A37BAF"/>
    <w:rsid w:val="00A37D11"/>
    <w:rsid w:val="00A40448"/>
    <w:rsid w:val="00A42204"/>
    <w:rsid w:val="00A4383A"/>
    <w:rsid w:val="00A450B6"/>
    <w:rsid w:val="00A46C62"/>
    <w:rsid w:val="00A52ACD"/>
    <w:rsid w:val="00A53747"/>
    <w:rsid w:val="00A545F3"/>
    <w:rsid w:val="00A54B8D"/>
    <w:rsid w:val="00A54D6F"/>
    <w:rsid w:val="00A568E3"/>
    <w:rsid w:val="00A5721A"/>
    <w:rsid w:val="00A66147"/>
    <w:rsid w:val="00A67ADB"/>
    <w:rsid w:val="00A7194E"/>
    <w:rsid w:val="00A73583"/>
    <w:rsid w:val="00A745C3"/>
    <w:rsid w:val="00A7597A"/>
    <w:rsid w:val="00A761DE"/>
    <w:rsid w:val="00A77903"/>
    <w:rsid w:val="00A77B50"/>
    <w:rsid w:val="00A82906"/>
    <w:rsid w:val="00A82E25"/>
    <w:rsid w:val="00A83B0B"/>
    <w:rsid w:val="00A869D5"/>
    <w:rsid w:val="00A97256"/>
    <w:rsid w:val="00A9782E"/>
    <w:rsid w:val="00AA09A2"/>
    <w:rsid w:val="00AA23DA"/>
    <w:rsid w:val="00AA249D"/>
    <w:rsid w:val="00AA2C1B"/>
    <w:rsid w:val="00AA2E32"/>
    <w:rsid w:val="00AA684F"/>
    <w:rsid w:val="00AA710E"/>
    <w:rsid w:val="00AA74FF"/>
    <w:rsid w:val="00AB0408"/>
    <w:rsid w:val="00AB177A"/>
    <w:rsid w:val="00AB237A"/>
    <w:rsid w:val="00AB441B"/>
    <w:rsid w:val="00AC19FF"/>
    <w:rsid w:val="00AC7EC7"/>
    <w:rsid w:val="00AD10E9"/>
    <w:rsid w:val="00AD13C8"/>
    <w:rsid w:val="00AD3355"/>
    <w:rsid w:val="00AD3D85"/>
    <w:rsid w:val="00AD610F"/>
    <w:rsid w:val="00AE224A"/>
    <w:rsid w:val="00AE3161"/>
    <w:rsid w:val="00AE4532"/>
    <w:rsid w:val="00AE6B45"/>
    <w:rsid w:val="00AF13AF"/>
    <w:rsid w:val="00AF17C8"/>
    <w:rsid w:val="00AF2481"/>
    <w:rsid w:val="00AF2A2C"/>
    <w:rsid w:val="00AF3EF8"/>
    <w:rsid w:val="00AF4CAE"/>
    <w:rsid w:val="00AF52CF"/>
    <w:rsid w:val="00AF63BA"/>
    <w:rsid w:val="00AF6AAA"/>
    <w:rsid w:val="00AF7BF2"/>
    <w:rsid w:val="00B00A85"/>
    <w:rsid w:val="00B00AFA"/>
    <w:rsid w:val="00B020BA"/>
    <w:rsid w:val="00B03538"/>
    <w:rsid w:val="00B044C3"/>
    <w:rsid w:val="00B068C8"/>
    <w:rsid w:val="00B06DDB"/>
    <w:rsid w:val="00B12B6C"/>
    <w:rsid w:val="00B12D3C"/>
    <w:rsid w:val="00B12EE5"/>
    <w:rsid w:val="00B12F74"/>
    <w:rsid w:val="00B138AE"/>
    <w:rsid w:val="00B14159"/>
    <w:rsid w:val="00B14752"/>
    <w:rsid w:val="00B16BF8"/>
    <w:rsid w:val="00B21DB9"/>
    <w:rsid w:val="00B24A5E"/>
    <w:rsid w:val="00B253D6"/>
    <w:rsid w:val="00B26900"/>
    <w:rsid w:val="00B276DF"/>
    <w:rsid w:val="00B300A8"/>
    <w:rsid w:val="00B31B8B"/>
    <w:rsid w:val="00B32021"/>
    <w:rsid w:val="00B3430C"/>
    <w:rsid w:val="00B41398"/>
    <w:rsid w:val="00B4277B"/>
    <w:rsid w:val="00B4313F"/>
    <w:rsid w:val="00B436DC"/>
    <w:rsid w:val="00B43D4A"/>
    <w:rsid w:val="00B449CF"/>
    <w:rsid w:val="00B455F3"/>
    <w:rsid w:val="00B45FE2"/>
    <w:rsid w:val="00B4620E"/>
    <w:rsid w:val="00B545EB"/>
    <w:rsid w:val="00B554FA"/>
    <w:rsid w:val="00B556B3"/>
    <w:rsid w:val="00B55956"/>
    <w:rsid w:val="00B55A78"/>
    <w:rsid w:val="00B57C56"/>
    <w:rsid w:val="00B60868"/>
    <w:rsid w:val="00B60F79"/>
    <w:rsid w:val="00B62862"/>
    <w:rsid w:val="00B62AB1"/>
    <w:rsid w:val="00B630E3"/>
    <w:rsid w:val="00B63914"/>
    <w:rsid w:val="00B6486E"/>
    <w:rsid w:val="00B65196"/>
    <w:rsid w:val="00B65684"/>
    <w:rsid w:val="00B6638D"/>
    <w:rsid w:val="00B664D1"/>
    <w:rsid w:val="00B66C8C"/>
    <w:rsid w:val="00B72DBB"/>
    <w:rsid w:val="00B74F97"/>
    <w:rsid w:val="00B77B6C"/>
    <w:rsid w:val="00B81885"/>
    <w:rsid w:val="00B81A5F"/>
    <w:rsid w:val="00B822A0"/>
    <w:rsid w:val="00B837DE"/>
    <w:rsid w:val="00B84065"/>
    <w:rsid w:val="00B8509A"/>
    <w:rsid w:val="00B91075"/>
    <w:rsid w:val="00B93254"/>
    <w:rsid w:val="00BA148B"/>
    <w:rsid w:val="00BA1565"/>
    <w:rsid w:val="00BA173C"/>
    <w:rsid w:val="00BA21D1"/>
    <w:rsid w:val="00BA41B9"/>
    <w:rsid w:val="00BA546F"/>
    <w:rsid w:val="00BA54A5"/>
    <w:rsid w:val="00BA657D"/>
    <w:rsid w:val="00BA6847"/>
    <w:rsid w:val="00BB093F"/>
    <w:rsid w:val="00BB5571"/>
    <w:rsid w:val="00BB5DF3"/>
    <w:rsid w:val="00BB690E"/>
    <w:rsid w:val="00BC0612"/>
    <w:rsid w:val="00BC1B66"/>
    <w:rsid w:val="00BC2BE2"/>
    <w:rsid w:val="00BC623E"/>
    <w:rsid w:val="00BC6902"/>
    <w:rsid w:val="00BC7D5A"/>
    <w:rsid w:val="00BC7E6C"/>
    <w:rsid w:val="00BD1272"/>
    <w:rsid w:val="00BD1A00"/>
    <w:rsid w:val="00BD377E"/>
    <w:rsid w:val="00BD3A70"/>
    <w:rsid w:val="00BE07C8"/>
    <w:rsid w:val="00BE1EDB"/>
    <w:rsid w:val="00BE229A"/>
    <w:rsid w:val="00BE2F02"/>
    <w:rsid w:val="00BE4490"/>
    <w:rsid w:val="00BF0A4A"/>
    <w:rsid w:val="00BF0C7D"/>
    <w:rsid w:val="00BF2BFD"/>
    <w:rsid w:val="00BF2EAE"/>
    <w:rsid w:val="00BF4D2D"/>
    <w:rsid w:val="00BF5B45"/>
    <w:rsid w:val="00BF6583"/>
    <w:rsid w:val="00C044EE"/>
    <w:rsid w:val="00C04933"/>
    <w:rsid w:val="00C052E8"/>
    <w:rsid w:val="00C05AF2"/>
    <w:rsid w:val="00C06FED"/>
    <w:rsid w:val="00C07914"/>
    <w:rsid w:val="00C1042C"/>
    <w:rsid w:val="00C110AF"/>
    <w:rsid w:val="00C116EE"/>
    <w:rsid w:val="00C1265C"/>
    <w:rsid w:val="00C1293B"/>
    <w:rsid w:val="00C12E5E"/>
    <w:rsid w:val="00C15BDB"/>
    <w:rsid w:val="00C168A2"/>
    <w:rsid w:val="00C17B51"/>
    <w:rsid w:val="00C21A13"/>
    <w:rsid w:val="00C254EA"/>
    <w:rsid w:val="00C33C6B"/>
    <w:rsid w:val="00C3445E"/>
    <w:rsid w:val="00C34549"/>
    <w:rsid w:val="00C3477C"/>
    <w:rsid w:val="00C34E34"/>
    <w:rsid w:val="00C3780E"/>
    <w:rsid w:val="00C4180B"/>
    <w:rsid w:val="00C44574"/>
    <w:rsid w:val="00C45EA0"/>
    <w:rsid w:val="00C46054"/>
    <w:rsid w:val="00C46294"/>
    <w:rsid w:val="00C473EA"/>
    <w:rsid w:val="00C47D31"/>
    <w:rsid w:val="00C53125"/>
    <w:rsid w:val="00C53BDC"/>
    <w:rsid w:val="00C555F9"/>
    <w:rsid w:val="00C562EE"/>
    <w:rsid w:val="00C60DCA"/>
    <w:rsid w:val="00C63088"/>
    <w:rsid w:val="00C6490E"/>
    <w:rsid w:val="00C65148"/>
    <w:rsid w:val="00C65526"/>
    <w:rsid w:val="00C70592"/>
    <w:rsid w:val="00C737F6"/>
    <w:rsid w:val="00C73980"/>
    <w:rsid w:val="00C73A4C"/>
    <w:rsid w:val="00C73CCE"/>
    <w:rsid w:val="00C75A79"/>
    <w:rsid w:val="00C77E49"/>
    <w:rsid w:val="00C8093B"/>
    <w:rsid w:val="00C84044"/>
    <w:rsid w:val="00C8441D"/>
    <w:rsid w:val="00C87110"/>
    <w:rsid w:val="00C90ED3"/>
    <w:rsid w:val="00C91D78"/>
    <w:rsid w:val="00C93A48"/>
    <w:rsid w:val="00C93AB0"/>
    <w:rsid w:val="00C9494F"/>
    <w:rsid w:val="00C97172"/>
    <w:rsid w:val="00CA0657"/>
    <w:rsid w:val="00CA1506"/>
    <w:rsid w:val="00CA32B1"/>
    <w:rsid w:val="00CA3C28"/>
    <w:rsid w:val="00CA7B74"/>
    <w:rsid w:val="00CA7DD2"/>
    <w:rsid w:val="00CB364C"/>
    <w:rsid w:val="00CB62A6"/>
    <w:rsid w:val="00CC1128"/>
    <w:rsid w:val="00CC3DCB"/>
    <w:rsid w:val="00CC6762"/>
    <w:rsid w:val="00CD148D"/>
    <w:rsid w:val="00CD1C86"/>
    <w:rsid w:val="00CD2575"/>
    <w:rsid w:val="00CD257D"/>
    <w:rsid w:val="00CD7155"/>
    <w:rsid w:val="00CD7FDD"/>
    <w:rsid w:val="00CE1A56"/>
    <w:rsid w:val="00CE2013"/>
    <w:rsid w:val="00CE4633"/>
    <w:rsid w:val="00CE5F03"/>
    <w:rsid w:val="00CE6832"/>
    <w:rsid w:val="00CE7136"/>
    <w:rsid w:val="00CF0FC4"/>
    <w:rsid w:val="00CF1E88"/>
    <w:rsid w:val="00CF305D"/>
    <w:rsid w:val="00CF311B"/>
    <w:rsid w:val="00CF3423"/>
    <w:rsid w:val="00CF34F3"/>
    <w:rsid w:val="00CF77EE"/>
    <w:rsid w:val="00D00EED"/>
    <w:rsid w:val="00D048C3"/>
    <w:rsid w:val="00D161AA"/>
    <w:rsid w:val="00D172B2"/>
    <w:rsid w:val="00D2260F"/>
    <w:rsid w:val="00D22F08"/>
    <w:rsid w:val="00D22F1F"/>
    <w:rsid w:val="00D230BB"/>
    <w:rsid w:val="00D236CF"/>
    <w:rsid w:val="00D23A34"/>
    <w:rsid w:val="00D27234"/>
    <w:rsid w:val="00D27274"/>
    <w:rsid w:val="00D31AA8"/>
    <w:rsid w:val="00D31FE6"/>
    <w:rsid w:val="00D34428"/>
    <w:rsid w:val="00D350C2"/>
    <w:rsid w:val="00D36D4A"/>
    <w:rsid w:val="00D4372E"/>
    <w:rsid w:val="00D47770"/>
    <w:rsid w:val="00D50615"/>
    <w:rsid w:val="00D50917"/>
    <w:rsid w:val="00D50C76"/>
    <w:rsid w:val="00D54008"/>
    <w:rsid w:val="00D548CF"/>
    <w:rsid w:val="00D55940"/>
    <w:rsid w:val="00D56D63"/>
    <w:rsid w:val="00D56E1C"/>
    <w:rsid w:val="00D57581"/>
    <w:rsid w:val="00D60F02"/>
    <w:rsid w:val="00D61202"/>
    <w:rsid w:val="00D6299E"/>
    <w:rsid w:val="00D62A71"/>
    <w:rsid w:val="00D6517E"/>
    <w:rsid w:val="00D66725"/>
    <w:rsid w:val="00D703BD"/>
    <w:rsid w:val="00D74351"/>
    <w:rsid w:val="00D7591C"/>
    <w:rsid w:val="00D76362"/>
    <w:rsid w:val="00D77765"/>
    <w:rsid w:val="00D80A7C"/>
    <w:rsid w:val="00D81768"/>
    <w:rsid w:val="00D82CF6"/>
    <w:rsid w:val="00D82D6D"/>
    <w:rsid w:val="00D83C3B"/>
    <w:rsid w:val="00D87E04"/>
    <w:rsid w:val="00D90305"/>
    <w:rsid w:val="00D904C3"/>
    <w:rsid w:val="00D90DCC"/>
    <w:rsid w:val="00D92BA0"/>
    <w:rsid w:val="00D9459A"/>
    <w:rsid w:val="00D96DC2"/>
    <w:rsid w:val="00DA057B"/>
    <w:rsid w:val="00DA164D"/>
    <w:rsid w:val="00DA16FA"/>
    <w:rsid w:val="00DA2716"/>
    <w:rsid w:val="00DA2E9F"/>
    <w:rsid w:val="00DA3FA9"/>
    <w:rsid w:val="00DA4880"/>
    <w:rsid w:val="00DA4A33"/>
    <w:rsid w:val="00DA79D7"/>
    <w:rsid w:val="00DB1EAB"/>
    <w:rsid w:val="00DB2E86"/>
    <w:rsid w:val="00DB32A6"/>
    <w:rsid w:val="00DB4901"/>
    <w:rsid w:val="00DB4BF0"/>
    <w:rsid w:val="00DB664D"/>
    <w:rsid w:val="00DB7C28"/>
    <w:rsid w:val="00DB7C49"/>
    <w:rsid w:val="00DC2775"/>
    <w:rsid w:val="00DC33DE"/>
    <w:rsid w:val="00DC4C2B"/>
    <w:rsid w:val="00DC6EB0"/>
    <w:rsid w:val="00DC7DB7"/>
    <w:rsid w:val="00DD1875"/>
    <w:rsid w:val="00DD2A7E"/>
    <w:rsid w:val="00DD3EA2"/>
    <w:rsid w:val="00DE1884"/>
    <w:rsid w:val="00DE467E"/>
    <w:rsid w:val="00DE5BA6"/>
    <w:rsid w:val="00DE769A"/>
    <w:rsid w:val="00DE7E10"/>
    <w:rsid w:val="00DF0558"/>
    <w:rsid w:val="00DF0B72"/>
    <w:rsid w:val="00DF4321"/>
    <w:rsid w:val="00DF5856"/>
    <w:rsid w:val="00DF5FDB"/>
    <w:rsid w:val="00DF636C"/>
    <w:rsid w:val="00DF64B0"/>
    <w:rsid w:val="00DF7A37"/>
    <w:rsid w:val="00E01574"/>
    <w:rsid w:val="00E02589"/>
    <w:rsid w:val="00E03161"/>
    <w:rsid w:val="00E03EC9"/>
    <w:rsid w:val="00E0492A"/>
    <w:rsid w:val="00E0574F"/>
    <w:rsid w:val="00E06449"/>
    <w:rsid w:val="00E07007"/>
    <w:rsid w:val="00E07E5D"/>
    <w:rsid w:val="00E10208"/>
    <w:rsid w:val="00E1242F"/>
    <w:rsid w:val="00E12910"/>
    <w:rsid w:val="00E13A4E"/>
    <w:rsid w:val="00E156E9"/>
    <w:rsid w:val="00E159BA"/>
    <w:rsid w:val="00E17945"/>
    <w:rsid w:val="00E21005"/>
    <w:rsid w:val="00E21EA9"/>
    <w:rsid w:val="00E220CB"/>
    <w:rsid w:val="00E22B35"/>
    <w:rsid w:val="00E2345D"/>
    <w:rsid w:val="00E234CB"/>
    <w:rsid w:val="00E24633"/>
    <w:rsid w:val="00E277A8"/>
    <w:rsid w:val="00E32BE3"/>
    <w:rsid w:val="00E33426"/>
    <w:rsid w:val="00E335F6"/>
    <w:rsid w:val="00E40E76"/>
    <w:rsid w:val="00E41616"/>
    <w:rsid w:val="00E42D7C"/>
    <w:rsid w:val="00E433C1"/>
    <w:rsid w:val="00E44CEE"/>
    <w:rsid w:val="00E4540F"/>
    <w:rsid w:val="00E46BF7"/>
    <w:rsid w:val="00E51DC3"/>
    <w:rsid w:val="00E521D3"/>
    <w:rsid w:val="00E52403"/>
    <w:rsid w:val="00E524C4"/>
    <w:rsid w:val="00E527A9"/>
    <w:rsid w:val="00E528E5"/>
    <w:rsid w:val="00E53700"/>
    <w:rsid w:val="00E5453F"/>
    <w:rsid w:val="00E5525E"/>
    <w:rsid w:val="00E57093"/>
    <w:rsid w:val="00E57984"/>
    <w:rsid w:val="00E57F0D"/>
    <w:rsid w:val="00E602ED"/>
    <w:rsid w:val="00E61C80"/>
    <w:rsid w:val="00E62C98"/>
    <w:rsid w:val="00E63C5B"/>
    <w:rsid w:val="00E63C87"/>
    <w:rsid w:val="00E64550"/>
    <w:rsid w:val="00E64667"/>
    <w:rsid w:val="00E64809"/>
    <w:rsid w:val="00E66814"/>
    <w:rsid w:val="00E66F1D"/>
    <w:rsid w:val="00E71E18"/>
    <w:rsid w:val="00E72D41"/>
    <w:rsid w:val="00E749FC"/>
    <w:rsid w:val="00E75861"/>
    <w:rsid w:val="00E75C9A"/>
    <w:rsid w:val="00E775DE"/>
    <w:rsid w:val="00E8047D"/>
    <w:rsid w:val="00E80876"/>
    <w:rsid w:val="00E80921"/>
    <w:rsid w:val="00E829FF"/>
    <w:rsid w:val="00E83CC8"/>
    <w:rsid w:val="00E84253"/>
    <w:rsid w:val="00E85C6D"/>
    <w:rsid w:val="00E86E80"/>
    <w:rsid w:val="00E87960"/>
    <w:rsid w:val="00E90BB9"/>
    <w:rsid w:val="00E92700"/>
    <w:rsid w:val="00E93218"/>
    <w:rsid w:val="00E9423B"/>
    <w:rsid w:val="00E94670"/>
    <w:rsid w:val="00E949BD"/>
    <w:rsid w:val="00E96299"/>
    <w:rsid w:val="00E9721F"/>
    <w:rsid w:val="00EA06CB"/>
    <w:rsid w:val="00EA0BF7"/>
    <w:rsid w:val="00EA17D9"/>
    <w:rsid w:val="00EA2F78"/>
    <w:rsid w:val="00EA37D0"/>
    <w:rsid w:val="00EA6F41"/>
    <w:rsid w:val="00EA7421"/>
    <w:rsid w:val="00EB03F3"/>
    <w:rsid w:val="00EB0966"/>
    <w:rsid w:val="00EB75F8"/>
    <w:rsid w:val="00EC3F61"/>
    <w:rsid w:val="00EC58CF"/>
    <w:rsid w:val="00ED391D"/>
    <w:rsid w:val="00ED402E"/>
    <w:rsid w:val="00ED4156"/>
    <w:rsid w:val="00ED45CF"/>
    <w:rsid w:val="00ED4601"/>
    <w:rsid w:val="00ED5518"/>
    <w:rsid w:val="00ED56BC"/>
    <w:rsid w:val="00ED759E"/>
    <w:rsid w:val="00EE0260"/>
    <w:rsid w:val="00EE18BB"/>
    <w:rsid w:val="00EE1963"/>
    <w:rsid w:val="00EE4C1D"/>
    <w:rsid w:val="00EE7AA7"/>
    <w:rsid w:val="00EF285D"/>
    <w:rsid w:val="00EF2B86"/>
    <w:rsid w:val="00EF2D56"/>
    <w:rsid w:val="00F027CB"/>
    <w:rsid w:val="00F037E5"/>
    <w:rsid w:val="00F03C33"/>
    <w:rsid w:val="00F0441C"/>
    <w:rsid w:val="00F0529A"/>
    <w:rsid w:val="00F05632"/>
    <w:rsid w:val="00F07884"/>
    <w:rsid w:val="00F079B0"/>
    <w:rsid w:val="00F1192C"/>
    <w:rsid w:val="00F11C7C"/>
    <w:rsid w:val="00F1267C"/>
    <w:rsid w:val="00F15568"/>
    <w:rsid w:val="00F15A5E"/>
    <w:rsid w:val="00F17AEE"/>
    <w:rsid w:val="00F25AAE"/>
    <w:rsid w:val="00F25B86"/>
    <w:rsid w:val="00F26035"/>
    <w:rsid w:val="00F274CD"/>
    <w:rsid w:val="00F32974"/>
    <w:rsid w:val="00F330A8"/>
    <w:rsid w:val="00F35DD1"/>
    <w:rsid w:val="00F371AD"/>
    <w:rsid w:val="00F408F7"/>
    <w:rsid w:val="00F412A0"/>
    <w:rsid w:val="00F4411B"/>
    <w:rsid w:val="00F44236"/>
    <w:rsid w:val="00F545A6"/>
    <w:rsid w:val="00F56CCC"/>
    <w:rsid w:val="00F57ABB"/>
    <w:rsid w:val="00F600CF"/>
    <w:rsid w:val="00F62D00"/>
    <w:rsid w:val="00F631AF"/>
    <w:rsid w:val="00F64F0F"/>
    <w:rsid w:val="00F665A9"/>
    <w:rsid w:val="00F670EE"/>
    <w:rsid w:val="00F679E1"/>
    <w:rsid w:val="00F67CCC"/>
    <w:rsid w:val="00F718A6"/>
    <w:rsid w:val="00F722FD"/>
    <w:rsid w:val="00F7434D"/>
    <w:rsid w:val="00F7515B"/>
    <w:rsid w:val="00F76A10"/>
    <w:rsid w:val="00F7799D"/>
    <w:rsid w:val="00F77A26"/>
    <w:rsid w:val="00F77EA1"/>
    <w:rsid w:val="00F804FE"/>
    <w:rsid w:val="00F83790"/>
    <w:rsid w:val="00F83ABE"/>
    <w:rsid w:val="00F841C0"/>
    <w:rsid w:val="00F8544A"/>
    <w:rsid w:val="00F91B9D"/>
    <w:rsid w:val="00F92B71"/>
    <w:rsid w:val="00F92CE6"/>
    <w:rsid w:val="00F92F6B"/>
    <w:rsid w:val="00F936D7"/>
    <w:rsid w:val="00F9405B"/>
    <w:rsid w:val="00F943B9"/>
    <w:rsid w:val="00F94DFF"/>
    <w:rsid w:val="00F9557F"/>
    <w:rsid w:val="00F964C9"/>
    <w:rsid w:val="00F967EE"/>
    <w:rsid w:val="00FA06E5"/>
    <w:rsid w:val="00FA09FC"/>
    <w:rsid w:val="00FA2F03"/>
    <w:rsid w:val="00FA4D7C"/>
    <w:rsid w:val="00FA5CF3"/>
    <w:rsid w:val="00FA610C"/>
    <w:rsid w:val="00FA6204"/>
    <w:rsid w:val="00FB0A9D"/>
    <w:rsid w:val="00FB3712"/>
    <w:rsid w:val="00FB4161"/>
    <w:rsid w:val="00FB470F"/>
    <w:rsid w:val="00FB66D9"/>
    <w:rsid w:val="00FB6FB8"/>
    <w:rsid w:val="00FC1C16"/>
    <w:rsid w:val="00FC3333"/>
    <w:rsid w:val="00FC4096"/>
    <w:rsid w:val="00FC47A8"/>
    <w:rsid w:val="00FC52B2"/>
    <w:rsid w:val="00FD0109"/>
    <w:rsid w:val="00FD017E"/>
    <w:rsid w:val="00FD1813"/>
    <w:rsid w:val="00FD1E9D"/>
    <w:rsid w:val="00FD5835"/>
    <w:rsid w:val="00FD5B26"/>
    <w:rsid w:val="00FD6D35"/>
    <w:rsid w:val="00FD746D"/>
    <w:rsid w:val="00FE1851"/>
    <w:rsid w:val="00FE2BB5"/>
    <w:rsid w:val="00FE3A8F"/>
    <w:rsid w:val="00FE589D"/>
    <w:rsid w:val="00FE706C"/>
    <w:rsid w:val="00FE7156"/>
    <w:rsid w:val="00FE76EA"/>
    <w:rsid w:val="00FF0455"/>
    <w:rsid w:val="00FF5C5C"/>
    <w:rsid w:val="00FF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98A56"/>
  <w15:chartTrackingRefBased/>
  <w15:docId w15:val="{FC63ED39-2A57-43EB-A916-8C4AA48B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97"/>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E6"/>
    <w:pPr>
      <w:ind w:left="720"/>
      <w:contextualSpacing/>
    </w:pPr>
  </w:style>
  <w:style w:type="paragraph" w:customStyle="1" w:styleId="xmsonormal">
    <w:name w:val="x_msonormal"/>
    <w:basedOn w:val="Normal"/>
    <w:rsid w:val="00127A7D"/>
  </w:style>
  <w:style w:type="paragraph" w:customStyle="1" w:styleId="xmsolistparagraph">
    <w:name w:val="x_msolistparagraph"/>
    <w:basedOn w:val="Normal"/>
    <w:rsid w:val="00127A7D"/>
    <w:pPr>
      <w:ind w:left="720"/>
    </w:pPr>
  </w:style>
  <w:style w:type="paragraph" w:customStyle="1" w:styleId="Default">
    <w:name w:val="Default"/>
    <w:link w:val="DefaultChar"/>
    <w:rsid w:val="00712D57"/>
    <w:pPr>
      <w:autoSpaceDE w:val="0"/>
      <w:autoSpaceDN w:val="0"/>
      <w:adjustRightInd w:val="0"/>
      <w:spacing w:after="0" w:line="240" w:lineRule="auto"/>
    </w:pPr>
    <w:rPr>
      <w:rFonts w:eastAsiaTheme="minorHAnsi"/>
      <w:color w:val="000000"/>
      <w:lang w:eastAsia="en-US"/>
    </w:rPr>
  </w:style>
  <w:style w:type="paragraph" w:customStyle="1" w:styleId="EndNoteBibliographyTitle">
    <w:name w:val="EndNote Bibliography Title"/>
    <w:basedOn w:val="Normal"/>
    <w:link w:val="EndNoteBibliographyTitleChar"/>
    <w:rsid w:val="00350641"/>
    <w:pPr>
      <w:jc w:val="center"/>
    </w:pPr>
    <w:rPr>
      <w:rFonts w:ascii="Times New Roman" w:hAnsi="Times New Roman" w:cs="Times New Roman"/>
      <w:noProof/>
      <w:sz w:val="24"/>
    </w:rPr>
  </w:style>
  <w:style w:type="character" w:customStyle="1" w:styleId="DefaultChar">
    <w:name w:val="Default Char"/>
    <w:basedOn w:val="DefaultParagraphFont"/>
    <w:link w:val="Default"/>
    <w:rsid w:val="00350641"/>
    <w:rPr>
      <w:rFonts w:eastAsiaTheme="minorHAnsi"/>
      <w:color w:val="000000"/>
      <w:lang w:eastAsia="en-US"/>
    </w:rPr>
  </w:style>
  <w:style w:type="character" w:customStyle="1" w:styleId="EndNoteBibliographyTitleChar">
    <w:name w:val="EndNote Bibliography Title Char"/>
    <w:basedOn w:val="DefaultChar"/>
    <w:link w:val="EndNoteBibliographyTitle"/>
    <w:rsid w:val="00350641"/>
    <w:rPr>
      <w:rFonts w:eastAsiaTheme="minorHAnsi"/>
      <w:noProof/>
      <w:color w:val="000000"/>
      <w:szCs w:val="22"/>
      <w:lang w:eastAsia="en-US"/>
    </w:rPr>
  </w:style>
  <w:style w:type="paragraph" w:customStyle="1" w:styleId="EndNoteBibliography">
    <w:name w:val="EndNote Bibliography"/>
    <w:basedOn w:val="Normal"/>
    <w:link w:val="EndNoteBibliographyChar"/>
    <w:rsid w:val="00350641"/>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350641"/>
    <w:rPr>
      <w:rFonts w:eastAsiaTheme="minorHAnsi"/>
      <w:noProof/>
      <w:color w:val="000000"/>
      <w:szCs w:val="22"/>
      <w:lang w:eastAsia="en-US"/>
    </w:rPr>
  </w:style>
  <w:style w:type="paragraph" w:styleId="Header">
    <w:name w:val="header"/>
    <w:basedOn w:val="Normal"/>
    <w:link w:val="HeaderChar"/>
    <w:uiPriority w:val="99"/>
    <w:unhideWhenUsed/>
    <w:rsid w:val="00F77EA1"/>
    <w:pPr>
      <w:tabs>
        <w:tab w:val="center" w:pos="4680"/>
        <w:tab w:val="right" w:pos="9360"/>
      </w:tabs>
    </w:pPr>
  </w:style>
  <w:style w:type="character" w:customStyle="1" w:styleId="HeaderChar">
    <w:name w:val="Header Char"/>
    <w:basedOn w:val="DefaultParagraphFont"/>
    <w:link w:val="Header"/>
    <w:uiPriority w:val="99"/>
    <w:rsid w:val="00F77EA1"/>
    <w:rPr>
      <w:rFonts w:ascii="Calibri" w:hAnsi="Calibri" w:cs="Calibri"/>
      <w:sz w:val="22"/>
      <w:szCs w:val="22"/>
    </w:rPr>
  </w:style>
  <w:style w:type="paragraph" w:styleId="Footer">
    <w:name w:val="footer"/>
    <w:basedOn w:val="Normal"/>
    <w:link w:val="FooterChar"/>
    <w:uiPriority w:val="99"/>
    <w:unhideWhenUsed/>
    <w:rsid w:val="00F77EA1"/>
    <w:pPr>
      <w:tabs>
        <w:tab w:val="center" w:pos="4680"/>
        <w:tab w:val="right" w:pos="9360"/>
      </w:tabs>
    </w:pPr>
  </w:style>
  <w:style w:type="character" w:customStyle="1" w:styleId="FooterChar">
    <w:name w:val="Footer Char"/>
    <w:basedOn w:val="DefaultParagraphFont"/>
    <w:link w:val="Footer"/>
    <w:uiPriority w:val="99"/>
    <w:rsid w:val="00F77EA1"/>
    <w:rPr>
      <w:rFonts w:ascii="Calibri" w:hAnsi="Calibri" w:cs="Calibri"/>
      <w:sz w:val="22"/>
      <w:szCs w:val="22"/>
    </w:rPr>
  </w:style>
  <w:style w:type="paragraph" w:styleId="BalloonText">
    <w:name w:val="Balloon Text"/>
    <w:basedOn w:val="Normal"/>
    <w:link w:val="BalloonTextChar"/>
    <w:uiPriority w:val="99"/>
    <w:semiHidden/>
    <w:unhideWhenUsed/>
    <w:rsid w:val="000748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48F1"/>
    <w:rPr>
      <w:sz w:val="18"/>
      <w:szCs w:val="18"/>
    </w:rPr>
  </w:style>
  <w:style w:type="character" w:styleId="CommentReference">
    <w:name w:val="annotation reference"/>
    <w:basedOn w:val="DefaultParagraphFont"/>
    <w:uiPriority w:val="99"/>
    <w:semiHidden/>
    <w:unhideWhenUsed/>
    <w:rsid w:val="000748F1"/>
    <w:rPr>
      <w:sz w:val="16"/>
      <w:szCs w:val="16"/>
    </w:rPr>
  </w:style>
  <w:style w:type="paragraph" w:styleId="CommentText">
    <w:name w:val="annotation text"/>
    <w:basedOn w:val="Normal"/>
    <w:link w:val="CommentTextChar"/>
    <w:uiPriority w:val="99"/>
    <w:semiHidden/>
    <w:unhideWhenUsed/>
    <w:rsid w:val="000748F1"/>
    <w:rPr>
      <w:sz w:val="20"/>
      <w:szCs w:val="20"/>
    </w:rPr>
  </w:style>
  <w:style w:type="character" w:customStyle="1" w:styleId="CommentTextChar">
    <w:name w:val="Comment Text Char"/>
    <w:basedOn w:val="DefaultParagraphFont"/>
    <w:link w:val="CommentText"/>
    <w:uiPriority w:val="99"/>
    <w:semiHidden/>
    <w:rsid w:val="000748F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748F1"/>
    <w:rPr>
      <w:b/>
      <w:bCs/>
    </w:rPr>
  </w:style>
  <w:style w:type="character" w:customStyle="1" w:styleId="CommentSubjectChar">
    <w:name w:val="Comment Subject Char"/>
    <w:basedOn w:val="CommentTextChar"/>
    <w:link w:val="CommentSubject"/>
    <w:uiPriority w:val="99"/>
    <w:semiHidden/>
    <w:rsid w:val="000748F1"/>
    <w:rPr>
      <w:rFonts w:ascii="Calibri" w:hAnsi="Calibri" w:cs="Calibri"/>
      <w:b/>
      <w:bCs/>
      <w:sz w:val="20"/>
      <w:szCs w:val="20"/>
    </w:rPr>
  </w:style>
  <w:style w:type="character" w:styleId="Hyperlink">
    <w:name w:val="Hyperlink"/>
    <w:basedOn w:val="DefaultParagraphFont"/>
    <w:uiPriority w:val="99"/>
    <w:unhideWhenUsed/>
    <w:rsid w:val="008A207E"/>
    <w:rPr>
      <w:color w:val="0563C1" w:themeColor="hyperlink"/>
      <w:u w:val="single"/>
    </w:rPr>
  </w:style>
  <w:style w:type="character" w:styleId="UnresolvedMention">
    <w:name w:val="Unresolved Mention"/>
    <w:basedOn w:val="DefaultParagraphFont"/>
    <w:uiPriority w:val="99"/>
    <w:semiHidden/>
    <w:unhideWhenUsed/>
    <w:rsid w:val="008A207E"/>
    <w:rPr>
      <w:color w:val="605E5C"/>
      <w:shd w:val="clear" w:color="auto" w:fill="E1DFDD"/>
    </w:rPr>
  </w:style>
  <w:style w:type="paragraph" w:styleId="FootnoteText">
    <w:name w:val="footnote text"/>
    <w:basedOn w:val="Normal"/>
    <w:link w:val="FootnoteTextChar"/>
    <w:uiPriority w:val="99"/>
    <w:semiHidden/>
    <w:unhideWhenUsed/>
    <w:rsid w:val="00E62C98"/>
    <w:rPr>
      <w:sz w:val="20"/>
      <w:szCs w:val="20"/>
    </w:rPr>
  </w:style>
  <w:style w:type="character" w:customStyle="1" w:styleId="FootnoteTextChar">
    <w:name w:val="Footnote Text Char"/>
    <w:basedOn w:val="DefaultParagraphFont"/>
    <w:link w:val="FootnoteText"/>
    <w:uiPriority w:val="99"/>
    <w:semiHidden/>
    <w:rsid w:val="00E62C98"/>
    <w:rPr>
      <w:rFonts w:ascii="Calibri" w:hAnsi="Calibri" w:cs="Calibri"/>
      <w:sz w:val="20"/>
      <w:szCs w:val="20"/>
    </w:rPr>
  </w:style>
  <w:style w:type="character" w:styleId="FootnoteReference">
    <w:name w:val="footnote reference"/>
    <w:basedOn w:val="DefaultParagraphFont"/>
    <w:uiPriority w:val="99"/>
    <w:semiHidden/>
    <w:unhideWhenUsed/>
    <w:rsid w:val="00E62C98"/>
    <w:rPr>
      <w:vertAlign w:val="superscript"/>
    </w:rPr>
  </w:style>
  <w:style w:type="paragraph" w:styleId="Revision">
    <w:name w:val="Revision"/>
    <w:hidden/>
    <w:uiPriority w:val="99"/>
    <w:semiHidden/>
    <w:rsid w:val="000A4A0C"/>
    <w:pPr>
      <w:spacing w:after="0" w:line="240" w:lineRule="auto"/>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513">
      <w:bodyDiv w:val="1"/>
      <w:marLeft w:val="0"/>
      <w:marRight w:val="0"/>
      <w:marTop w:val="0"/>
      <w:marBottom w:val="0"/>
      <w:divBdr>
        <w:top w:val="none" w:sz="0" w:space="0" w:color="auto"/>
        <w:left w:val="none" w:sz="0" w:space="0" w:color="auto"/>
        <w:bottom w:val="none" w:sz="0" w:space="0" w:color="auto"/>
        <w:right w:val="none" w:sz="0" w:space="0" w:color="auto"/>
      </w:divBdr>
    </w:div>
    <w:div w:id="113137558">
      <w:bodyDiv w:val="1"/>
      <w:marLeft w:val="0"/>
      <w:marRight w:val="0"/>
      <w:marTop w:val="0"/>
      <w:marBottom w:val="0"/>
      <w:divBdr>
        <w:top w:val="none" w:sz="0" w:space="0" w:color="auto"/>
        <w:left w:val="none" w:sz="0" w:space="0" w:color="auto"/>
        <w:bottom w:val="none" w:sz="0" w:space="0" w:color="auto"/>
        <w:right w:val="none" w:sz="0" w:space="0" w:color="auto"/>
      </w:divBdr>
    </w:div>
    <w:div w:id="119887062">
      <w:bodyDiv w:val="1"/>
      <w:marLeft w:val="0"/>
      <w:marRight w:val="0"/>
      <w:marTop w:val="0"/>
      <w:marBottom w:val="0"/>
      <w:divBdr>
        <w:top w:val="none" w:sz="0" w:space="0" w:color="auto"/>
        <w:left w:val="none" w:sz="0" w:space="0" w:color="auto"/>
        <w:bottom w:val="none" w:sz="0" w:space="0" w:color="auto"/>
        <w:right w:val="none" w:sz="0" w:space="0" w:color="auto"/>
      </w:divBdr>
    </w:div>
    <w:div w:id="164831000">
      <w:bodyDiv w:val="1"/>
      <w:marLeft w:val="0"/>
      <w:marRight w:val="0"/>
      <w:marTop w:val="0"/>
      <w:marBottom w:val="0"/>
      <w:divBdr>
        <w:top w:val="none" w:sz="0" w:space="0" w:color="auto"/>
        <w:left w:val="none" w:sz="0" w:space="0" w:color="auto"/>
        <w:bottom w:val="none" w:sz="0" w:space="0" w:color="auto"/>
        <w:right w:val="none" w:sz="0" w:space="0" w:color="auto"/>
      </w:divBdr>
    </w:div>
    <w:div w:id="194319096">
      <w:bodyDiv w:val="1"/>
      <w:marLeft w:val="0"/>
      <w:marRight w:val="0"/>
      <w:marTop w:val="0"/>
      <w:marBottom w:val="0"/>
      <w:divBdr>
        <w:top w:val="none" w:sz="0" w:space="0" w:color="auto"/>
        <w:left w:val="none" w:sz="0" w:space="0" w:color="auto"/>
        <w:bottom w:val="none" w:sz="0" w:space="0" w:color="auto"/>
        <w:right w:val="none" w:sz="0" w:space="0" w:color="auto"/>
      </w:divBdr>
    </w:div>
    <w:div w:id="351037545">
      <w:bodyDiv w:val="1"/>
      <w:marLeft w:val="0"/>
      <w:marRight w:val="0"/>
      <w:marTop w:val="0"/>
      <w:marBottom w:val="0"/>
      <w:divBdr>
        <w:top w:val="none" w:sz="0" w:space="0" w:color="auto"/>
        <w:left w:val="none" w:sz="0" w:space="0" w:color="auto"/>
        <w:bottom w:val="none" w:sz="0" w:space="0" w:color="auto"/>
        <w:right w:val="none" w:sz="0" w:space="0" w:color="auto"/>
      </w:divBdr>
    </w:div>
    <w:div w:id="412050309">
      <w:bodyDiv w:val="1"/>
      <w:marLeft w:val="0"/>
      <w:marRight w:val="0"/>
      <w:marTop w:val="0"/>
      <w:marBottom w:val="0"/>
      <w:divBdr>
        <w:top w:val="none" w:sz="0" w:space="0" w:color="auto"/>
        <w:left w:val="none" w:sz="0" w:space="0" w:color="auto"/>
        <w:bottom w:val="none" w:sz="0" w:space="0" w:color="auto"/>
        <w:right w:val="none" w:sz="0" w:space="0" w:color="auto"/>
      </w:divBdr>
    </w:div>
    <w:div w:id="600573014">
      <w:bodyDiv w:val="1"/>
      <w:marLeft w:val="0"/>
      <w:marRight w:val="0"/>
      <w:marTop w:val="0"/>
      <w:marBottom w:val="0"/>
      <w:divBdr>
        <w:top w:val="none" w:sz="0" w:space="0" w:color="auto"/>
        <w:left w:val="none" w:sz="0" w:space="0" w:color="auto"/>
        <w:bottom w:val="none" w:sz="0" w:space="0" w:color="auto"/>
        <w:right w:val="none" w:sz="0" w:space="0" w:color="auto"/>
      </w:divBdr>
    </w:div>
    <w:div w:id="616252994">
      <w:bodyDiv w:val="1"/>
      <w:marLeft w:val="0"/>
      <w:marRight w:val="0"/>
      <w:marTop w:val="0"/>
      <w:marBottom w:val="0"/>
      <w:divBdr>
        <w:top w:val="none" w:sz="0" w:space="0" w:color="auto"/>
        <w:left w:val="none" w:sz="0" w:space="0" w:color="auto"/>
        <w:bottom w:val="none" w:sz="0" w:space="0" w:color="auto"/>
        <w:right w:val="none" w:sz="0" w:space="0" w:color="auto"/>
      </w:divBdr>
    </w:div>
    <w:div w:id="674499709">
      <w:bodyDiv w:val="1"/>
      <w:marLeft w:val="0"/>
      <w:marRight w:val="0"/>
      <w:marTop w:val="0"/>
      <w:marBottom w:val="0"/>
      <w:divBdr>
        <w:top w:val="none" w:sz="0" w:space="0" w:color="auto"/>
        <w:left w:val="none" w:sz="0" w:space="0" w:color="auto"/>
        <w:bottom w:val="none" w:sz="0" w:space="0" w:color="auto"/>
        <w:right w:val="none" w:sz="0" w:space="0" w:color="auto"/>
      </w:divBdr>
    </w:div>
    <w:div w:id="905651343">
      <w:bodyDiv w:val="1"/>
      <w:marLeft w:val="0"/>
      <w:marRight w:val="0"/>
      <w:marTop w:val="0"/>
      <w:marBottom w:val="0"/>
      <w:divBdr>
        <w:top w:val="none" w:sz="0" w:space="0" w:color="auto"/>
        <w:left w:val="none" w:sz="0" w:space="0" w:color="auto"/>
        <w:bottom w:val="none" w:sz="0" w:space="0" w:color="auto"/>
        <w:right w:val="none" w:sz="0" w:space="0" w:color="auto"/>
      </w:divBdr>
    </w:div>
    <w:div w:id="999697362">
      <w:bodyDiv w:val="1"/>
      <w:marLeft w:val="0"/>
      <w:marRight w:val="0"/>
      <w:marTop w:val="0"/>
      <w:marBottom w:val="0"/>
      <w:divBdr>
        <w:top w:val="none" w:sz="0" w:space="0" w:color="auto"/>
        <w:left w:val="none" w:sz="0" w:space="0" w:color="auto"/>
        <w:bottom w:val="none" w:sz="0" w:space="0" w:color="auto"/>
        <w:right w:val="none" w:sz="0" w:space="0" w:color="auto"/>
      </w:divBdr>
    </w:div>
    <w:div w:id="1156726886">
      <w:bodyDiv w:val="1"/>
      <w:marLeft w:val="0"/>
      <w:marRight w:val="0"/>
      <w:marTop w:val="0"/>
      <w:marBottom w:val="0"/>
      <w:divBdr>
        <w:top w:val="none" w:sz="0" w:space="0" w:color="auto"/>
        <w:left w:val="none" w:sz="0" w:space="0" w:color="auto"/>
        <w:bottom w:val="none" w:sz="0" w:space="0" w:color="auto"/>
        <w:right w:val="none" w:sz="0" w:space="0" w:color="auto"/>
      </w:divBdr>
    </w:div>
    <w:div w:id="1199315153">
      <w:bodyDiv w:val="1"/>
      <w:marLeft w:val="0"/>
      <w:marRight w:val="0"/>
      <w:marTop w:val="0"/>
      <w:marBottom w:val="0"/>
      <w:divBdr>
        <w:top w:val="none" w:sz="0" w:space="0" w:color="auto"/>
        <w:left w:val="none" w:sz="0" w:space="0" w:color="auto"/>
        <w:bottom w:val="none" w:sz="0" w:space="0" w:color="auto"/>
        <w:right w:val="none" w:sz="0" w:space="0" w:color="auto"/>
      </w:divBdr>
    </w:div>
    <w:div w:id="1231888661">
      <w:bodyDiv w:val="1"/>
      <w:marLeft w:val="0"/>
      <w:marRight w:val="0"/>
      <w:marTop w:val="0"/>
      <w:marBottom w:val="0"/>
      <w:divBdr>
        <w:top w:val="none" w:sz="0" w:space="0" w:color="auto"/>
        <w:left w:val="none" w:sz="0" w:space="0" w:color="auto"/>
        <w:bottom w:val="none" w:sz="0" w:space="0" w:color="auto"/>
        <w:right w:val="none" w:sz="0" w:space="0" w:color="auto"/>
      </w:divBdr>
    </w:div>
    <w:div w:id="1395199263">
      <w:bodyDiv w:val="1"/>
      <w:marLeft w:val="0"/>
      <w:marRight w:val="0"/>
      <w:marTop w:val="0"/>
      <w:marBottom w:val="0"/>
      <w:divBdr>
        <w:top w:val="none" w:sz="0" w:space="0" w:color="auto"/>
        <w:left w:val="none" w:sz="0" w:space="0" w:color="auto"/>
        <w:bottom w:val="none" w:sz="0" w:space="0" w:color="auto"/>
        <w:right w:val="none" w:sz="0" w:space="0" w:color="auto"/>
      </w:divBdr>
    </w:div>
    <w:div w:id="1512337026">
      <w:bodyDiv w:val="1"/>
      <w:marLeft w:val="0"/>
      <w:marRight w:val="0"/>
      <w:marTop w:val="0"/>
      <w:marBottom w:val="0"/>
      <w:divBdr>
        <w:top w:val="none" w:sz="0" w:space="0" w:color="auto"/>
        <w:left w:val="none" w:sz="0" w:space="0" w:color="auto"/>
        <w:bottom w:val="none" w:sz="0" w:space="0" w:color="auto"/>
        <w:right w:val="none" w:sz="0" w:space="0" w:color="auto"/>
      </w:divBdr>
    </w:div>
    <w:div w:id="1740783644">
      <w:bodyDiv w:val="1"/>
      <w:marLeft w:val="0"/>
      <w:marRight w:val="0"/>
      <w:marTop w:val="0"/>
      <w:marBottom w:val="0"/>
      <w:divBdr>
        <w:top w:val="none" w:sz="0" w:space="0" w:color="auto"/>
        <w:left w:val="none" w:sz="0" w:space="0" w:color="auto"/>
        <w:bottom w:val="none" w:sz="0" w:space="0" w:color="auto"/>
        <w:right w:val="none" w:sz="0" w:space="0" w:color="auto"/>
      </w:divBdr>
    </w:div>
    <w:div w:id="1948853738">
      <w:bodyDiv w:val="1"/>
      <w:marLeft w:val="0"/>
      <w:marRight w:val="0"/>
      <w:marTop w:val="0"/>
      <w:marBottom w:val="0"/>
      <w:divBdr>
        <w:top w:val="none" w:sz="0" w:space="0" w:color="auto"/>
        <w:left w:val="none" w:sz="0" w:space="0" w:color="auto"/>
        <w:bottom w:val="none" w:sz="0" w:space="0" w:color="auto"/>
        <w:right w:val="none" w:sz="0" w:space="0" w:color="auto"/>
      </w:divBdr>
    </w:div>
    <w:div w:id="2135172672">
      <w:bodyDiv w:val="1"/>
      <w:marLeft w:val="0"/>
      <w:marRight w:val="0"/>
      <w:marTop w:val="0"/>
      <w:marBottom w:val="0"/>
      <w:divBdr>
        <w:top w:val="none" w:sz="0" w:space="0" w:color="auto"/>
        <w:left w:val="none" w:sz="0" w:space="0" w:color="auto"/>
        <w:bottom w:val="none" w:sz="0" w:space="0" w:color="auto"/>
        <w:right w:val="none" w:sz="0" w:space="0" w:color="auto"/>
      </w:divBdr>
    </w:div>
    <w:div w:id="213968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F2F0E-8933-4015-B149-614E4F05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18</Pages>
  <Words>3953</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Chang</dc:creator>
  <cp:keywords/>
  <dc:description/>
  <cp:lastModifiedBy>Ellen Chang</cp:lastModifiedBy>
  <cp:revision>325</cp:revision>
  <dcterms:created xsi:type="dcterms:W3CDTF">2021-12-16T18:41:00Z</dcterms:created>
  <dcterms:modified xsi:type="dcterms:W3CDTF">2022-05-18T17:20:00Z</dcterms:modified>
</cp:coreProperties>
</file>