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C2C"/>
          <w:sz w:val="34"/>
        </w:rPr>
        <w:t>What a Rating Move Actually Does to the Business: Four Real Cases</w:t>
      </w:r>
    </w:p>
    <w:p>
      <w:r>
        <w:rPr>
          <w:i/>
          <w:color w:val="5C6B78"/>
          <w:sz w:val="20"/>
        </w:rPr>
        <w:t>Office of the Chief Actuary. Companion note to the AM Best rating paper. Internal and confidential.</w:t>
      </w:r>
    </w:p>
    <w:p>
      <w:pPr>
        <w:spacing w:before="200" w:after="40"/>
      </w:pPr>
      <w:r>
        <w:rPr>
          <w:b/>
          <w:color w:val="2E5A88"/>
          <w:sz w:val="27"/>
        </w:rPr>
        <w:t>The one thing to take away</w:t>
      </w:r>
    </w:p>
    <w:p>
      <w:pPr>
        <w:spacing w:after="120"/>
      </w:pPr>
      <w:r>
        <w:rPr>
          <w:sz w:val="21"/>
        </w:rPr>
        <w:t>To see what a notch is worth, we looked at real carriers that made each move and what happened to their business afterward. The clearest finding is that the impact is not a straight line where each notch costs the same. It behaves like a cliff at the A- line. Moves inside the A band, from A to A- or from A- back to A, change very little for distribution, because A- is still an acceptable rating on almost every shelf. Crossing below A-, from A- to B++, is where sales and distribution actually break. And climbing back above A- is the hardest move of all, usually requiring a fresh capital sponsor rather than just time. That asymmetry is exactly why the rating paper frames A- as the line to defend.</w:t>
      </w:r>
    </w:p>
    <w:p>
      <w:pPr>
        <w:spacing w:after="120"/>
      </w:pPr>
      <w:r>
        <w:rPr>
          <w:sz w:val="21"/>
        </w:rPr>
        <w:t>One honest limit before the cases. Carriers rarely publish clean figures tying a single notch to sales, net promoter scores, or persistency. What public filings and rating actions do document is new-business volume, distribution access, and, at severe downgrades, surrenders. So the numbers below are the real, sourced ones, and where a metric is not public we say so rather than guess.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fill="2E5A88"/>
          </w:tcPr>
          <w:p>
            <w:r/>
            <w:r>
              <w:rPr>
                <w:b/>
                <w:color w:val="FFFFFF"/>
                <w:sz w:val="18"/>
              </w:rPr>
              <w:t>The move</w:t>
            </w:r>
          </w:p>
        </w:tc>
        <w:tc>
          <w:tcPr>
            <w:tcW w:type="dxa" w:w="2880"/>
            <w:shd w:val="clear" w:fill="2E5A88"/>
          </w:tcPr>
          <w:p>
            <w:r/>
            <w:r>
              <w:rPr>
                <w:b/>
                <w:color w:val="FFFFFF"/>
                <w:sz w:val="18"/>
              </w:rPr>
              <w:t>Carrier</w:t>
            </w:r>
          </w:p>
        </w:tc>
        <w:tc>
          <w:tcPr>
            <w:tcW w:type="dxa" w:w="2880"/>
            <w:shd w:val="clear" w:fill="2E5A88"/>
          </w:tcPr>
          <w:p>
            <w:r/>
            <w:r>
              <w:rPr>
                <w:b/>
                <w:color w:val="FFFFFF"/>
                <w:sz w:val="18"/>
              </w:rPr>
              <w:t>What happened to the business</w:t>
            </w:r>
          </w:p>
        </w:tc>
      </w:tr>
      <w:tr>
        <w:tc>
          <w:tcPr>
            <w:tcW w:type="dxa" w:w="2880"/>
          </w:tcPr>
          <w:p>
            <w:r/>
            <w:r>
              <w:rPr>
                <w:sz w:val="18"/>
              </w:rPr>
              <w:t>A to A- (down, still above the line)</w:t>
            </w:r>
          </w:p>
        </w:tc>
        <w:tc>
          <w:tcPr>
            <w:tcW w:type="dxa" w:w="2880"/>
          </w:tcPr>
          <w:p>
            <w:r/>
            <w:r>
              <w:rPr>
                <w:sz w:val="18"/>
              </w:rPr>
              <w:t>American Southern (2026)</w:t>
            </w:r>
          </w:p>
        </w:tc>
        <w:tc>
          <w:tcPr>
            <w:tcW w:type="dxa" w:w="2880"/>
          </w:tcPr>
          <w:p>
            <w:r/>
            <w:r>
              <w:rPr>
                <w:sz w:val="18"/>
              </w:rPr>
              <w:t>A warning shot. Stayed a viable carrier; the notch reflected reserve problems more than it caused a sales break.</w:t>
            </w:r>
          </w:p>
        </w:tc>
      </w:tr>
      <w:tr>
        <w:tc>
          <w:tcPr>
            <w:tcW w:type="dxa" w:w="2880"/>
          </w:tcPr>
          <w:p>
            <w:r/>
            <w:r>
              <w:rPr>
                <w:sz w:val="18"/>
              </w:rPr>
              <w:t>A- to B++ (down, crossing below)</w:t>
            </w:r>
          </w:p>
        </w:tc>
        <w:tc>
          <w:tcPr>
            <w:tcW w:type="dxa" w:w="2880"/>
          </w:tcPr>
          <w:p>
            <w:r/>
            <w:r>
              <w:rPr>
                <w:sz w:val="18"/>
              </w:rPr>
              <w:t>Phoenix Companies (2009)</w:t>
            </w:r>
          </w:p>
        </w:tc>
        <w:tc>
          <w:tcPr>
            <w:tcW w:type="dxa" w:w="2880"/>
          </w:tcPr>
          <w:p>
            <w:r/>
            <w:r>
              <w:rPr>
                <w:sz w:val="18"/>
              </w:rPr>
              <w:t>The cliff. Lost its largest distributor, new sales collapsed, and it never recovered as an independent seller.</w:t>
            </w:r>
          </w:p>
        </w:tc>
      </w:tr>
      <w:tr>
        <w:tc>
          <w:tcPr>
            <w:tcW w:type="dxa" w:w="2880"/>
          </w:tcPr>
          <w:p>
            <w:r/>
            <w:r>
              <w:rPr>
                <w:sz w:val="18"/>
              </w:rPr>
              <w:t>B++ to A- (up, crossing back)</w:t>
            </w:r>
          </w:p>
        </w:tc>
        <w:tc>
          <w:tcPr>
            <w:tcW w:type="dxa" w:w="2880"/>
          </w:tcPr>
          <w:p>
            <w:r/>
            <w:r>
              <w:rPr>
                <w:sz w:val="18"/>
              </w:rPr>
              <w:t>Phoenix / the recovery problem</w:t>
            </w:r>
          </w:p>
        </w:tc>
        <w:tc>
          <w:tcPr>
            <w:tcW w:type="dxa" w:w="2880"/>
          </w:tcPr>
          <w:p>
            <w:r/>
            <w:r>
              <w:rPr>
                <w:sz w:val="18"/>
              </w:rPr>
              <w:t>The hardest move. Phoenix never regained A- on its own; carriers that climb back generally need new capital.</w:t>
            </w:r>
          </w:p>
        </w:tc>
      </w:tr>
      <w:tr>
        <w:tc>
          <w:tcPr>
            <w:tcW w:type="dxa" w:w="2880"/>
          </w:tcPr>
          <w:p>
            <w:r/>
            <w:r>
              <w:rPr>
                <w:sz w:val="18"/>
              </w:rPr>
              <w:t>A- to A (up, within the band)</w:t>
            </w:r>
          </w:p>
        </w:tc>
        <w:tc>
          <w:tcPr>
            <w:tcW w:type="dxa" w:w="2880"/>
          </w:tcPr>
          <w:p>
            <w:r/>
            <w:r>
              <w:rPr>
                <w:sz w:val="18"/>
              </w:rPr>
              <w:t>F&amp;G / Fidelity &amp; Guaranty (2024)</w:t>
            </w:r>
          </w:p>
        </w:tc>
        <w:tc>
          <w:tcPr>
            <w:tcW w:type="dxa" w:w="2880"/>
          </w:tcPr>
          <w:p>
            <w:r/>
            <w:r>
              <w:rPr>
                <w:sz w:val="18"/>
              </w:rPr>
              <w:t>A modest tailwind. Opened bank, broker-dealer, and institutional shelves and supported fast growth.</w:t>
            </w:r>
          </w:p>
        </w:tc>
      </w:tr>
    </w:tbl>
    <w:p>
      <w:pPr>
        <w:spacing w:after="40"/>
      </w:pPr>
    </w:p>
    <w:p>
      <w:pPr>
        <w:spacing w:before="240" w:after="40"/>
      </w:pPr>
      <w:r>
        <w:rPr>
          <w:b/>
          <w:color w:val="2E5A88"/>
          <w:sz w:val="27"/>
        </w:rPr>
        <w:t>1.  A to A-: a warning shot, not a rupture</w:t>
      </w:r>
    </w:p>
    <w:p>
      <w:pPr>
        <w:spacing w:after="60"/>
      </w:pPr>
      <w:r>
        <w:rPr>
          <w:b/>
          <w:color w:val="0B1C2C"/>
          <w:sz w:val="21"/>
        </w:rPr>
        <w:t xml:space="preserve">Carrier:  </w:t>
      </w:r>
      <w:r>
        <w:rPr>
          <w:sz w:val="21"/>
        </w:rPr>
        <w:t>American Southern Insurance Company (Atlantic American group), downgraded by AM Best to A- (a-) from A (a) in April 2026.</w:t>
      </w:r>
    </w:p>
    <w:p>
      <w:pPr>
        <w:spacing w:after="60"/>
      </w:pPr>
      <w:r>
        <w:rPr>
          <w:b/>
          <w:color w:val="0B1C2C"/>
          <w:sz w:val="21"/>
        </w:rPr>
        <w:t xml:space="preserve">Cause:  </w:t>
      </w:r>
      <w:r>
        <w:rPr>
          <w:sz w:val="21"/>
        </w:rPr>
        <w:t>Reserve strengthening and adverse development in commercial auto, which drained risk-adjusted capital. The move was about the balance sheet, not a franchise collapse.</w:t>
      </w:r>
    </w:p>
    <w:p>
      <w:pPr>
        <w:spacing w:after="120"/>
      </w:pPr>
      <w:r>
        <w:rPr>
          <w:sz w:val="21"/>
        </w:rPr>
        <w:t>The business lesson is that dropping a single notch while staying at A- is a warning, not a rupture. A- is still above the threshold that gates most distribution, so a carrier at A- keeps its shelf access in the great majority of channels. The wider evidence supports this: AM Best has noted that roughly a third of the industry's annuity reserves now sit with about 95 companies carrying a lower issuer rating than they held in 2007, and those carriers have continued to operate and sell. A slip to A- raises the cost of capital and removes the margin for error, but it does not, by itself, take the business away. Clean sales-decline figures for a pure A to A- move are scarce precisely because the impact is modest when a carrier stays above the line.</w:t>
      </w:r>
    </w:p>
    <w:p>
      <w:pPr>
        <w:spacing w:before="240" w:after="40"/>
      </w:pPr>
      <w:r>
        <w:rPr>
          <w:b/>
          <w:color w:val="2E5A88"/>
          <w:sz w:val="27"/>
        </w:rPr>
        <w:t>2.  A- to B++: the cliff, and the case that proves it</w:t>
      </w:r>
    </w:p>
    <w:p>
      <w:pPr>
        <w:spacing w:after="60"/>
      </w:pPr>
      <w:r>
        <w:rPr>
          <w:b/>
          <w:color w:val="0B1C2C"/>
          <w:sz w:val="21"/>
        </w:rPr>
        <w:t xml:space="preserve">Carrier:  </w:t>
      </w:r>
      <w:r>
        <w:rPr>
          <w:sz w:val="21"/>
        </w:rPr>
        <w:t>The Phoenix Companies (Phoenix Life and Annuity), downgraded by AM Best to B++ from A- in 2009 (S&amp;P moved it from BBB- to BB the same year).</w:t>
      </w:r>
    </w:p>
    <w:p>
      <w:pPr>
        <w:spacing w:after="120"/>
      </w:pPr>
      <w:r>
        <w:rPr>
          <w:sz w:val="21"/>
        </w:rPr>
        <w:t>This is the transition that actually breaks a business, and Phoenix documented every step of it in its public filings. As the ratings crossed below A-, its distribution left. In March 2009 State Farm, which in 2008 had been Phoenix's largest distributor at roughly 27% of total life insurance premiums and about 68% of annuity deposits, suspended sales of Phoenix products; by mid-2009 the restructured agreement provided for no new sales at all, stranding roughly 90,000 in-force policies and contracts. Sales through the independent brokerage general agencies fell sharply as well, hitting the universal life line that had been growing strongly only a year earlier. In short, a carrier that had been selling normally at A- lost the bulk of its new business within a year of dropping to B++. Phoenix never rebuilt as an independent seller and was eventually taken private. The mechanism is exactly the one the rating paper warns about: below A-, advisors and distributors pull the product from the shelf even though the company can still pay its claims.</w:t>
      </w:r>
    </w:p>
    <w:p>
      <w:pPr>
        <w:spacing w:before="240" w:after="40"/>
      </w:pPr>
      <w:r>
        <w:rPr>
          <w:b/>
          <w:color w:val="2E5A88"/>
          <w:sz w:val="27"/>
        </w:rPr>
        <w:t>3.  B++ back to A-: the hardest move on the board</w:t>
      </w:r>
    </w:p>
    <w:p>
      <w:pPr>
        <w:spacing w:after="120"/>
      </w:pPr>
      <w:r>
        <w:rPr>
          <w:sz w:val="21"/>
        </w:rPr>
        <w:t>The natural question after Phoenix is how hard it is to climb back. The answer is very hard, and Phoenix is again the example: it did not regain A- on its own. Once distribution has left and the in-force block is running off, the earnings and capital that would justify an upgrade are exactly what the downgrade took away, which is a difficult loop to break from the inside. The carriers that do cross back above A- generally do it with outside help, a new owner or a capital injection that repairs the balance sheet quickly rather than waiting years for organic recovery. F&amp;G, in the next case, is the clearest recent illustration of that pattern: it climbed the scale on the back of new capital and a stronger parent, not on time alone. The practical message for us is that the A- line is far cheaper to hold than to win back, so the whole game is not crossing below it in the first place.</w:t>
      </w:r>
    </w:p>
    <w:p>
      <w:pPr>
        <w:spacing w:before="240" w:after="40"/>
      </w:pPr>
      <w:r>
        <w:rPr>
          <w:b/>
          <w:color w:val="2E5A88"/>
          <w:sz w:val="27"/>
        </w:rPr>
        <w:t>4.  A- to A: a real but gentle tailwind</w:t>
      </w:r>
    </w:p>
    <w:p>
      <w:pPr>
        <w:spacing w:after="60"/>
      </w:pPr>
      <w:r>
        <w:rPr>
          <w:b/>
          <w:color w:val="0B1C2C"/>
          <w:sz w:val="21"/>
        </w:rPr>
        <w:t xml:space="preserve">Carrier:  </w:t>
      </w:r>
      <w:r>
        <w:rPr>
          <w:sz w:val="21"/>
        </w:rPr>
        <w:t>F&amp;G (Fidelity &amp; Guaranty Life), upgraded by AM Best to A from A- in January 2024.</w:t>
      </w:r>
    </w:p>
    <w:p>
      <w:pPr>
        <w:spacing w:after="120"/>
      </w:pPr>
      <w:r>
        <w:rPr>
          <w:sz w:val="21"/>
        </w:rPr>
        <w:t>Moving up inside the A band helps, but gently, and mostly by widening distribution rather than producing an overnight sales jump. AM Best tied the upgrade to F&amp;G's expanded business profile and the capital support of its parent, Fidelity National Financial. With the stronger rating F&amp;G broadened beyond its independent-agent base into regional banks, broker-dealers, and institutional markets such as pension risk transfer, and it has become one of the fastest-growing annuity writers in the country, holding a top-five position in fixed indexed annuities and over 50 billion dollars in assets. The honest reading is that the upgrade both reflected and reinforced a business that was already growing. An upgrade opens doors and gives the marketing and reinsurance teams a better number to lead with, but it rewards a stronger business rather than creating one.</w:t>
      </w:r>
    </w:p>
    <w:p>
      <w:pPr>
        <w:spacing w:before="240" w:after="40"/>
      </w:pPr>
      <w:r>
        <w:rPr>
          <w:b/>
          <w:color w:val="2E5A88"/>
          <w:sz w:val="27"/>
        </w:rPr>
        <w:t>What this means for us</w:t>
      </w:r>
    </w:p>
    <w:p>
      <w:pPr>
        <w:spacing w:after="120"/>
      </w:pPr>
      <w:r>
        <w:rPr>
          <w:sz w:val="21"/>
        </w:rPr>
        <w:t>The four cases point the same way. Because the damage is concentrated at the A- line, our objective is not to chase a higher letter but to avoid crossing below A-. A slip within the A band, from A to A-, would be uncomfortable and would remove our margin for error, but the business would keep running, as American Southern and dozens of other carriers show. Crossing below A- to B++ is the move that would actually cost us distribution, and in our case it would land first and hardest in preneed, reinsurance, and capital raising rather than in guaranty-backed agent Medicare Supplement. And because climbing back above A- is the hardest move on the board, the cheapest possible strategy is to hold the line the first time. That is the same conclusion the rating paper reaches from the mechanics, arrived at here from what actually happened to real companies.</w:t>
      </w:r>
    </w:p>
    <w:p>
      <w:pPr>
        <w:spacing w:before="240"/>
      </w:pPr>
      <w:r>
        <w:rPr>
          <w:i/>
          <w:color w:val="8A8A8A"/>
          <w:sz w:val="17"/>
        </w:rPr>
        <w:t>Sources. Phoenix: The Phoenix Companies Form 10-K and 10-Q filings (2009) and AM Best and S&amp;P rating actions; contemporaneous trade coverage of the State Farm and National Life distribution terminations. F&amp;G: AM Best rating action upgrading F&amp;G to A from A- (January 2024) and F&amp;G investor disclosures. American Southern: AM Best rating action downgrading American Southern Group to A- from A (April 2026). Industry context: AM Best special report on shifting annuity reserves and credit quality since 2007. Carriers rarely publish notch-level net promoter or persistency data; figures here are the sales and distribution measures their public filings and rating actions actually disclose. Internal and confidential, for ELT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