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1C2C"/>
          <w:sz w:val="36"/>
        </w:rPr>
        <w:t>Our AM Best Rating: How It Works, Where We Stand, and What Could Move It</w:t>
      </w:r>
    </w:p>
    <w:p>
      <w:r>
        <w:rPr>
          <w:i/>
          <w:color w:val="5C6B78"/>
          <w:sz w:val="20"/>
        </w:rPr>
        <w:t>Office of the Chief Actuary. ELT, internal and confidential.</w:t>
      </w:r>
    </w:p>
    <w:p>
      <w:pPr>
        <w:spacing w:before="200" w:after="40"/>
      </w:pPr>
      <w:r>
        <w:rPr>
          <w:b/>
          <w:color w:val="2E5A88"/>
          <w:sz w:val="27"/>
        </w:rPr>
        <w:t>What this paper is for</w:t>
      </w:r>
    </w:p>
    <w:p>
      <w:pPr>
        <w:spacing w:after="120"/>
      </w:pPr>
      <w:r>
        <w:rPr>
          <w:sz w:val="21"/>
        </w:rPr>
        <w:t>One of the key components of our company-wide risk appetite is to maintain an AM Best rating of A- or better. The purpose here is to explain how our AM Best rating actually works, where we stand, and what would realistically move it, so we can talk about it from a shared and accurate footing. It is written to teach the mechanics rather than to argue a point of view. Two ideas tend to get tangled in these conversations, the regulator's capital ratio and Best's own capital model, and most of the confusion clears up once we keep them straight.</w:t>
      </w:r>
    </w:p>
    <w:p>
      <w:pPr>
        <w:spacing w:after="120"/>
      </w:pPr>
      <w:r>
        <w:rPr>
          <w:sz w:val="21"/>
        </w:rPr>
        <w:t>One thing to understand at the start, because the rest of the paper depends on it. Our plan draws our capital down over the next few years. The RBC ratio falls from around 648% as of 12/31/25 toward a trough near 400% around 2029 before it rebuilds, a trough that already assumes the planned surplus note and a C-3 Phase I reserve change. That decline is real, it is deliberate, and it is large enough that it could pressure our balance-sheet grade. So capital is not a settled strength we can set aside. It is one of the things that can move our rating, and it deserves a clear-eyed look.</w:t>
      </w:r>
    </w:p>
    <w:p>
      <w:pPr>
        <w:spacing w:before="320" w:after="40"/>
      </w:pPr>
      <w:r>
        <w:rPr>
          <w:b/>
          <w:color w:val="0B1C2C"/>
          <w:sz w:val="25"/>
        </w:rPr>
        <w:t>Part I.  How the rating works</w:t>
      </w:r>
    </w:p>
    <w:p>
      <w:pPr>
        <w:spacing w:before="240" w:after="40"/>
      </w:pPr>
      <w:r>
        <w:rPr>
          <w:b/>
          <w:color w:val="2E5A88"/>
          <w:sz w:val="27"/>
        </w:rPr>
        <w:t>1.  What the rating is, and where it matters to us</w:t>
      </w:r>
    </w:p>
    <w:p>
      <w:pPr>
        <w:spacing w:after="120"/>
      </w:pPr>
      <w:r>
        <w:rPr>
          <w:sz w:val="21"/>
        </w:rPr>
        <w:t>The financial strength rating is AM Best's opinion of our ability to pay claims. It is a business asset, and it is worth being honest about where it helps us and where it matters less. We sell mostly through independent marketing organizations, independent agents, and preneed funeral homes. We do not sell through banks or broker-dealers, and we do not write the kind of long-duration annuity business where buyers screen hard on a minimum letter.</w:t>
      </w:r>
    </w:p>
    <w:p>
      <w:pPr>
        <w:spacing w:after="120"/>
      </w:pPr>
      <w:r>
        <w:rPr>
          <w:sz w:val="21"/>
        </w:rPr>
        <w:t>Because of that, the rating matters most where our distribution is rating-sensitive: preneed, reinsurance, and raising capital, including the surplus note we are working toward. In our agent Medicare Supplement and supplemental-health channels it matters much less, because the product is standardized and guaranty-backed, so agents place business on price, commission, and service more than on the letter. The next section puts real examples behind that.</w:t>
      </w:r>
    </w:p>
    <w:p>
      <w:pPr>
        <w:spacing w:before="240" w:after="40"/>
      </w:pPr>
      <w:r>
        <w:rPr>
          <w:b/>
          <w:color w:val="2E5A88"/>
          <w:sz w:val="27"/>
        </w:rPr>
        <w:t>2.  What a rating change actually does to the business</w:t>
      </w:r>
    </w:p>
    <w:p>
      <w:pPr>
        <w:spacing w:after="120"/>
      </w:pPr>
      <w:r>
        <w:rPr>
          <w:sz w:val="21"/>
        </w:rPr>
        <w:t>Before the mechanics, it helps to know what a notch is worth in the real world, because the answer is not the same for every carrier. The impact of a move depends almost entirely on how rating-sensitive your distribution is. In advisor-sold annuities, bank and broker-dealer channels, and institutional and reinsurance relationships, the letter is close to a gate. In guaranty-backed, agent-sold Medicare Supplement, it is much closer to a formality.</w:t>
      </w:r>
    </w:p>
    <w:p>
      <w:pPr>
        <w:spacing w:after="120"/>
      </w:pPr>
      <w:r>
        <w:rPr>
          <w:sz w:val="21"/>
        </w:rPr>
        <w:t>The clearest cautionary case is Genworth. A little over a decade ago it carried A-range ratings. A series of downgrades tied to long-term care losses pushed its main life carriers down to the B and C++ range. In its own public filings Genworth spelled out the mechanism: a downgrade could reduce new sales, damage relationships with the intermediaries who actually place the business, and increase policy surrenders and withdrawals. In the end it stopped selling long-term care and life through those companies and put the block into runoff. That is the full chain, from a lower letter to lost distribution to weaker persistency, in one company.</w:t>
      </w:r>
    </w:p>
    <w:p>
      <w:pPr>
        <w:spacing w:after="120"/>
      </w:pPr>
      <w:r>
        <w:rPr>
          <w:sz w:val="21"/>
        </w:rPr>
        <w:t>The A- line is the one that matters most, and it is largely a distribution rule rather than a solvency one. In advisor and annuity channels the common guidance is to place business only with carriers rated A- or better, so a drop below A- quietly removes a carrier from many shelves even though it can still pay every claim. That is why we treat A- as the line to defend.</w:t>
      </w:r>
    </w:p>
    <w:p>
      <w:pPr>
        <w:spacing w:after="120"/>
      </w:pPr>
      <w:r>
        <w:rPr>
          <w:sz w:val="21"/>
        </w:rPr>
        <w:t>For our channels specifically, the impact is more muted, and the peers show it. ManhattanLife sells Medicare Supplement and supplemental health in the same independent-agent channels we use at a B++ rating, and its Western United arm does so at B+. Both compete actively below A-, because in guaranty-backed senior health the agent places business on price, commission, underwriting speed, and service more than on the letter. So an A- outcome for us would be uncomfortable but not damaging across most of our book. Where a drop below A- would actually cost us is narrower and real: preneed, where funeral-home programs prefer strong, stable carriers for decades-long obligations; reinsurance, where counterparties price our rating into terms; and capital raising, including the surplus note. Upgrades work in reverse but more gently. They mostly restore shelf access and give the marketing and reinsurance teams a better number to lead with, rather than producing a sales jump on their own.</w:t>
      </w:r>
    </w:p>
    <w:p>
      <w:pPr>
        <w:spacing w:after="120"/>
      </w:pPr>
      <w:r>
        <w:rPr>
          <w:sz w:val="21"/>
        </w:rPr>
        <w:t>One honest limit. Carriers rarely publish clean figures tying a single notch to sales, net promoter scores, or persistency, so most of this is directional rather than precise. The documented effects are on new-business and distribution access, and, at severe multi-notch downgrades, on surrenders. The takeaway for us is calibration, not alarm: an A- would be manageable in our channels, and the real damage begins below A-, concentrated in preneed, reinsurance, and capital raising.</w:t>
      </w:r>
    </w:p>
    <w:p>
      <w:pPr>
        <w:spacing w:before="240" w:after="40"/>
      </w:pPr>
      <w:r>
        <w:rPr>
          <w:b/>
          <w:color w:val="2E5A88"/>
          <w:sz w:val="27"/>
        </w:rPr>
        <w:t>3.  How AM Best builds the letter</w:t>
      </w:r>
    </w:p>
    <w:p>
      <w:pPr>
        <w:spacing w:after="120"/>
      </w:pPr>
      <w:r>
        <w:rPr>
          <w:sz w:val="21"/>
        </w:rPr>
        <w:t>The rating runs off published tables, so we can read our own rating and a competitor's the same way. The balance sheet sets a starting point, and the other three pieces move it up or down.</w:t>
      </w:r>
    </w:p>
    <w:p>
      <w:pPr>
        <w:spacing w:after="120"/>
      </w:pPr>
      <w:r>
        <w:rPr>
          <w:sz w:val="21"/>
        </w:rPr>
        <w:t>Step one. The balance-sheet grade sets a starting credit rating:</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2E5A88"/>
          </w:tcPr>
          <w:p>
            <w:r/>
            <w:r>
              <w:rPr>
                <w:b/>
                <w:color w:val="FFFFFF"/>
                <w:sz w:val="18"/>
              </w:rPr>
              <w:t>Balance-sheet grade</w:t>
            </w:r>
          </w:p>
        </w:tc>
        <w:tc>
          <w:tcPr>
            <w:tcW w:type="dxa" w:w="2880"/>
            <w:shd w:val="clear" w:fill="2E5A88"/>
          </w:tcPr>
          <w:p>
            <w:r/>
            <w:r>
              <w:rPr>
                <w:b/>
                <w:color w:val="FFFFFF"/>
                <w:sz w:val="18"/>
              </w:rPr>
              <w:t>Starting point (ICR)</w:t>
            </w:r>
          </w:p>
        </w:tc>
        <w:tc>
          <w:tcPr>
            <w:tcW w:type="dxa" w:w="2880"/>
            <w:shd w:val="clear" w:fill="2E5A88"/>
          </w:tcPr>
          <w:p>
            <w:r/>
            <w:r>
              <w:rPr>
                <w:b/>
                <w:color w:val="FFFFFF"/>
                <w:sz w:val="18"/>
              </w:rPr>
              <w:t>Letter it implies</w:t>
            </w:r>
          </w:p>
        </w:tc>
      </w:tr>
      <w:tr>
        <w:tc>
          <w:tcPr>
            <w:tcW w:type="dxa" w:w="2880"/>
            <w:shd w:val="clear" w:fill="FBE9E7"/>
          </w:tcPr>
          <w:p>
            <w:r/>
            <w:r>
              <w:rPr>
                <w:b/>
                <w:color w:val="C0392B"/>
                <w:sz w:val="18"/>
              </w:rPr>
              <w:t>Strongest</w:t>
            </w:r>
          </w:p>
        </w:tc>
        <w:tc>
          <w:tcPr>
            <w:tcW w:type="dxa" w:w="2880"/>
            <w:shd w:val="clear" w:fill="FBE9E7"/>
          </w:tcPr>
          <w:p>
            <w:r/>
            <w:r>
              <w:rPr>
                <w:b/>
                <w:color w:val="C0392B"/>
                <w:sz w:val="18"/>
              </w:rPr>
              <w:t>a+ / a</w:t>
            </w:r>
          </w:p>
        </w:tc>
        <w:tc>
          <w:tcPr>
            <w:tcW w:type="dxa" w:w="2880"/>
            <w:shd w:val="clear" w:fill="FBE9E7"/>
          </w:tcPr>
          <w:p>
            <w:r/>
            <w:r>
              <w:rPr>
                <w:b/>
                <w:color w:val="C0392B"/>
                <w:sz w:val="18"/>
              </w:rPr>
              <w:t>A</w:t>
            </w:r>
          </w:p>
        </w:tc>
      </w:tr>
      <w:tr>
        <w:tc>
          <w:tcPr>
            <w:tcW w:type="dxa" w:w="2880"/>
          </w:tcPr>
          <w:p>
            <w:r/>
            <w:r>
              <w:rPr>
                <w:sz w:val="18"/>
              </w:rPr>
              <w:t>Very Strong</w:t>
            </w:r>
          </w:p>
        </w:tc>
        <w:tc>
          <w:tcPr>
            <w:tcW w:type="dxa" w:w="2880"/>
          </w:tcPr>
          <w:p>
            <w:r/>
            <w:r>
              <w:rPr>
                <w:sz w:val="18"/>
              </w:rPr>
              <w:t>a / a-</w:t>
            </w:r>
          </w:p>
        </w:tc>
        <w:tc>
          <w:tcPr>
            <w:tcW w:type="dxa" w:w="2880"/>
          </w:tcPr>
          <w:p>
            <w:r/>
            <w:r>
              <w:rPr>
                <w:sz w:val="18"/>
              </w:rPr>
              <w:t>A / A-</w:t>
            </w:r>
          </w:p>
        </w:tc>
      </w:tr>
      <w:tr>
        <w:tc>
          <w:tcPr>
            <w:tcW w:type="dxa" w:w="2880"/>
          </w:tcPr>
          <w:p>
            <w:r/>
            <w:r>
              <w:rPr>
                <w:sz w:val="18"/>
              </w:rPr>
              <w:t>Strong</w:t>
            </w:r>
          </w:p>
        </w:tc>
        <w:tc>
          <w:tcPr>
            <w:tcW w:type="dxa" w:w="2880"/>
          </w:tcPr>
          <w:p>
            <w:r/>
            <w:r>
              <w:rPr>
                <w:sz w:val="18"/>
              </w:rPr>
              <w:t>a- / bbb+</w:t>
            </w:r>
          </w:p>
        </w:tc>
        <w:tc>
          <w:tcPr>
            <w:tcW w:type="dxa" w:w="2880"/>
          </w:tcPr>
          <w:p>
            <w:r/>
            <w:r>
              <w:rPr>
                <w:sz w:val="18"/>
              </w:rPr>
              <w:t>A- / B++</w:t>
            </w:r>
          </w:p>
        </w:tc>
      </w:tr>
      <w:tr>
        <w:tc>
          <w:tcPr>
            <w:tcW w:type="dxa" w:w="2880"/>
          </w:tcPr>
          <w:p>
            <w:r/>
            <w:r>
              <w:rPr>
                <w:sz w:val="18"/>
              </w:rPr>
              <w:t>Adequate</w:t>
            </w:r>
          </w:p>
        </w:tc>
        <w:tc>
          <w:tcPr>
            <w:tcW w:type="dxa" w:w="2880"/>
          </w:tcPr>
          <w:p>
            <w:r/>
            <w:r>
              <w:rPr>
                <w:sz w:val="18"/>
              </w:rPr>
              <w:t>bbb+ / bbb / bbb-</w:t>
            </w:r>
          </w:p>
        </w:tc>
        <w:tc>
          <w:tcPr>
            <w:tcW w:type="dxa" w:w="2880"/>
          </w:tcPr>
          <w:p>
            <w:r/>
            <w:r>
              <w:rPr>
                <w:sz w:val="18"/>
              </w:rPr>
              <w:t>B++ / B+</w:t>
            </w:r>
          </w:p>
        </w:tc>
      </w:tr>
    </w:tbl>
    <w:p>
      <w:pPr>
        <w:spacing w:after="40"/>
      </w:pPr>
    </w:p>
    <w:p>
      <w:pPr>
        <w:spacing w:after="120"/>
      </w:pPr>
      <w:r>
        <w:rPr>
          <w:sz w:val="21"/>
        </w:rPr>
        <w:t>Step two. Each of the other three pieces adds or removes notches: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2E5A88"/>
          </w:tcPr>
          <w:p>
            <w:r/>
            <w:r>
              <w:rPr>
                <w:b/>
                <w:color w:val="FFFFFF"/>
                <w:sz w:val="18"/>
              </w:rPr>
              <w:t>Building block</w:t>
            </w:r>
          </w:p>
        </w:tc>
        <w:tc>
          <w:tcPr>
            <w:tcW w:type="dxa" w:w="2880"/>
            <w:shd w:val="clear" w:fill="2E5A88"/>
          </w:tcPr>
          <w:p>
            <w:r/>
            <w:r>
              <w:rPr>
                <w:b/>
                <w:color w:val="FFFFFF"/>
                <w:sz w:val="18"/>
              </w:rPr>
              <w:t>How far it can move us</w:t>
            </w:r>
          </w:p>
        </w:tc>
        <w:tc>
          <w:tcPr>
            <w:tcW w:type="dxa" w:w="2880"/>
            <w:shd w:val="clear" w:fill="2E5A88"/>
          </w:tcPr>
          <w:p>
            <w:r/>
            <w:r>
              <w:rPr>
                <w:b/>
                <w:color w:val="FFFFFF"/>
                <w:sz w:val="18"/>
              </w:rPr>
              <w:t>Neutral, no-change grade</w:t>
            </w:r>
          </w:p>
        </w:tc>
      </w:tr>
      <w:tr>
        <w:tc>
          <w:tcPr>
            <w:tcW w:type="dxa" w:w="2880"/>
          </w:tcPr>
          <w:p>
            <w:r/>
            <w:r>
              <w:rPr>
                <w:sz w:val="18"/>
              </w:rPr>
              <w:t>Operating performance (earnings)</w:t>
            </w:r>
          </w:p>
        </w:tc>
        <w:tc>
          <w:tcPr>
            <w:tcW w:type="dxa" w:w="2880"/>
          </w:tcPr>
          <w:p>
            <w:r/>
            <w:r>
              <w:rPr>
                <w:sz w:val="18"/>
              </w:rPr>
              <w:t>up 2, down 3</w:t>
            </w:r>
          </w:p>
        </w:tc>
        <w:tc>
          <w:tcPr>
            <w:tcW w:type="dxa" w:w="2880"/>
          </w:tcPr>
          <w:p>
            <w:r/>
            <w:r>
              <w:rPr>
                <w:sz w:val="18"/>
              </w:rPr>
              <w:t>Adequate</w:t>
            </w:r>
          </w:p>
        </w:tc>
      </w:tr>
      <w:tr>
        <w:tc>
          <w:tcPr>
            <w:tcW w:type="dxa" w:w="2880"/>
          </w:tcPr>
          <w:p>
            <w:r/>
            <w:r>
              <w:rPr>
                <w:sz w:val="18"/>
              </w:rPr>
              <w:t>Business profile (franchise)</w:t>
            </w:r>
          </w:p>
        </w:tc>
        <w:tc>
          <w:tcPr>
            <w:tcW w:type="dxa" w:w="2880"/>
          </w:tcPr>
          <w:p>
            <w:r/>
            <w:r>
              <w:rPr>
                <w:sz w:val="18"/>
              </w:rPr>
              <w:t>up 2, down 2</w:t>
            </w:r>
          </w:p>
        </w:tc>
        <w:tc>
          <w:tcPr>
            <w:tcW w:type="dxa" w:w="2880"/>
          </w:tcPr>
          <w:p>
            <w:r/>
            <w:r>
              <w:rPr>
                <w:sz w:val="18"/>
              </w:rPr>
              <w:t>Neutral</w:t>
            </w:r>
          </w:p>
        </w:tc>
      </w:tr>
      <w:tr>
        <w:tc>
          <w:tcPr>
            <w:tcW w:type="dxa" w:w="2880"/>
          </w:tcPr>
          <w:p>
            <w:r/>
            <w:r>
              <w:rPr>
                <w:sz w:val="18"/>
              </w:rPr>
              <w:t>Risk management</w:t>
            </w:r>
          </w:p>
        </w:tc>
        <w:tc>
          <w:tcPr>
            <w:tcW w:type="dxa" w:w="2880"/>
          </w:tcPr>
          <w:p>
            <w:r/>
            <w:r>
              <w:rPr>
                <w:sz w:val="18"/>
              </w:rPr>
              <w:t>up 1, down 4</w:t>
            </w:r>
          </w:p>
        </w:tc>
        <w:tc>
          <w:tcPr>
            <w:tcW w:type="dxa" w:w="2880"/>
          </w:tcPr>
          <w:p>
            <w:r/>
            <w:r>
              <w:rPr>
                <w:sz w:val="18"/>
              </w:rPr>
              <w:t>Appropriate</w:t>
            </w:r>
          </w:p>
        </w:tc>
      </w:tr>
    </w:tbl>
    <w:p>
      <w:pPr>
        <w:spacing w:after="40"/>
      </w:pPr>
    </w:p>
    <w:p>
      <w:pPr>
        <w:spacing w:after="120"/>
      </w:pPr>
      <w:r>
        <w:rPr>
          <w:sz w:val="21"/>
        </w:rPr>
        <w:t>Two things are worth noticing. The downside on each piece is larger than the upside, so it is easier to lose ground than to gain it. And the balance sheet only gets a carrier to the starting line. A company can open at A on capital and still finish lower if its operating performance and business profile are weak. As a worked example, a Strongest balance sheet opens at A. Hold the other three at no change and the carrier stays at A. Let two of them each slip a notch and the same well-capitalized company lands at B++.</w:t>
      </w:r>
    </w:p>
    <w:p>
      <w:pPr>
        <w:spacing w:before="240" w:after="40"/>
      </w:pPr>
      <w:r>
        <w:rPr>
          <w:b/>
          <w:color w:val="2E5A88"/>
          <w:sz w:val="27"/>
        </w:rPr>
        <w:t>4.  The two capital yardsticks: RBC and BCAR</w:t>
      </w:r>
    </w:p>
    <w:p>
      <w:pPr>
        <w:spacing w:after="120"/>
      </w:pPr>
      <w:r>
        <w:rPr>
          <w:sz w:val="21"/>
        </w:rPr>
        <w:t>This is the part most worth slowing down on, because two different measures get used for two different jobs, and they do not always agree.</w:t>
      </w:r>
    </w:p>
    <w:p>
      <w:pPr>
        <w:spacing w:after="120"/>
      </w:pPr>
      <w:r>
        <w:rPr>
          <w:sz w:val="21"/>
        </w:rPr>
        <w:t>The first is NAIC risk-based capital, which we report on the CAL basis and which runs around 648% for us today. The formula sets a regulatory floor. It compares our total adjusted capital to a control level the regulator calculates. The ladder below shows what happens as the ratio falls. The useful thing to understand is what this number is for. It is a floor and an early-warning gauge. Once a company is well above the floor it tells you the regulator is comfortable, and very little more. It does not rank healthy carriers against each other, and it is not the number AM Best uses to set a rating. Globe Life makes the point: it runs an RBC ratio around 316%, less than half of ours, and it is rated A, the same letter we hold.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2E5A88"/>
          </w:tcPr>
          <w:p>
            <w:r/>
            <w:r>
              <w:rPr>
                <w:b/>
                <w:color w:val="FFFFFF"/>
                <w:sz w:val="18"/>
              </w:rPr>
              <w:t>Regulatory level (CAL basis)</w:t>
            </w:r>
          </w:p>
        </w:tc>
        <w:tc>
          <w:tcPr>
            <w:tcW w:type="dxa" w:w="2880"/>
            <w:shd w:val="clear" w:fill="2E5A88"/>
          </w:tcPr>
          <w:p>
            <w:r/>
            <w:r>
              <w:rPr>
                <w:b/>
                <w:color w:val="FFFFFF"/>
                <w:sz w:val="18"/>
              </w:rPr>
              <w:t>Ratio</w:t>
            </w:r>
          </w:p>
        </w:tc>
        <w:tc>
          <w:tcPr>
            <w:tcW w:type="dxa" w:w="2880"/>
            <w:shd w:val="clear" w:fill="2E5A88"/>
          </w:tcPr>
          <w:p>
            <w:r/>
            <w:r>
              <w:rPr>
                <w:b/>
                <w:color w:val="FFFFFF"/>
                <w:sz w:val="18"/>
              </w:rPr>
              <w:t>What happens</w:t>
            </w:r>
          </w:p>
        </w:tc>
      </w:tr>
      <w:tr>
        <w:tc>
          <w:tcPr>
            <w:tcW w:type="dxa" w:w="2880"/>
          </w:tcPr>
          <w:p>
            <w:r/>
            <w:r>
              <w:rPr>
                <w:sz w:val="18"/>
              </w:rPr>
              <w:t>Company Action Level</w:t>
            </w:r>
          </w:p>
        </w:tc>
        <w:tc>
          <w:tcPr>
            <w:tcW w:type="dxa" w:w="2880"/>
          </w:tcPr>
          <w:p>
            <w:r/>
            <w:r>
              <w:rPr>
                <w:sz w:val="18"/>
              </w:rPr>
              <w:t>below 100%</w:t>
            </w:r>
          </w:p>
        </w:tc>
        <w:tc>
          <w:tcPr>
            <w:tcW w:type="dxa" w:w="2880"/>
          </w:tcPr>
          <w:p>
            <w:r/>
            <w:r>
              <w:rPr>
                <w:sz w:val="18"/>
              </w:rPr>
              <w:t>File a corrective plan</w:t>
            </w:r>
          </w:p>
        </w:tc>
      </w:tr>
      <w:tr>
        <w:tc>
          <w:tcPr>
            <w:tcW w:type="dxa" w:w="2880"/>
          </w:tcPr>
          <w:p>
            <w:r/>
            <w:r>
              <w:rPr>
                <w:sz w:val="18"/>
              </w:rPr>
              <w:t>Regulatory Action Level</w:t>
            </w:r>
          </w:p>
        </w:tc>
        <w:tc>
          <w:tcPr>
            <w:tcW w:type="dxa" w:w="2880"/>
          </w:tcPr>
          <w:p>
            <w:r/>
            <w:r>
              <w:rPr>
                <w:sz w:val="18"/>
              </w:rPr>
              <w:t>below 75%</w:t>
            </w:r>
          </w:p>
        </w:tc>
        <w:tc>
          <w:tcPr>
            <w:tcW w:type="dxa" w:w="2880"/>
          </w:tcPr>
          <w:p>
            <w:r/>
            <w:r>
              <w:rPr>
                <w:sz w:val="18"/>
              </w:rPr>
              <w:t>Regulator prescribes action</w:t>
            </w:r>
          </w:p>
        </w:tc>
      </w:tr>
      <w:tr>
        <w:tc>
          <w:tcPr>
            <w:tcW w:type="dxa" w:w="2880"/>
          </w:tcPr>
          <w:p>
            <w:r/>
            <w:r>
              <w:rPr>
                <w:sz w:val="18"/>
              </w:rPr>
              <w:t>Authorized Control Level</w:t>
            </w:r>
          </w:p>
        </w:tc>
        <w:tc>
          <w:tcPr>
            <w:tcW w:type="dxa" w:w="2880"/>
          </w:tcPr>
          <w:p>
            <w:r/>
            <w:r>
              <w:rPr>
                <w:sz w:val="18"/>
              </w:rPr>
              <w:t>below 50%</w:t>
            </w:r>
          </w:p>
        </w:tc>
        <w:tc>
          <w:tcPr>
            <w:tcW w:type="dxa" w:w="2880"/>
          </w:tcPr>
          <w:p>
            <w:r/>
            <w:r>
              <w:rPr>
                <w:sz w:val="18"/>
              </w:rPr>
              <w:t>Regulator may take control</w:t>
            </w:r>
          </w:p>
        </w:tc>
      </w:tr>
      <w:tr>
        <w:tc>
          <w:tcPr>
            <w:tcW w:type="dxa" w:w="2880"/>
          </w:tcPr>
          <w:p>
            <w:r/>
            <w:r>
              <w:rPr>
                <w:sz w:val="18"/>
              </w:rPr>
              <w:t>Mandatory Control Level</w:t>
            </w:r>
          </w:p>
        </w:tc>
        <w:tc>
          <w:tcPr>
            <w:tcW w:type="dxa" w:w="2880"/>
          </w:tcPr>
          <w:p>
            <w:r/>
            <w:r>
              <w:rPr>
                <w:sz w:val="18"/>
              </w:rPr>
              <w:t>below 35%</w:t>
            </w:r>
          </w:p>
        </w:tc>
        <w:tc>
          <w:tcPr>
            <w:tcW w:type="dxa" w:w="2880"/>
          </w:tcPr>
          <w:p>
            <w:r/>
            <w:r>
              <w:rPr>
                <w:sz w:val="18"/>
              </w:rPr>
              <w:t>Regulator must take control</w:t>
            </w:r>
          </w:p>
        </w:tc>
      </w:tr>
    </w:tbl>
    <w:p>
      <w:pPr>
        <w:spacing w:after="40"/>
      </w:pPr>
    </w:p>
    <w:p>
      <w:pPr>
        <w:spacing w:after="120"/>
      </w:pPr>
      <w:r>
        <w:rPr>
          <w:sz w:val="21"/>
        </w:rPr>
        <w:t>The second measure is the one that actually drives the balance-sheet grade, and it is Best's own capital model, called BCAR. Best takes our real balance sheet and runs it through a series of bad years, up to roughly a 1-in-250-year loss, and asks how much capital is still standing afterward. A company graded Strongest has more than about 25% of its capital still to spare after that stress. BCAR captures things the RBC ratio does not, including asset risk, reserve adequacy, and catastrophe exposure, which is why a carrier can look strong on one measure and less so on the other. One more point that matters later: BCAR is a snapshot of today's balance sheet under stress. It is not a forecast. What looks ahead is Best's rating opinion and outlook, which carry its view of where we are headed.</w:t>
      </w:r>
    </w:p>
    <w:p>
      <w:pPr>
        <w:spacing w:after="120"/>
      </w:pPr>
      <w:r>
        <w:rPr>
          <w:sz w:val="21"/>
        </w:rPr>
        <w:t>So we hold two capital numbers in mind. The RBC ratio is the regulator's floor and the number our plan moves the most. BCAR is Best's stress test and the number that sets our grade. They can move together or apart, and the gap between them is the heart of the capital question for us.</w:t>
      </w:r>
    </w:p>
    <w:p>
      <w:pPr>
        <w:spacing w:before="320" w:after="40"/>
      </w:pPr>
      <w:r>
        <w:rPr>
          <w:b/>
          <w:color w:val="0B1C2C"/>
          <w:sz w:val="25"/>
        </w:rPr>
        <w:t>Part II.  Where Wellabe stands</w:t>
      </w:r>
    </w:p>
    <w:p>
      <w:pPr>
        <w:spacing w:before="240" w:after="40"/>
      </w:pPr>
      <w:r>
        <w:rPr>
          <w:b/>
          <w:color w:val="2E5A88"/>
          <w:sz w:val="27"/>
        </w:rPr>
        <w:t>5.  Our rating today, and how we got to A</w:t>
      </w:r>
    </w:p>
    <w:p>
      <w:pPr>
        <w:spacing w:after="120"/>
      </w:pPr>
      <w:r>
        <w:rPr>
          <w:sz w:val="21"/>
        </w:rPr>
        <w:t>Best grades us Strongest on the balance sheet, Adequate on operating performance, Neutral on business profile, and Appropriate on risk management. The balance sheet opens us at A, the other three net to no change, and we land at A with a Stable outlook.</w:t>
      </w:r>
    </w:p>
    <w:p>
      <w:pPr>
        <w:spacing w:after="120"/>
      </w:pPr>
      <w:r>
        <w:rPr>
          <w:sz w:val="21"/>
        </w:rPr>
        <w:t>The thing shaping everything else is our recent operating performance. We have run losses for three straight years, and the losses have grown each year. Our accident-and-health combined ratio, which is claims plus expenses as a percent of premium (so anything above 100% means the block pays out more than it takes in), climbed every year through 2025, and surplus has come down since 2021.</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2E5A88"/>
          </w:tcPr>
          <w:p>
            <w:r/>
            <w:r>
              <w:rPr>
                <w:b/>
                <w:color w:val="FFFFFF"/>
                <w:sz w:val="18"/>
              </w:rPr>
              <w:t>Year</w:t>
            </w:r>
          </w:p>
        </w:tc>
        <w:tc>
          <w:tcPr>
            <w:tcW w:type="dxa" w:w="1728"/>
            <w:shd w:val="clear" w:fill="2E5A88"/>
          </w:tcPr>
          <w:p>
            <w:r/>
            <w:r>
              <w:rPr>
                <w:b/>
                <w:color w:val="FFFFFF"/>
                <w:sz w:val="18"/>
              </w:rPr>
              <w:t>Net income</w:t>
            </w:r>
          </w:p>
        </w:tc>
        <w:tc>
          <w:tcPr>
            <w:tcW w:type="dxa" w:w="1728"/>
            <w:shd w:val="clear" w:fill="2E5A88"/>
          </w:tcPr>
          <w:p>
            <w:r/>
            <w:r>
              <w:rPr>
                <w:b/>
                <w:color w:val="FFFFFF"/>
                <w:sz w:val="18"/>
              </w:rPr>
              <w:t>Capital and surplus</w:t>
            </w:r>
          </w:p>
        </w:tc>
        <w:tc>
          <w:tcPr>
            <w:tcW w:type="dxa" w:w="1728"/>
            <w:shd w:val="clear" w:fill="2E5A88"/>
          </w:tcPr>
          <w:p>
            <w:r/>
            <w:r>
              <w:rPr>
                <w:b/>
                <w:color w:val="FFFFFF"/>
                <w:sz w:val="18"/>
              </w:rPr>
              <w:t>A&amp;H combined ratio</w:t>
            </w:r>
          </w:p>
        </w:tc>
        <w:tc>
          <w:tcPr>
            <w:tcW w:type="dxa" w:w="1728"/>
            <w:shd w:val="clear" w:fill="2E5A88"/>
          </w:tcPr>
          <w:p>
            <w:r/>
            <w:r>
              <w:rPr>
                <w:b/>
                <w:color w:val="FFFFFF"/>
                <w:sz w:val="18"/>
              </w:rPr>
              <w:t>BCAR</w:t>
            </w:r>
          </w:p>
        </w:tc>
      </w:tr>
      <w:tr>
        <w:tc>
          <w:tcPr>
            <w:tcW w:type="dxa" w:w="1728"/>
          </w:tcPr>
          <w:p>
            <w:r/>
            <w:r>
              <w:rPr>
                <w:sz w:val="18"/>
              </w:rPr>
              <w:t>2021</w:t>
            </w:r>
          </w:p>
        </w:tc>
        <w:tc>
          <w:tcPr>
            <w:tcW w:type="dxa" w:w="1728"/>
          </w:tcPr>
          <w:p>
            <w:r/>
            <w:r>
              <w:rPr>
                <w:sz w:val="18"/>
              </w:rPr>
              <w:t>+$22M</w:t>
            </w:r>
          </w:p>
        </w:tc>
        <w:tc>
          <w:tcPr>
            <w:tcW w:type="dxa" w:w="1728"/>
          </w:tcPr>
          <w:p>
            <w:r/>
            <w:r>
              <w:rPr>
                <w:sz w:val="18"/>
              </w:rPr>
              <w:t>$630M</w:t>
            </w:r>
          </w:p>
        </w:tc>
        <w:tc>
          <w:tcPr>
            <w:tcW w:type="dxa" w:w="1728"/>
          </w:tcPr>
          <w:p>
            <w:r/>
            <w:r>
              <w:rPr>
                <w:sz w:val="18"/>
              </w:rPr>
              <w:t>95%</w:t>
            </w:r>
          </w:p>
        </w:tc>
        <w:tc>
          <w:tcPr>
            <w:tcW w:type="dxa" w:w="1728"/>
          </w:tcPr>
          <w:p>
            <w:r/>
            <w:r>
              <w:rPr>
                <w:sz w:val="18"/>
              </w:rPr>
              <w:t>n/a</w:t>
            </w:r>
          </w:p>
        </w:tc>
      </w:tr>
      <w:tr>
        <w:tc>
          <w:tcPr>
            <w:tcW w:type="dxa" w:w="1728"/>
          </w:tcPr>
          <w:p>
            <w:r/>
            <w:r>
              <w:rPr>
                <w:sz w:val="18"/>
              </w:rPr>
              <w:t>2022</w:t>
            </w:r>
          </w:p>
        </w:tc>
        <w:tc>
          <w:tcPr>
            <w:tcW w:type="dxa" w:w="1728"/>
          </w:tcPr>
          <w:p>
            <w:r/>
            <w:r>
              <w:rPr>
                <w:sz w:val="18"/>
              </w:rPr>
              <w:t>-$1M</w:t>
            </w:r>
          </w:p>
        </w:tc>
        <w:tc>
          <w:tcPr>
            <w:tcW w:type="dxa" w:w="1728"/>
          </w:tcPr>
          <w:p>
            <w:r/>
            <w:r>
              <w:rPr>
                <w:sz w:val="18"/>
              </w:rPr>
              <w:t>$615M</w:t>
            </w:r>
          </w:p>
        </w:tc>
        <w:tc>
          <w:tcPr>
            <w:tcW w:type="dxa" w:w="1728"/>
          </w:tcPr>
          <w:p>
            <w:r/>
            <w:r>
              <w:rPr>
                <w:sz w:val="18"/>
              </w:rPr>
              <w:t>99%</w:t>
            </w:r>
          </w:p>
        </w:tc>
        <w:tc>
          <w:tcPr>
            <w:tcW w:type="dxa" w:w="1728"/>
          </w:tcPr>
          <w:p>
            <w:r/>
            <w:r>
              <w:rPr>
                <w:sz w:val="18"/>
              </w:rPr>
              <w:t>73.4%</w:t>
            </w:r>
          </w:p>
        </w:tc>
      </w:tr>
      <w:tr>
        <w:tc>
          <w:tcPr>
            <w:tcW w:type="dxa" w:w="1728"/>
          </w:tcPr>
          <w:p>
            <w:r/>
            <w:r>
              <w:rPr>
                <w:sz w:val="18"/>
              </w:rPr>
              <w:t>2023</w:t>
            </w:r>
          </w:p>
        </w:tc>
        <w:tc>
          <w:tcPr>
            <w:tcW w:type="dxa" w:w="1728"/>
          </w:tcPr>
          <w:p>
            <w:r/>
            <w:r>
              <w:rPr>
                <w:sz w:val="18"/>
              </w:rPr>
              <w:t>-$21M</w:t>
            </w:r>
          </w:p>
        </w:tc>
        <w:tc>
          <w:tcPr>
            <w:tcW w:type="dxa" w:w="1728"/>
          </w:tcPr>
          <w:p>
            <w:r/>
            <w:r>
              <w:rPr>
                <w:sz w:val="18"/>
              </w:rPr>
              <w:t>$602M</w:t>
            </w:r>
          </w:p>
        </w:tc>
        <w:tc>
          <w:tcPr>
            <w:tcW w:type="dxa" w:w="1728"/>
          </w:tcPr>
          <w:p>
            <w:r/>
            <w:r>
              <w:rPr>
                <w:sz w:val="18"/>
              </w:rPr>
              <w:t>103%</w:t>
            </w:r>
          </w:p>
        </w:tc>
        <w:tc>
          <w:tcPr>
            <w:tcW w:type="dxa" w:w="1728"/>
          </w:tcPr>
          <w:p>
            <w:r/>
            <w:r>
              <w:rPr>
                <w:sz w:val="18"/>
              </w:rPr>
              <w:t>73.0%</w:t>
            </w:r>
          </w:p>
        </w:tc>
      </w:tr>
      <w:tr>
        <w:tc>
          <w:tcPr>
            <w:tcW w:type="dxa" w:w="1728"/>
          </w:tcPr>
          <w:p>
            <w:r/>
            <w:r>
              <w:rPr>
                <w:sz w:val="18"/>
              </w:rPr>
              <w:t>2024</w:t>
            </w:r>
          </w:p>
        </w:tc>
        <w:tc>
          <w:tcPr>
            <w:tcW w:type="dxa" w:w="1728"/>
          </w:tcPr>
          <w:p>
            <w:r/>
            <w:r>
              <w:rPr>
                <w:sz w:val="18"/>
              </w:rPr>
              <w:t>-$52M</w:t>
            </w:r>
          </w:p>
        </w:tc>
        <w:tc>
          <w:tcPr>
            <w:tcW w:type="dxa" w:w="1728"/>
          </w:tcPr>
          <w:p>
            <w:r/>
            <w:r>
              <w:rPr>
                <w:sz w:val="18"/>
              </w:rPr>
              <w:t>$560M</w:t>
            </w:r>
          </w:p>
        </w:tc>
        <w:tc>
          <w:tcPr>
            <w:tcW w:type="dxa" w:w="1728"/>
          </w:tcPr>
          <w:p>
            <w:r/>
            <w:r>
              <w:rPr>
                <w:sz w:val="18"/>
              </w:rPr>
              <w:t>109%</w:t>
            </w:r>
          </w:p>
        </w:tc>
        <w:tc>
          <w:tcPr>
            <w:tcW w:type="dxa" w:w="1728"/>
          </w:tcPr>
          <w:p>
            <w:r/>
            <w:r>
              <w:rPr>
                <w:sz w:val="18"/>
              </w:rPr>
              <w:t>71.2%</w:t>
            </w:r>
          </w:p>
        </w:tc>
      </w:tr>
      <w:tr>
        <w:tc>
          <w:tcPr>
            <w:tcW w:type="dxa" w:w="1728"/>
          </w:tcPr>
          <w:p>
            <w:r/>
            <w:r>
              <w:rPr>
                <w:sz w:val="18"/>
              </w:rPr>
              <w:t>2025</w:t>
            </w:r>
          </w:p>
        </w:tc>
        <w:tc>
          <w:tcPr>
            <w:tcW w:type="dxa" w:w="1728"/>
          </w:tcPr>
          <w:p>
            <w:r/>
            <w:r>
              <w:rPr>
                <w:sz w:val="18"/>
              </w:rPr>
              <w:t>-$71M</w:t>
            </w:r>
          </w:p>
        </w:tc>
        <w:tc>
          <w:tcPr>
            <w:tcW w:type="dxa" w:w="1728"/>
          </w:tcPr>
          <w:p>
            <w:r/>
            <w:r>
              <w:rPr>
                <w:sz w:val="18"/>
              </w:rPr>
              <w:t>$531M</w:t>
            </w:r>
          </w:p>
        </w:tc>
        <w:tc>
          <w:tcPr>
            <w:tcW w:type="dxa" w:w="1728"/>
          </w:tcPr>
          <w:p>
            <w:r/>
            <w:r>
              <w:rPr>
                <w:sz w:val="18"/>
              </w:rPr>
              <w:t>116%</w:t>
            </w:r>
          </w:p>
        </w:tc>
        <w:tc>
          <w:tcPr>
            <w:tcW w:type="dxa" w:w="1728"/>
          </w:tcPr>
          <w:p>
            <w:r/>
            <w:r>
              <w:rPr>
                <w:sz w:val="18"/>
              </w:rPr>
              <w:t>67.3%</w:t>
            </w:r>
          </w:p>
        </w:tc>
      </w:tr>
    </w:tbl>
    <w:p>
      <w:pPr>
        <w:spacing w:after="40"/>
      </w:pPr>
    </w:p>
    <w:p>
      <w:pPr>
        <w:spacing w:after="120"/>
      </w:pPr>
      <w:r>
        <w:rPr>
          <w:sz w:val="21"/>
        </w:rPr>
        <w:t>We are still A and still Stable while running the largest losses in our history. The reason is that Best does not read these as ordinary losses. Statutory accounting makes us book the full cost of writing a new policy right away, so a record year of Medicare Supplement sales, with premium up 13% in 2025, shows up as a loss today on business we expect to earn back over its life. Best is giving us credit for that, and it has said so in its rating drivers. It is a judgement, and judgements can change, which is why the next sections matter.</w:t>
      </w:r>
    </w:p>
    <w:p>
      <w:pPr>
        <w:spacing w:after="120"/>
      </w:pPr>
      <w:r>
        <w:rPr>
          <w:sz w:val="21"/>
        </w:rPr>
        <w:t>There is an early sign the trajectory is turning. Through 2026 to date the all-in accident-and-health combined ratio is running near 113%, down from 116% in 2025, which would be the first improvement in the series. If that holds, it is the clearest evidence we can put in front of Best at the next review that the combined ratio has passed its inflection point and the plan is playing out.</w:t>
      </w:r>
    </w:p>
    <w:p>
      <w:pPr>
        <w:spacing w:before="240" w:after="40"/>
      </w:pPr>
      <w:r>
        <w:rPr>
          <w:b/>
          <w:color w:val="2E5A88"/>
          <w:sz w:val="27"/>
        </w:rPr>
        <w:t>6.  Our capital, and where the plan takes it</w:t>
      </w:r>
    </w:p>
    <w:p>
      <w:pPr>
        <w:spacing w:after="120"/>
      </w:pPr>
      <w:r>
        <w:rPr>
          <w:sz w:val="21"/>
        </w:rPr>
        <w:t>Here is the core of the capital question. Both of our capital measures are coming down, and the plan intends them to continue down through about 2029.</w:t>
      </w:r>
    </w:p>
    <w:p>
      <w:pPr>
        <w:spacing w:after="120"/>
      </w:pPr>
      <w:r>
        <w:rPr>
          <w:sz w:val="21"/>
        </w:rPr>
        <w:t>BCAR has fallen from 73.4% at year-end 2022 to 67.3% at year-end 2025, a little over six points in three years, as losses draw down surplus. It is still far above the 25% line for Strongest, but the direction is steady and it will keep going while we fund growth, and likely faster than the recent pace once the surplus note adds lower-quality capital and losses continue.</w:t>
      </w:r>
    </w:p>
    <w:p>
      <w:pPr>
        <w:jc w:val="center"/>
      </w:pPr>
      <w:r>
        <w:drawing>
          <wp:inline xmlns:a="http://schemas.openxmlformats.org/drawingml/2006/main" xmlns:pic="http://schemas.openxmlformats.org/drawingml/2006/picture">
            <wp:extent cx="5577840" cy="2788920"/>
            <wp:docPr id="1" name="Picture 1"/>
            <wp:cNvGraphicFramePr>
              <a:graphicFrameLocks noChangeAspect="1"/>
            </wp:cNvGraphicFramePr>
            <a:graphic>
              <a:graphicData uri="http://schemas.openxmlformats.org/drawingml/2006/picture">
                <pic:pic>
                  <pic:nvPicPr>
                    <pic:cNvPr id="0" name="rp_bcar.png"/>
                    <pic:cNvPicPr/>
                  </pic:nvPicPr>
                  <pic:blipFill>
                    <a:blip r:embed="rId9"/>
                    <a:stretch>
                      <a:fillRect/>
                    </a:stretch>
                  </pic:blipFill>
                  <pic:spPr>
                    <a:xfrm>
                      <a:off x="0" y="0"/>
                      <a:ext cx="5577840" cy="2788920"/>
                    </a:xfrm>
                    <a:prstGeom prst="rect"/>
                  </pic:spPr>
                </pic:pic>
              </a:graphicData>
            </a:graphic>
          </wp:inline>
        </w:drawing>
      </w:r>
    </w:p>
    <w:p>
      <w:pPr>
        <w:spacing w:after="200"/>
        <w:jc w:val="center"/>
      </w:pPr>
      <w:r>
        <w:rPr>
          <w:i/>
          <w:color w:val="5C6B78"/>
          <w:sz w:val="18"/>
        </w:rPr>
        <w:t>Figure 1. BCAR over the four annual reviews we have. It sits well above the 25% bar but has trended down each year, and the plan takes it lower.</w:t>
      </w:r>
    </w:p>
    <w:p>
      <w:pPr>
        <w:spacing w:after="120"/>
      </w:pPr>
      <w:r>
        <w:rPr>
          <w:sz w:val="21"/>
        </w:rPr>
        <w:t>The RBC ratio moves more. It runs about 648% today and the plan carries it toward a trough near 400% around 2029 before it rebuilds. That matters because of where 400% sits. In our peer data, carriers graded Strongest tend to sit above roughly 530% on this basis, with the Very Strong band running from about 375% to 530%. A 400% ratio sits inside the Very Strong band, not the Strongest one.</w:t>
      </w:r>
    </w:p>
    <w:p>
      <w:pPr>
        <w:jc w:val="center"/>
      </w:pPr>
      <w:r>
        <w:drawing>
          <wp:inline xmlns:a="http://schemas.openxmlformats.org/drawingml/2006/main" xmlns:pic="http://schemas.openxmlformats.org/drawingml/2006/picture">
            <wp:extent cx="5577840" cy="3027970"/>
            <wp:docPr id="2" name="Picture 2"/>
            <wp:cNvGraphicFramePr>
              <a:graphicFrameLocks noChangeAspect="1"/>
            </wp:cNvGraphicFramePr>
            <a:graphic>
              <a:graphicData uri="http://schemas.openxmlformats.org/drawingml/2006/picture">
                <pic:pic>
                  <pic:nvPicPr>
                    <pic:cNvPr id="0" name="rp_rbcpath.png"/>
                    <pic:cNvPicPr/>
                  </pic:nvPicPr>
                  <pic:blipFill>
                    <a:blip r:embed="rId10"/>
                    <a:stretch>
                      <a:fillRect/>
                    </a:stretch>
                  </pic:blipFill>
                  <pic:spPr>
                    <a:xfrm>
                      <a:off x="0" y="0"/>
                      <a:ext cx="5577840" cy="3027970"/>
                    </a:xfrm>
                    <a:prstGeom prst="rect"/>
                  </pic:spPr>
                </pic:pic>
              </a:graphicData>
            </a:graphic>
          </wp:inline>
        </w:drawing>
      </w:r>
    </w:p>
    <w:p>
      <w:pPr>
        <w:spacing w:after="200"/>
        <w:jc w:val="center"/>
      </w:pPr>
      <w:r>
        <w:rPr>
          <w:i/>
          <w:color w:val="5C6B78"/>
          <w:sz w:val="18"/>
        </w:rPr>
        <w:t>Figure 2. An illustrative path for our RBC ratio to the planned trough. At ~400% it sits in the Very Strong band on the peer-floor read, below the Strongest floor. The exact path will depend on results and capital actions.</w:t>
      </w:r>
    </w:p>
    <w:p>
      <w:pPr>
        <w:spacing w:after="120"/>
      </w:pPr>
      <w:r>
        <w:rPr>
          <w:sz w:val="21"/>
        </w:rPr>
        <w:t>So the real question is straightforward. Does our balance-sheet grade stay Strongest through the trough, or does it slip to Very Strong. The evidence cuts both ways, and we should hold both halves. On one side, the RBC ratio at the trough lands in Very Strong territory on the peer read, which argues for a lower grade. On the other side, Best itself has said, in its outlook, that it expects us to maintain the Strongest assessment, and BCAR, the measure that drives the grade, has much more room than the RBC ratio suggests, so it may still compute Strongest at a 400% RBC level. It is also worth remembering that BCAR alone does not set the balance-sheet grade. Best weighs asset quality, reserve adequacy, financial flexibility, and the holding-company structure alongside it, so the grade is a broader judgement than any single capital number. We will not know where it lands until Best re-runs the analysis each year on our actual balance sheet. The prudent planning assumption is that a slip from Strongest to Very Strong is a real possibility at the trough, more so if asset risk drifts up. Best's own report notes that our invested assets are mainly investment-grade fixed income but carry a high allocation to NAIC class 2 bonds, with modest exposure to equities and mortgage loans, which is the balance-sheet-quality factor to keep an eye on.</w:t>
      </w:r>
    </w:p>
    <w:p>
      <w:pPr>
        <w:spacing w:before="240" w:after="40"/>
      </w:pPr>
      <w:r>
        <w:rPr>
          <w:b/>
          <w:color w:val="2E5A88"/>
          <w:sz w:val="27"/>
        </w:rPr>
        <w:t>7.  How we compare to peers</w:t>
      </w:r>
    </w:p>
    <w:p>
      <w:pPr>
        <w:spacing w:after="120"/>
      </w:pPr>
      <w:r>
        <w:rPr>
          <w:sz w:val="21"/>
        </w:rPr>
        <w:t>Reading the same four grades across the competitive set shows where the letters really come from. The table is sorted by rating, then by capital. The capital column and the rating do not move together.</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shd w:val="clear" w:fill="2E5A88"/>
          </w:tcPr>
          <w:p>
            <w:r/>
            <w:r>
              <w:rPr>
                <w:b/>
                <w:color w:val="FFFFFF"/>
                <w:sz w:val="18"/>
              </w:rPr>
              <w:t>Carrier</w:t>
            </w:r>
          </w:p>
        </w:tc>
        <w:tc>
          <w:tcPr>
            <w:tcW w:type="dxa" w:w="1234"/>
            <w:shd w:val="clear" w:fill="2E5A88"/>
          </w:tcPr>
          <w:p>
            <w:r/>
            <w:r>
              <w:rPr>
                <w:b/>
                <w:color w:val="FFFFFF"/>
                <w:sz w:val="18"/>
              </w:rPr>
              <w:t>Rating</w:t>
            </w:r>
          </w:p>
        </w:tc>
        <w:tc>
          <w:tcPr>
            <w:tcW w:type="dxa" w:w="1234"/>
            <w:shd w:val="clear" w:fill="2E5A88"/>
          </w:tcPr>
          <w:p>
            <w:r/>
            <w:r>
              <w:rPr>
                <w:b/>
                <w:color w:val="FFFFFF"/>
                <w:sz w:val="18"/>
              </w:rPr>
              <w:t>Balance sheet</w:t>
            </w:r>
          </w:p>
        </w:tc>
        <w:tc>
          <w:tcPr>
            <w:tcW w:type="dxa" w:w="1234"/>
            <w:shd w:val="clear" w:fill="2E5A88"/>
          </w:tcPr>
          <w:p>
            <w:r/>
            <w:r>
              <w:rPr>
                <w:b/>
                <w:color w:val="FFFFFF"/>
                <w:sz w:val="18"/>
              </w:rPr>
              <w:t>Operating</w:t>
            </w:r>
          </w:p>
        </w:tc>
        <w:tc>
          <w:tcPr>
            <w:tcW w:type="dxa" w:w="1234"/>
            <w:shd w:val="clear" w:fill="2E5A88"/>
          </w:tcPr>
          <w:p>
            <w:r/>
            <w:r>
              <w:rPr>
                <w:b/>
                <w:color w:val="FFFFFF"/>
                <w:sz w:val="18"/>
              </w:rPr>
              <w:t>Business profile</w:t>
            </w:r>
          </w:p>
        </w:tc>
        <w:tc>
          <w:tcPr>
            <w:tcW w:type="dxa" w:w="1234"/>
            <w:shd w:val="clear" w:fill="2E5A88"/>
          </w:tcPr>
          <w:p>
            <w:r/>
            <w:r>
              <w:rPr>
                <w:b/>
                <w:color w:val="FFFFFF"/>
                <w:sz w:val="18"/>
              </w:rPr>
              <w:t>ERM</w:t>
            </w:r>
          </w:p>
        </w:tc>
        <w:tc>
          <w:tcPr>
            <w:tcW w:type="dxa" w:w="1234"/>
            <w:shd w:val="clear" w:fill="2E5A88"/>
          </w:tcPr>
          <w:p>
            <w:r/>
            <w:r>
              <w:rPr>
                <w:b/>
                <w:color w:val="FFFFFF"/>
                <w:sz w:val="18"/>
              </w:rPr>
              <w:t>RBC (CAL)</w:t>
            </w:r>
          </w:p>
        </w:tc>
      </w:tr>
      <w:tr>
        <w:tc>
          <w:tcPr>
            <w:tcW w:type="dxa" w:w="1234"/>
          </w:tcPr>
          <w:p>
            <w:r/>
            <w:r>
              <w:rPr>
                <w:sz w:val="18"/>
              </w:rPr>
              <w:t>Guardian Life</w:t>
            </w:r>
          </w:p>
        </w:tc>
        <w:tc>
          <w:tcPr>
            <w:tcW w:type="dxa" w:w="1234"/>
          </w:tcPr>
          <w:p>
            <w:r/>
            <w:r>
              <w:rPr>
                <w:sz w:val="18"/>
              </w:rPr>
              <w:t>A++</w:t>
            </w:r>
          </w:p>
        </w:tc>
        <w:tc>
          <w:tcPr>
            <w:tcW w:type="dxa" w:w="1234"/>
          </w:tcPr>
          <w:p>
            <w:r/>
            <w:r>
              <w:rPr>
                <w:sz w:val="18"/>
              </w:rPr>
              <w:t>Strongest</w:t>
            </w:r>
          </w:p>
        </w:tc>
        <w:tc>
          <w:tcPr>
            <w:tcW w:type="dxa" w:w="1234"/>
          </w:tcPr>
          <w:p>
            <w:r/>
            <w:r>
              <w:rPr>
                <w:sz w:val="18"/>
              </w:rPr>
              <w:t>Strong</w:t>
            </w:r>
          </w:p>
        </w:tc>
        <w:tc>
          <w:tcPr>
            <w:tcW w:type="dxa" w:w="1234"/>
          </w:tcPr>
          <w:p>
            <w:r/>
            <w:r>
              <w:rPr>
                <w:sz w:val="18"/>
              </w:rPr>
              <w:t>Favorable</w:t>
            </w:r>
          </w:p>
        </w:tc>
        <w:tc>
          <w:tcPr>
            <w:tcW w:type="dxa" w:w="1234"/>
          </w:tcPr>
          <w:p>
            <w:r/>
            <w:r>
              <w:rPr>
                <w:sz w:val="18"/>
              </w:rPr>
              <w:t>Very Strong</w:t>
            </w:r>
          </w:p>
        </w:tc>
        <w:tc>
          <w:tcPr>
            <w:tcW w:type="dxa" w:w="1234"/>
          </w:tcPr>
          <w:p>
            <w:r/>
            <w:r>
              <w:rPr>
                <w:sz w:val="18"/>
              </w:rPr>
              <w:t>533%</w:t>
            </w:r>
          </w:p>
        </w:tc>
      </w:tr>
      <w:tr>
        <w:tc>
          <w:tcPr>
            <w:tcW w:type="dxa" w:w="1234"/>
          </w:tcPr>
          <w:p>
            <w:r/>
            <w:r>
              <w:rPr>
                <w:sz w:val="18"/>
              </w:rPr>
              <w:t>Physicians Mutual</w:t>
            </w:r>
          </w:p>
        </w:tc>
        <w:tc>
          <w:tcPr>
            <w:tcW w:type="dxa" w:w="1234"/>
          </w:tcPr>
          <w:p>
            <w:r/>
            <w:r>
              <w:rPr>
                <w:sz w:val="18"/>
              </w:rPr>
              <w:t>A+</w:t>
            </w:r>
          </w:p>
        </w:tc>
        <w:tc>
          <w:tcPr>
            <w:tcW w:type="dxa" w:w="1234"/>
          </w:tcPr>
          <w:p>
            <w:r/>
            <w:r>
              <w:rPr>
                <w:sz w:val="18"/>
              </w:rPr>
              <w:t>Strongest</w:t>
            </w:r>
          </w:p>
        </w:tc>
        <w:tc>
          <w:tcPr>
            <w:tcW w:type="dxa" w:w="1234"/>
          </w:tcPr>
          <w:p>
            <w:r/>
            <w:r>
              <w:rPr>
                <w:sz w:val="18"/>
              </w:rPr>
              <w:t>Strong</w:t>
            </w:r>
          </w:p>
        </w:tc>
        <w:tc>
          <w:tcPr>
            <w:tcW w:type="dxa" w:w="1234"/>
          </w:tcPr>
          <w:p>
            <w:r/>
            <w:r>
              <w:rPr>
                <w:sz w:val="18"/>
              </w:rPr>
              <w:t>Neutral</w:t>
            </w:r>
          </w:p>
        </w:tc>
        <w:tc>
          <w:tcPr>
            <w:tcW w:type="dxa" w:w="1234"/>
          </w:tcPr>
          <w:p>
            <w:r/>
            <w:r>
              <w:rPr>
                <w:sz w:val="18"/>
              </w:rPr>
              <w:t>Appropriate</w:t>
            </w:r>
          </w:p>
        </w:tc>
        <w:tc>
          <w:tcPr>
            <w:tcW w:type="dxa" w:w="1234"/>
          </w:tcPr>
          <w:p>
            <w:r/>
            <w:r>
              <w:rPr>
                <w:sz w:val="18"/>
              </w:rPr>
              <w:t>1,239%</w:t>
            </w:r>
          </w:p>
        </w:tc>
      </w:tr>
      <w:tr>
        <w:tc>
          <w:tcPr>
            <w:tcW w:type="dxa" w:w="1234"/>
          </w:tcPr>
          <w:p>
            <w:r/>
            <w:r>
              <w:rPr>
                <w:sz w:val="18"/>
              </w:rPr>
              <w:t>Aflac</w:t>
            </w:r>
          </w:p>
        </w:tc>
        <w:tc>
          <w:tcPr>
            <w:tcW w:type="dxa" w:w="1234"/>
          </w:tcPr>
          <w:p>
            <w:r/>
            <w:r>
              <w:rPr>
                <w:sz w:val="18"/>
              </w:rPr>
              <w:t>A+</w:t>
            </w:r>
          </w:p>
        </w:tc>
        <w:tc>
          <w:tcPr>
            <w:tcW w:type="dxa" w:w="1234"/>
          </w:tcPr>
          <w:p>
            <w:r/>
            <w:r>
              <w:rPr>
                <w:sz w:val="18"/>
              </w:rPr>
              <w:t>Strongest</w:t>
            </w:r>
          </w:p>
        </w:tc>
        <w:tc>
          <w:tcPr>
            <w:tcW w:type="dxa" w:w="1234"/>
          </w:tcPr>
          <w:p>
            <w:r/>
            <w:r>
              <w:rPr>
                <w:sz w:val="18"/>
              </w:rPr>
              <w:t>Strong</w:t>
            </w:r>
          </w:p>
        </w:tc>
        <w:tc>
          <w:tcPr>
            <w:tcW w:type="dxa" w:w="1234"/>
          </w:tcPr>
          <w:p>
            <w:r/>
            <w:r>
              <w:rPr>
                <w:sz w:val="18"/>
              </w:rPr>
              <w:t>Favorable</w:t>
            </w:r>
          </w:p>
        </w:tc>
        <w:tc>
          <w:tcPr>
            <w:tcW w:type="dxa" w:w="1234"/>
          </w:tcPr>
          <w:p>
            <w:r/>
            <w:r>
              <w:rPr>
                <w:sz w:val="18"/>
              </w:rPr>
              <w:t>Very Strong</w:t>
            </w:r>
          </w:p>
        </w:tc>
        <w:tc>
          <w:tcPr>
            <w:tcW w:type="dxa" w:w="1234"/>
          </w:tcPr>
          <w:p>
            <w:r/>
            <w:r>
              <w:rPr>
                <w:sz w:val="18"/>
              </w:rPr>
              <w:t>564%</w:t>
            </w:r>
          </w:p>
        </w:tc>
      </w:tr>
      <w:tr>
        <w:tc>
          <w:tcPr>
            <w:tcW w:type="dxa" w:w="1234"/>
          </w:tcPr>
          <w:p>
            <w:r/>
            <w:r>
              <w:rPr>
                <w:sz w:val="18"/>
              </w:rPr>
              <w:t>Mutual of Omaha</w:t>
            </w:r>
          </w:p>
        </w:tc>
        <w:tc>
          <w:tcPr>
            <w:tcW w:type="dxa" w:w="1234"/>
          </w:tcPr>
          <w:p>
            <w:r/>
            <w:r>
              <w:rPr>
                <w:sz w:val="18"/>
              </w:rPr>
              <w:t>A+</w:t>
            </w:r>
          </w:p>
        </w:tc>
        <w:tc>
          <w:tcPr>
            <w:tcW w:type="dxa" w:w="1234"/>
          </w:tcPr>
          <w:p>
            <w:r/>
            <w:r>
              <w:rPr>
                <w:sz w:val="18"/>
              </w:rPr>
              <w:t>Very Strong</w:t>
            </w:r>
          </w:p>
        </w:tc>
        <w:tc>
          <w:tcPr>
            <w:tcW w:type="dxa" w:w="1234"/>
          </w:tcPr>
          <w:p>
            <w:r/>
            <w:r>
              <w:rPr>
                <w:sz w:val="18"/>
              </w:rPr>
              <w:t>Strong</w:t>
            </w:r>
          </w:p>
        </w:tc>
        <w:tc>
          <w:tcPr>
            <w:tcW w:type="dxa" w:w="1234"/>
          </w:tcPr>
          <w:p>
            <w:r/>
            <w:r>
              <w:rPr>
                <w:sz w:val="18"/>
              </w:rPr>
              <w:t>Favorable</w:t>
            </w:r>
          </w:p>
        </w:tc>
        <w:tc>
          <w:tcPr>
            <w:tcW w:type="dxa" w:w="1234"/>
          </w:tcPr>
          <w:p>
            <w:r/>
            <w:r>
              <w:rPr>
                <w:sz w:val="18"/>
              </w:rPr>
              <w:t>Appropriate</w:t>
            </w:r>
          </w:p>
        </w:tc>
        <w:tc>
          <w:tcPr>
            <w:tcW w:type="dxa" w:w="1234"/>
          </w:tcPr>
          <w:p>
            <w:r/>
            <w:r>
              <w:rPr>
                <w:sz w:val="18"/>
              </w:rPr>
              <w:t>434%</w:t>
            </w:r>
          </w:p>
        </w:tc>
      </w:tr>
      <w:tr>
        <w:tc>
          <w:tcPr>
            <w:tcW w:type="dxa" w:w="1234"/>
          </w:tcPr>
          <w:p>
            <w:r/>
            <w:r>
              <w:rPr>
                <w:sz w:val="18"/>
              </w:rPr>
              <w:t>Guarantee Trust Life</w:t>
            </w:r>
          </w:p>
        </w:tc>
        <w:tc>
          <w:tcPr>
            <w:tcW w:type="dxa" w:w="1234"/>
          </w:tcPr>
          <w:p>
            <w:r/>
            <w:r>
              <w:rPr>
                <w:sz w:val="18"/>
              </w:rPr>
              <w:t>A</w:t>
            </w:r>
          </w:p>
        </w:tc>
        <w:tc>
          <w:tcPr>
            <w:tcW w:type="dxa" w:w="1234"/>
          </w:tcPr>
          <w:p>
            <w:r/>
            <w:r>
              <w:rPr>
                <w:sz w:val="18"/>
              </w:rPr>
              <w:t>Strongest</w:t>
            </w:r>
          </w:p>
        </w:tc>
        <w:tc>
          <w:tcPr>
            <w:tcW w:type="dxa" w:w="1234"/>
          </w:tcPr>
          <w:p>
            <w:r/>
            <w:r>
              <w:rPr>
                <w:sz w:val="18"/>
              </w:rPr>
              <w:t>Strong</w:t>
            </w:r>
          </w:p>
        </w:tc>
        <w:tc>
          <w:tcPr>
            <w:tcW w:type="dxa" w:w="1234"/>
          </w:tcPr>
          <w:p>
            <w:r/>
            <w:r>
              <w:rPr>
                <w:sz w:val="18"/>
              </w:rPr>
              <w:t>Limited</w:t>
            </w:r>
          </w:p>
        </w:tc>
        <w:tc>
          <w:tcPr>
            <w:tcW w:type="dxa" w:w="1234"/>
          </w:tcPr>
          <w:p>
            <w:r/>
            <w:r>
              <w:rPr>
                <w:sz w:val="18"/>
              </w:rPr>
              <w:t>Appropriate</w:t>
            </w:r>
          </w:p>
        </w:tc>
        <w:tc>
          <w:tcPr>
            <w:tcW w:type="dxa" w:w="1234"/>
          </w:tcPr>
          <w:p>
            <w:r/>
            <w:r>
              <w:rPr>
                <w:sz w:val="18"/>
              </w:rPr>
              <w:t>809%</w:t>
            </w:r>
          </w:p>
        </w:tc>
      </w:tr>
      <w:tr>
        <w:tc>
          <w:tcPr>
            <w:tcW w:type="dxa" w:w="1234"/>
            <w:shd w:val="clear" w:fill="FBE9E7"/>
          </w:tcPr>
          <w:p>
            <w:r/>
            <w:r>
              <w:rPr>
                <w:b/>
                <w:color w:val="C0392B"/>
                <w:sz w:val="18"/>
              </w:rPr>
              <w:t>Wellabe</w:t>
            </w:r>
          </w:p>
        </w:tc>
        <w:tc>
          <w:tcPr>
            <w:tcW w:type="dxa" w:w="1234"/>
            <w:shd w:val="clear" w:fill="FBE9E7"/>
          </w:tcPr>
          <w:p>
            <w:r/>
            <w:r>
              <w:rPr>
                <w:b/>
                <w:color w:val="C0392B"/>
                <w:sz w:val="18"/>
              </w:rPr>
              <w:t>A</w:t>
            </w:r>
          </w:p>
        </w:tc>
        <w:tc>
          <w:tcPr>
            <w:tcW w:type="dxa" w:w="1234"/>
            <w:shd w:val="clear" w:fill="FBE9E7"/>
          </w:tcPr>
          <w:p>
            <w:r/>
            <w:r>
              <w:rPr>
                <w:b/>
                <w:color w:val="C0392B"/>
                <w:sz w:val="18"/>
              </w:rPr>
              <w:t>Strongest</w:t>
            </w:r>
          </w:p>
        </w:tc>
        <w:tc>
          <w:tcPr>
            <w:tcW w:type="dxa" w:w="1234"/>
            <w:shd w:val="clear" w:fill="FBE9E7"/>
          </w:tcPr>
          <w:p>
            <w:r/>
            <w:r>
              <w:rPr>
                <w:b/>
                <w:color w:val="C0392B"/>
                <w:sz w:val="18"/>
              </w:rPr>
              <w:t>Adequate</w:t>
            </w:r>
          </w:p>
        </w:tc>
        <w:tc>
          <w:tcPr>
            <w:tcW w:type="dxa" w:w="1234"/>
            <w:shd w:val="clear" w:fill="FBE9E7"/>
          </w:tcPr>
          <w:p>
            <w:r/>
            <w:r>
              <w:rPr>
                <w:b/>
                <w:color w:val="C0392B"/>
                <w:sz w:val="18"/>
              </w:rPr>
              <w:t>Neutral</w:t>
            </w:r>
          </w:p>
        </w:tc>
        <w:tc>
          <w:tcPr>
            <w:tcW w:type="dxa" w:w="1234"/>
            <w:shd w:val="clear" w:fill="FBE9E7"/>
          </w:tcPr>
          <w:p>
            <w:r/>
            <w:r>
              <w:rPr>
                <w:b/>
                <w:color w:val="C0392B"/>
                <w:sz w:val="18"/>
              </w:rPr>
              <w:t>Appropriate</w:t>
            </w:r>
          </w:p>
        </w:tc>
        <w:tc>
          <w:tcPr>
            <w:tcW w:type="dxa" w:w="1234"/>
            <w:shd w:val="clear" w:fill="FBE9E7"/>
          </w:tcPr>
          <w:p>
            <w:r/>
            <w:r>
              <w:rPr>
                <w:b/>
                <w:color w:val="C0392B"/>
                <w:sz w:val="18"/>
              </w:rPr>
              <w:t>648%</w:t>
            </w:r>
          </w:p>
        </w:tc>
      </w:tr>
      <w:tr>
        <w:tc>
          <w:tcPr>
            <w:tcW w:type="dxa" w:w="1234"/>
          </w:tcPr>
          <w:p>
            <w:r/>
            <w:r>
              <w:rPr>
                <w:sz w:val="18"/>
              </w:rPr>
              <w:t>National Guardian Life</w:t>
            </w:r>
          </w:p>
        </w:tc>
        <w:tc>
          <w:tcPr>
            <w:tcW w:type="dxa" w:w="1234"/>
          </w:tcPr>
          <w:p>
            <w:r/>
            <w:r>
              <w:rPr>
                <w:sz w:val="18"/>
              </w:rPr>
              <w:t>A</w:t>
            </w:r>
          </w:p>
        </w:tc>
        <w:tc>
          <w:tcPr>
            <w:tcW w:type="dxa" w:w="1234"/>
          </w:tcPr>
          <w:p>
            <w:r/>
            <w:r>
              <w:rPr>
                <w:sz w:val="18"/>
              </w:rPr>
              <w:t>Very Strong</w:t>
            </w:r>
          </w:p>
        </w:tc>
        <w:tc>
          <w:tcPr>
            <w:tcW w:type="dxa" w:w="1234"/>
          </w:tcPr>
          <w:p>
            <w:r/>
            <w:r>
              <w:rPr>
                <w:sz w:val="18"/>
              </w:rPr>
              <w:t>Adequate</w:t>
            </w:r>
          </w:p>
        </w:tc>
        <w:tc>
          <w:tcPr>
            <w:tcW w:type="dxa" w:w="1234"/>
          </w:tcPr>
          <w:p>
            <w:r/>
            <w:r>
              <w:rPr>
                <w:sz w:val="18"/>
              </w:rPr>
              <w:t>Neutral</w:t>
            </w:r>
          </w:p>
        </w:tc>
        <w:tc>
          <w:tcPr>
            <w:tcW w:type="dxa" w:w="1234"/>
          </w:tcPr>
          <w:p>
            <w:r/>
            <w:r>
              <w:rPr>
                <w:sz w:val="18"/>
              </w:rPr>
              <w:t>Appropriate</w:t>
            </w:r>
          </w:p>
        </w:tc>
        <w:tc>
          <w:tcPr>
            <w:tcW w:type="dxa" w:w="1234"/>
          </w:tcPr>
          <w:p>
            <w:r/>
            <w:r>
              <w:rPr>
                <w:sz w:val="18"/>
              </w:rPr>
              <w:t>603%</w:t>
            </w:r>
          </w:p>
        </w:tc>
      </w:tr>
      <w:tr>
        <w:tc>
          <w:tcPr>
            <w:tcW w:type="dxa" w:w="1234"/>
          </w:tcPr>
          <w:p>
            <w:r/>
            <w:r>
              <w:rPr>
                <w:sz w:val="18"/>
              </w:rPr>
              <w:t>American National</w:t>
            </w:r>
          </w:p>
        </w:tc>
        <w:tc>
          <w:tcPr>
            <w:tcW w:type="dxa" w:w="1234"/>
          </w:tcPr>
          <w:p>
            <w:r/>
            <w:r>
              <w:rPr>
                <w:sz w:val="18"/>
              </w:rPr>
              <w:t>A</w:t>
            </w:r>
          </w:p>
        </w:tc>
        <w:tc>
          <w:tcPr>
            <w:tcW w:type="dxa" w:w="1234"/>
          </w:tcPr>
          <w:p>
            <w:r/>
            <w:r>
              <w:rPr>
                <w:sz w:val="18"/>
              </w:rPr>
              <w:t>Very Strong</w:t>
            </w:r>
          </w:p>
        </w:tc>
        <w:tc>
          <w:tcPr>
            <w:tcW w:type="dxa" w:w="1234"/>
          </w:tcPr>
          <w:p>
            <w:r/>
            <w:r>
              <w:rPr>
                <w:sz w:val="18"/>
              </w:rPr>
              <w:t>Adequate</w:t>
            </w:r>
          </w:p>
        </w:tc>
        <w:tc>
          <w:tcPr>
            <w:tcW w:type="dxa" w:w="1234"/>
          </w:tcPr>
          <w:p>
            <w:r/>
            <w:r>
              <w:rPr>
                <w:sz w:val="18"/>
              </w:rPr>
              <w:t>Favorable</w:t>
            </w:r>
          </w:p>
        </w:tc>
        <w:tc>
          <w:tcPr>
            <w:tcW w:type="dxa" w:w="1234"/>
          </w:tcPr>
          <w:p>
            <w:r/>
            <w:r>
              <w:rPr>
                <w:sz w:val="18"/>
              </w:rPr>
              <w:t>Appropriate</w:t>
            </w:r>
          </w:p>
        </w:tc>
        <w:tc>
          <w:tcPr>
            <w:tcW w:type="dxa" w:w="1234"/>
          </w:tcPr>
          <w:p>
            <w:r/>
            <w:r>
              <w:rPr>
                <w:sz w:val="18"/>
              </w:rPr>
              <w:t>427%</w:t>
            </w:r>
          </w:p>
        </w:tc>
      </w:tr>
      <w:tr>
        <w:tc>
          <w:tcPr>
            <w:tcW w:type="dxa" w:w="1234"/>
          </w:tcPr>
          <w:p>
            <w:r/>
            <w:r>
              <w:rPr>
                <w:sz w:val="18"/>
              </w:rPr>
              <w:t>CNO, Bankers Life</w:t>
            </w:r>
          </w:p>
        </w:tc>
        <w:tc>
          <w:tcPr>
            <w:tcW w:type="dxa" w:w="1234"/>
          </w:tcPr>
          <w:p>
            <w:r/>
            <w:r>
              <w:rPr>
                <w:sz w:val="18"/>
              </w:rPr>
              <w:t>A</w:t>
            </w:r>
          </w:p>
        </w:tc>
        <w:tc>
          <w:tcPr>
            <w:tcW w:type="dxa" w:w="1234"/>
          </w:tcPr>
          <w:p>
            <w:r/>
            <w:r>
              <w:rPr>
                <w:sz w:val="18"/>
              </w:rPr>
              <w:t>Very Strong</w:t>
            </w:r>
          </w:p>
        </w:tc>
        <w:tc>
          <w:tcPr>
            <w:tcW w:type="dxa" w:w="1234"/>
          </w:tcPr>
          <w:p>
            <w:r/>
            <w:r>
              <w:rPr>
                <w:sz w:val="18"/>
              </w:rPr>
              <w:t>Strong</w:t>
            </w:r>
          </w:p>
        </w:tc>
        <w:tc>
          <w:tcPr>
            <w:tcW w:type="dxa" w:w="1234"/>
          </w:tcPr>
          <w:p>
            <w:r/>
            <w:r>
              <w:rPr>
                <w:sz w:val="18"/>
              </w:rPr>
              <w:t>Neutral</w:t>
            </w:r>
          </w:p>
        </w:tc>
        <w:tc>
          <w:tcPr>
            <w:tcW w:type="dxa" w:w="1234"/>
          </w:tcPr>
          <w:p>
            <w:r/>
            <w:r>
              <w:rPr>
                <w:sz w:val="18"/>
              </w:rPr>
              <w:t>Appropriate</w:t>
            </w:r>
          </w:p>
        </w:tc>
        <w:tc>
          <w:tcPr>
            <w:tcW w:type="dxa" w:w="1234"/>
          </w:tcPr>
          <w:p>
            <w:r/>
            <w:r>
              <w:rPr>
                <w:sz w:val="18"/>
              </w:rPr>
              <w:t>334%</w:t>
            </w:r>
          </w:p>
        </w:tc>
      </w:tr>
      <w:tr>
        <w:tc>
          <w:tcPr>
            <w:tcW w:type="dxa" w:w="1234"/>
          </w:tcPr>
          <w:p>
            <w:r/>
            <w:r>
              <w:rPr>
                <w:sz w:val="18"/>
              </w:rPr>
              <w:t>Globe Life</w:t>
            </w:r>
          </w:p>
        </w:tc>
        <w:tc>
          <w:tcPr>
            <w:tcW w:type="dxa" w:w="1234"/>
          </w:tcPr>
          <w:p>
            <w:r/>
            <w:r>
              <w:rPr>
                <w:sz w:val="18"/>
              </w:rPr>
              <w:t>A</w:t>
            </w:r>
          </w:p>
        </w:tc>
        <w:tc>
          <w:tcPr>
            <w:tcW w:type="dxa" w:w="1234"/>
          </w:tcPr>
          <w:p>
            <w:r/>
            <w:r>
              <w:rPr>
                <w:sz w:val="18"/>
              </w:rPr>
              <w:t>Strong</w:t>
            </w:r>
          </w:p>
        </w:tc>
        <w:tc>
          <w:tcPr>
            <w:tcW w:type="dxa" w:w="1234"/>
          </w:tcPr>
          <w:p>
            <w:r/>
            <w:r>
              <w:rPr>
                <w:sz w:val="18"/>
              </w:rPr>
              <w:t>Strong</w:t>
            </w:r>
          </w:p>
        </w:tc>
        <w:tc>
          <w:tcPr>
            <w:tcW w:type="dxa" w:w="1234"/>
          </w:tcPr>
          <w:p>
            <w:r/>
            <w:r>
              <w:rPr>
                <w:sz w:val="18"/>
              </w:rPr>
              <w:t>Favorable</w:t>
            </w:r>
          </w:p>
        </w:tc>
        <w:tc>
          <w:tcPr>
            <w:tcW w:type="dxa" w:w="1234"/>
          </w:tcPr>
          <w:p>
            <w:r/>
            <w:r>
              <w:rPr>
                <w:sz w:val="18"/>
              </w:rPr>
              <w:t>Appropriate</w:t>
            </w:r>
          </w:p>
        </w:tc>
        <w:tc>
          <w:tcPr>
            <w:tcW w:type="dxa" w:w="1234"/>
          </w:tcPr>
          <w:p>
            <w:r/>
            <w:r>
              <w:rPr>
                <w:sz w:val="18"/>
              </w:rPr>
              <w:t>316%</w:t>
            </w:r>
          </w:p>
        </w:tc>
      </w:tr>
      <w:tr>
        <w:tc>
          <w:tcPr>
            <w:tcW w:type="dxa" w:w="1234"/>
          </w:tcPr>
          <w:p>
            <w:r/>
            <w:r>
              <w:rPr>
                <w:sz w:val="18"/>
              </w:rPr>
              <w:t>American-Amicable / Trinity</w:t>
            </w:r>
          </w:p>
        </w:tc>
        <w:tc>
          <w:tcPr>
            <w:tcW w:type="dxa" w:w="1234"/>
          </w:tcPr>
          <w:p>
            <w:r/>
            <w:r>
              <w:rPr>
                <w:sz w:val="18"/>
              </w:rPr>
              <w:t>A</w:t>
            </w:r>
          </w:p>
        </w:tc>
        <w:tc>
          <w:tcPr>
            <w:tcW w:type="dxa" w:w="1234"/>
          </w:tcPr>
          <w:p>
            <w:r/>
            <w:r>
              <w:rPr>
                <w:sz w:val="18"/>
              </w:rPr>
              <w:t>Very Strong</w:t>
            </w:r>
          </w:p>
        </w:tc>
        <w:tc>
          <w:tcPr>
            <w:tcW w:type="dxa" w:w="1234"/>
          </w:tcPr>
          <w:p>
            <w:r/>
            <w:r>
              <w:rPr>
                <w:sz w:val="18"/>
              </w:rPr>
              <w:t>Marginal</w:t>
            </w:r>
          </w:p>
        </w:tc>
        <w:tc>
          <w:tcPr>
            <w:tcW w:type="dxa" w:w="1234"/>
          </w:tcPr>
          <w:p>
            <w:r/>
            <w:r>
              <w:rPr>
                <w:sz w:val="18"/>
              </w:rPr>
              <w:t>Neutral</w:t>
            </w:r>
          </w:p>
        </w:tc>
        <w:tc>
          <w:tcPr>
            <w:tcW w:type="dxa" w:w="1234"/>
          </w:tcPr>
          <w:p>
            <w:r/>
            <w:r>
              <w:rPr>
                <w:sz w:val="18"/>
              </w:rPr>
              <w:t>Appropriate</w:t>
            </w:r>
          </w:p>
        </w:tc>
        <w:tc>
          <w:tcPr>
            <w:tcW w:type="dxa" w:w="1234"/>
          </w:tcPr>
          <w:p>
            <w:r/>
            <w:r>
              <w:rPr>
                <w:sz w:val="18"/>
              </w:rPr>
              <w:t>237%</w:t>
            </w:r>
          </w:p>
        </w:tc>
      </w:tr>
      <w:tr>
        <w:tc>
          <w:tcPr>
            <w:tcW w:type="dxa" w:w="1234"/>
          </w:tcPr>
          <w:p>
            <w:r/>
            <w:r>
              <w:rPr>
                <w:sz w:val="18"/>
              </w:rPr>
              <w:t>National Western Life</w:t>
            </w:r>
          </w:p>
        </w:tc>
        <w:tc>
          <w:tcPr>
            <w:tcW w:type="dxa" w:w="1234"/>
          </w:tcPr>
          <w:p>
            <w:r/>
            <w:r>
              <w:rPr>
                <w:sz w:val="18"/>
              </w:rPr>
              <w:t>A-</w:t>
            </w:r>
          </w:p>
        </w:tc>
        <w:tc>
          <w:tcPr>
            <w:tcW w:type="dxa" w:w="1234"/>
          </w:tcPr>
          <w:p>
            <w:r/>
            <w:r>
              <w:rPr>
                <w:sz w:val="18"/>
              </w:rPr>
              <w:t>Very Strong</w:t>
            </w:r>
          </w:p>
        </w:tc>
        <w:tc>
          <w:tcPr>
            <w:tcW w:type="dxa" w:w="1234"/>
          </w:tcPr>
          <w:p>
            <w:r/>
            <w:r>
              <w:rPr>
                <w:sz w:val="18"/>
              </w:rPr>
              <w:t>Adequate</w:t>
            </w:r>
          </w:p>
        </w:tc>
        <w:tc>
          <w:tcPr>
            <w:tcW w:type="dxa" w:w="1234"/>
          </w:tcPr>
          <w:p>
            <w:r/>
            <w:r>
              <w:rPr>
                <w:sz w:val="18"/>
              </w:rPr>
              <w:t>Neutral</w:t>
            </w:r>
          </w:p>
        </w:tc>
        <w:tc>
          <w:tcPr>
            <w:tcW w:type="dxa" w:w="1234"/>
          </w:tcPr>
          <w:p>
            <w:r/>
            <w:r>
              <w:rPr>
                <w:sz w:val="18"/>
              </w:rPr>
              <w:t>Appropriate</w:t>
            </w:r>
          </w:p>
        </w:tc>
        <w:tc>
          <w:tcPr>
            <w:tcW w:type="dxa" w:w="1234"/>
          </w:tcPr>
          <w:p>
            <w:r/>
            <w:r>
              <w:rPr>
                <w:sz w:val="18"/>
              </w:rPr>
              <w:t>827%</w:t>
            </w:r>
          </w:p>
        </w:tc>
      </w:tr>
      <w:tr>
        <w:tc>
          <w:tcPr>
            <w:tcW w:type="dxa" w:w="1234"/>
          </w:tcPr>
          <w:p>
            <w:r/>
            <w:r>
              <w:rPr>
                <w:sz w:val="18"/>
              </w:rPr>
              <w:t>Assurity Life</w:t>
            </w:r>
          </w:p>
        </w:tc>
        <w:tc>
          <w:tcPr>
            <w:tcW w:type="dxa" w:w="1234"/>
          </w:tcPr>
          <w:p>
            <w:r/>
            <w:r>
              <w:rPr>
                <w:sz w:val="18"/>
              </w:rPr>
              <w:t>A-</w:t>
            </w:r>
          </w:p>
        </w:tc>
        <w:tc>
          <w:tcPr>
            <w:tcW w:type="dxa" w:w="1234"/>
          </w:tcPr>
          <w:p>
            <w:r/>
            <w:r>
              <w:rPr>
                <w:sz w:val="18"/>
              </w:rPr>
              <w:t>Strongest</w:t>
            </w:r>
          </w:p>
        </w:tc>
        <w:tc>
          <w:tcPr>
            <w:tcW w:type="dxa" w:w="1234"/>
          </w:tcPr>
          <w:p>
            <w:r/>
            <w:r>
              <w:rPr>
                <w:sz w:val="18"/>
              </w:rPr>
              <w:t>Adequate</w:t>
            </w:r>
          </w:p>
        </w:tc>
        <w:tc>
          <w:tcPr>
            <w:tcW w:type="dxa" w:w="1234"/>
          </w:tcPr>
          <w:p>
            <w:r/>
            <w:r>
              <w:rPr>
                <w:sz w:val="18"/>
              </w:rPr>
              <w:t>Limited</w:t>
            </w:r>
          </w:p>
        </w:tc>
        <w:tc>
          <w:tcPr>
            <w:tcW w:type="dxa" w:w="1234"/>
          </w:tcPr>
          <w:p>
            <w:r/>
            <w:r>
              <w:rPr>
                <w:sz w:val="18"/>
              </w:rPr>
              <w:t>Appropriate</w:t>
            </w:r>
          </w:p>
        </w:tc>
        <w:tc>
          <w:tcPr>
            <w:tcW w:type="dxa" w:w="1234"/>
          </w:tcPr>
          <w:p>
            <w:r/>
            <w:r>
              <w:rPr>
                <w:sz w:val="18"/>
              </w:rPr>
              <w:t>709%</w:t>
            </w:r>
          </w:p>
        </w:tc>
      </w:tr>
      <w:tr>
        <w:tc>
          <w:tcPr>
            <w:tcW w:type="dxa" w:w="1234"/>
          </w:tcPr>
          <w:p>
            <w:r/>
            <w:r>
              <w:rPr>
                <w:sz w:val="18"/>
              </w:rPr>
              <w:t>Pekin Life</w:t>
            </w:r>
          </w:p>
        </w:tc>
        <w:tc>
          <w:tcPr>
            <w:tcW w:type="dxa" w:w="1234"/>
          </w:tcPr>
          <w:p>
            <w:r/>
            <w:r>
              <w:rPr>
                <w:sz w:val="18"/>
              </w:rPr>
              <w:t>A-</w:t>
            </w:r>
          </w:p>
        </w:tc>
        <w:tc>
          <w:tcPr>
            <w:tcW w:type="dxa" w:w="1234"/>
          </w:tcPr>
          <w:p>
            <w:r/>
            <w:r>
              <w:rPr>
                <w:sz w:val="18"/>
              </w:rPr>
              <w:t>Very Strong</w:t>
            </w:r>
          </w:p>
        </w:tc>
        <w:tc>
          <w:tcPr>
            <w:tcW w:type="dxa" w:w="1234"/>
          </w:tcPr>
          <w:p>
            <w:r/>
            <w:r>
              <w:rPr>
                <w:sz w:val="18"/>
              </w:rPr>
              <w:t>Marginal</w:t>
            </w:r>
          </w:p>
        </w:tc>
        <w:tc>
          <w:tcPr>
            <w:tcW w:type="dxa" w:w="1234"/>
          </w:tcPr>
          <w:p>
            <w:r/>
            <w:r>
              <w:rPr>
                <w:sz w:val="18"/>
              </w:rPr>
              <w:t>Neutral</w:t>
            </w:r>
          </w:p>
        </w:tc>
        <w:tc>
          <w:tcPr>
            <w:tcW w:type="dxa" w:w="1234"/>
          </w:tcPr>
          <w:p>
            <w:r/>
            <w:r>
              <w:rPr>
                <w:sz w:val="18"/>
              </w:rPr>
              <w:t>Appropriate</w:t>
            </w:r>
          </w:p>
        </w:tc>
        <w:tc>
          <w:tcPr>
            <w:tcW w:type="dxa" w:w="1234"/>
          </w:tcPr>
          <w:p>
            <w:r/>
            <w:r>
              <w:rPr>
                <w:sz w:val="18"/>
              </w:rPr>
              <w:t>493%</w:t>
            </w:r>
          </w:p>
        </w:tc>
      </w:tr>
      <w:tr>
        <w:tc>
          <w:tcPr>
            <w:tcW w:type="dxa" w:w="1234"/>
          </w:tcPr>
          <w:p>
            <w:r/>
            <w:r>
              <w:rPr>
                <w:sz w:val="18"/>
              </w:rPr>
              <w:t>Funeral Directors Life</w:t>
            </w:r>
          </w:p>
        </w:tc>
        <w:tc>
          <w:tcPr>
            <w:tcW w:type="dxa" w:w="1234"/>
          </w:tcPr>
          <w:p>
            <w:r/>
            <w:r>
              <w:rPr>
                <w:sz w:val="18"/>
              </w:rPr>
              <w:t>A-</w:t>
            </w:r>
          </w:p>
        </w:tc>
        <w:tc>
          <w:tcPr>
            <w:tcW w:type="dxa" w:w="1234"/>
          </w:tcPr>
          <w:p>
            <w:r/>
            <w:r>
              <w:rPr>
                <w:sz w:val="18"/>
              </w:rPr>
              <w:t>Very Strong</w:t>
            </w:r>
          </w:p>
        </w:tc>
        <w:tc>
          <w:tcPr>
            <w:tcW w:type="dxa" w:w="1234"/>
          </w:tcPr>
          <w:p>
            <w:r/>
            <w:r>
              <w:rPr>
                <w:sz w:val="18"/>
              </w:rPr>
              <w:t>Adequate</w:t>
            </w:r>
          </w:p>
        </w:tc>
        <w:tc>
          <w:tcPr>
            <w:tcW w:type="dxa" w:w="1234"/>
          </w:tcPr>
          <w:p>
            <w:r/>
            <w:r>
              <w:rPr>
                <w:sz w:val="18"/>
              </w:rPr>
              <w:t>Limited</w:t>
            </w:r>
          </w:p>
        </w:tc>
        <w:tc>
          <w:tcPr>
            <w:tcW w:type="dxa" w:w="1234"/>
          </w:tcPr>
          <w:p>
            <w:r/>
            <w:r>
              <w:rPr>
                <w:sz w:val="18"/>
              </w:rPr>
              <w:t>Appropriate</w:t>
            </w:r>
          </w:p>
        </w:tc>
        <w:tc>
          <w:tcPr>
            <w:tcW w:type="dxa" w:w="1234"/>
          </w:tcPr>
          <w:p>
            <w:r/>
            <w:r>
              <w:rPr>
                <w:sz w:val="18"/>
              </w:rPr>
              <w:t>376%</w:t>
            </w:r>
          </w:p>
        </w:tc>
      </w:tr>
      <w:tr>
        <w:tc>
          <w:tcPr>
            <w:tcW w:type="dxa" w:w="1234"/>
          </w:tcPr>
          <w:p>
            <w:r/>
            <w:r>
              <w:rPr>
                <w:sz w:val="18"/>
              </w:rPr>
              <w:t>Homesteaders Life</w:t>
            </w:r>
          </w:p>
        </w:tc>
        <w:tc>
          <w:tcPr>
            <w:tcW w:type="dxa" w:w="1234"/>
          </w:tcPr>
          <w:p>
            <w:r/>
            <w:r>
              <w:rPr>
                <w:sz w:val="18"/>
              </w:rPr>
              <w:t>A-</w:t>
            </w:r>
          </w:p>
        </w:tc>
        <w:tc>
          <w:tcPr>
            <w:tcW w:type="dxa" w:w="1234"/>
          </w:tcPr>
          <w:p>
            <w:r/>
            <w:r>
              <w:rPr>
                <w:sz w:val="18"/>
              </w:rPr>
              <w:t>Strong</w:t>
            </w:r>
          </w:p>
        </w:tc>
        <w:tc>
          <w:tcPr>
            <w:tcW w:type="dxa" w:w="1234"/>
          </w:tcPr>
          <w:p>
            <w:r/>
            <w:r>
              <w:rPr>
                <w:sz w:val="18"/>
              </w:rPr>
              <w:t>Adequate</w:t>
            </w:r>
          </w:p>
        </w:tc>
        <w:tc>
          <w:tcPr>
            <w:tcW w:type="dxa" w:w="1234"/>
          </w:tcPr>
          <w:p>
            <w:r/>
            <w:r>
              <w:rPr>
                <w:sz w:val="18"/>
              </w:rPr>
              <w:t>Neutral</w:t>
            </w:r>
          </w:p>
        </w:tc>
        <w:tc>
          <w:tcPr>
            <w:tcW w:type="dxa" w:w="1234"/>
          </w:tcPr>
          <w:p>
            <w:r/>
            <w:r>
              <w:rPr>
                <w:sz w:val="18"/>
              </w:rPr>
              <w:t>Appropriate</w:t>
            </w:r>
          </w:p>
        </w:tc>
        <w:tc>
          <w:tcPr>
            <w:tcW w:type="dxa" w:w="1234"/>
          </w:tcPr>
          <w:p>
            <w:r/>
            <w:r>
              <w:rPr>
                <w:sz w:val="18"/>
              </w:rPr>
              <w:t>306%</w:t>
            </w:r>
          </w:p>
        </w:tc>
      </w:tr>
      <w:tr>
        <w:tc>
          <w:tcPr>
            <w:tcW w:type="dxa" w:w="1234"/>
          </w:tcPr>
          <w:p>
            <w:r/>
            <w:r>
              <w:rPr>
                <w:sz w:val="18"/>
              </w:rPr>
              <w:t>Atlantic American, American Southern</w:t>
            </w:r>
          </w:p>
        </w:tc>
        <w:tc>
          <w:tcPr>
            <w:tcW w:type="dxa" w:w="1234"/>
          </w:tcPr>
          <w:p>
            <w:r/>
            <w:r>
              <w:rPr>
                <w:sz w:val="18"/>
              </w:rPr>
              <w:t>A-</w:t>
            </w:r>
          </w:p>
        </w:tc>
        <w:tc>
          <w:tcPr>
            <w:tcW w:type="dxa" w:w="1234"/>
          </w:tcPr>
          <w:p>
            <w:r/>
            <w:r>
              <w:rPr>
                <w:sz w:val="18"/>
              </w:rPr>
              <w:t>Strong</w:t>
            </w:r>
          </w:p>
        </w:tc>
        <w:tc>
          <w:tcPr>
            <w:tcW w:type="dxa" w:w="1234"/>
          </w:tcPr>
          <w:p>
            <w:r/>
            <w:r>
              <w:rPr>
                <w:sz w:val="18"/>
              </w:rPr>
              <w:t>Adequate</w:t>
            </w:r>
          </w:p>
        </w:tc>
        <w:tc>
          <w:tcPr>
            <w:tcW w:type="dxa" w:w="1234"/>
          </w:tcPr>
          <w:p>
            <w:r/>
            <w:r>
              <w:rPr>
                <w:sz w:val="18"/>
              </w:rPr>
              <w:t>Neutral</w:t>
            </w:r>
          </w:p>
        </w:tc>
        <w:tc>
          <w:tcPr>
            <w:tcW w:type="dxa" w:w="1234"/>
          </w:tcPr>
          <w:p>
            <w:r/>
            <w:r>
              <w:rPr>
                <w:sz w:val="18"/>
              </w:rPr>
              <w:t>Appropriate</w:t>
            </w:r>
          </w:p>
        </w:tc>
        <w:tc>
          <w:tcPr>
            <w:tcW w:type="dxa" w:w="1234"/>
          </w:tcPr>
          <w:p>
            <w:r/>
            <w:r>
              <w:rPr>
                <w:sz w:val="18"/>
              </w:rPr>
              <w:t>213%</w:t>
            </w:r>
          </w:p>
        </w:tc>
      </w:tr>
      <w:tr>
        <w:tc>
          <w:tcPr>
            <w:tcW w:type="dxa" w:w="1234"/>
          </w:tcPr>
          <w:p>
            <w:r/>
            <w:r>
              <w:rPr>
                <w:sz w:val="18"/>
              </w:rPr>
              <w:t>ManhattanLife, Assurance</w:t>
            </w:r>
          </w:p>
        </w:tc>
        <w:tc>
          <w:tcPr>
            <w:tcW w:type="dxa" w:w="1234"/>
          </w:tcPr>
          <w:p>
            <w:r/>
            <w:r>
              <w:rPr>
                <w:sz w:val="18"/>
              </w:rPr>
              <w:t>B++</w:t>
            </w:r>
          </w:p>
        </w:tc>
        <w:tc>
          <w:tcPr>
            <w:tcW w:type="dxa" w:w="1234"/>
          </w:tcPr>
          <w:p>
            <w:r/>
            <w:r>
              <w:rPr>
                <w:sz w:val="18"/>
              </w:rPr>
              <w:t>Adequate</w:t>
            </w:r>
          </w:p>
        </w:tc>
        <w:tc>
          <w:tcPr>
            <w:tcW w:type="dxa" w:w="1234"/>
          </w:tcPr>
          <w:p>
            <w:r/>
            <w:r>
              <w:rPr>
                <w:sz w:val="18"/>
              </w:rPr>
              <w:t>Strong</w:t>
            </w:r>
          </w:p>
        </w:tc>
        <w:tc>
          <w:tcPr>
            <w:tcW w:type="dxa" w:w="1234"/>
          </w:tcPr>
          <w:p>
            <w:r/>
            <w:r>
              <w:rPr>
                <w:sz w:val="18"/>
              </w:rPr>
              <w:t>Neutral</w:t>
            </w:r>
          </w:p>
        </w:tc>
        <w:tc>
          <w:tcPr>
            <w:tcW w:type="dxa" w:w="1234"/>
          </w:tcPr>
          <w:p>
            <w:r/>
            <w:r>
              <w:rPr>
                <w:sz w:val="18"/>
              </w:rPr>
              <w:t>Appropriate</w:t>
            </w:r>
          </w:p>
        </w:tc>
        <w:tc>
          <w:tcPr>
            <w:tcW w:type="dxa" w:w="1234"/>
          </w:tcPr>
          <w:p>
            <w:r/>
            <w:r>
              <w:rPr>
                <w:sz w:val="18"/>
              </w:rPr>
              <w:t>859%</w:t>
            </w:r>
          </w:p>
        </w:tc>
      </w:tr>
      <w:tr>
        <w:tc>
          <w:tcPr>
            <w:tcW w:type="dxa" w:w="1234"/>
          </w:tcPr>
          <w:p>
            <w:r/>
            <w:r>
              <w:rPr>
                <w:sz w:val="18"/>
              </w:rPr>
              <w:t>Government Personnel Mutual</w:t>
            </w:r>
          </w:p>
        </w:tc>
        <w:tc>
          <w:tcPr>
            <w:tcW w:type="dxa" w:w="1234"/>
          </w:tcPr>
          <w:p>
            <w:r/>
            <w:r>
              <w:rPr>
                <w:sz w:val="18"/>
              </w:rPr>
              <w:t>B++</w:t>
            </w:r>
          </w:p>
        </w:tc>
        <w:tc>
          <w:tcPr>
            <w:tcW w:type="dxa" w:w="1234"/>
          </w:tcPr>
          <w:p>
            <w:r/>
            <w:r>
              <w:rPr>
                <w:sz w:val="18"/>
              </w:rPr>
              <w:t>Very Strong</w:t>
            </w:r>
          </w:p>
        </w:tc>
        <w:tc>
          <w:tcPr>
            <w:tcW w:type="dxa" w:w="1234"/>
          </w:tcPr>
          <w:p>
            <w:r/>
            <w:r>
              <w:rPr>
                <w:sz w:val="18"/>
              </w:rPr>
              <w:t>Marginal</w:t>
            </w:r>
          </w:p>
        </w:tc>
        <w:tc>
          <w:tcPr>
            <w:tcW w:type="dxa" w:w="1234"/>
          </w:tcPr>
          <w:p>
            <w:r/>
            <w:r>
              <w:rPr>
                <w:sz w:val="18"/>
              </w:rPr>
              <w:t>Neutral</w:t>
            </w:r>
          </w:p>
        </w:tc>
        <w:tc>
          <w:tcPr>
            <w:tcW w:type="dxa" w:w="1234"/>
          </w:tcPr>
          <w:p>
            <w:r/>
            <w:r>
              <w:rPr>
                <w:sz w:val="18"/>
              </w:rPr>
              <w:t>Appropriate</w:t>
            </w:r>
          </w:p>
        </w:tc>
        <w:tc>
          <w:tcPr>
            <w:tcW w:type="dxa" w:w="1234"/>
          </w:tcPr>
          <w:p>
            <w:r/>
            <w:r>
              <w:rPr>
                <w:sz w:val="18"/>
              </w:rPr>
              <w:t>478%</w:t>
            </w:r>
          </w:p>
        </w:tc>
      </w:tr>
      <w:tr>
        <w:tc>
          <w:tcPr>
            <w:tcW w:type="dxa" w:w="1234"/>
          </w:tcPr>
          <w:p>
            <w:r/>
            <w:r>
              <w:rPr>
                <w:sz w:val="18"/>
              </w:rPr>
              <w:t>Investors Heritage</w:t>
            </w:r>
          </w:p>
        </w:tc>
        <w:tc>
          <w:tcPr>
            <w:tcW w:type="dxa" w:w="1234"/>
          </w:tcPr>
          <w:p>
            <w:r/>
            <w:r>
              <w:rPr>
                <w:sz w:val="18"/>
              </w:rPr>
              <w:t>B++</w:t>
            </w:r>
          </w:p>
        </w:tc>
        <w:tc>
          <w:tcPr>
            <w:tcW w:type="dxa" w:w="1234"/>
          </w:tcPr>
          <w:p>
            <w:r/>
            <w:r>
              <w:rPr>
                <w:sz w:val="18"/>
              </w:rPr>
              <w:t>Adequate</w:t>
            </w:r>
          </w:p>
        </w:tc>
        <w:tc>
          <w:tcPr>
            <w:tcW w:type="dxa" w:w="1234"/>
          </w:tcPr>
          <w:p>
            <w:r/>
            <w:r>
              <w:rPr>
                <w:sz w:val="18"/>
              </w:rPr>
              <w:t>Adequate</w:t>
            </w:r>
          </w:p>
        </w:tc>
        <w:tc>
          <w:tcPr>
            <w:tcW w:type="dxa" w:w="1234"/>
          </w:tcPr>
          <w:p>
            <w:r/>
            <w:r>
              <w:rPr>
                <w:sz w:val="18"/>
              </w:rPr>
              <w:t>Neutral</w:t>
            </w:r>
          </w:p>
        </w:tc>
        <w:tc>
          <w:tcPr>
            <w:tcW w:type="dxa" w:w="1234"/>
          </w:tcPr>
          <w:p>
            <w:r/>
            <w:r>
              <w:rPr>
                <w:sz w:val="18"/>
              </w:rPr>
              <w:t>Appropriate</w:t>
            </w:r>
          </w:p>
        </w:tc>
        <w:tc>
          <w:tcPr>
            <w:tcW w:type="dxa" w:w="1234"/>
          </w:tcPr>
          <w:p>
            <w:r/>
            <w:r>
              <w:rPr>
                <w:sz w:val="18"/>
              </w:rPr>
              <w:t>351%</w:t>
            </w:r>
          </w:p>
        </w:tc>
      </w:tr>
      <w:tr>
        <w:tc>
          <w:tcPr>
            <w:tcW w:type="dxa" w:w="1234"/>
          </w:tcPr>
          <w:p>
            <w:r/>
            <w:r>
              <w:rPr>
                <w:sz w:val="18"/>
              </w:rPr>
              <w:t>ManhattanLife, Western United</w:t>
            </w:r>
          </w:p>
        </w:tc>
        <w:tc>
          <w:tcPr>
            <w:tcW w:type="dxa" w:w="1234"/>
          </w:tcPr>
          <w:p>
            <w:r/>
            <w:r>
              <w:rPr>
                <w:sz w:val="18"/>
              </w:rPr>
              <w:t>B++</w:t>
            </w:r>
          </w:p>
        </w:tc>
        <w:tc>
          <w:tcPr>
            <w:tcW w:type="dxa" w:w="1234"/>
          </w:tcPr>
          <w:p>
            <w:r/>
            <w:r>
              <w:rPr>
                <w:sz w:val="18"/>
              </w:rPr>
              <w:t>Adequate</w:t>
            </w:r>
          </w:p>
        </w:tc>
        <w:tc>
          <w:tcPr>
            <w:tcW w:type="dxa" w:w="1234"/>
          </w:tcPr>
          <w:p>
            <w:r/>
            <w:r>
              <w:rPr>
                <w:sz w:val="18"/>
              </w:rPr>
              <w:t>Strong</w:t>
            </w:r>
          </w:p>
        </w:tc>
        <w:tc>
          <w:tcPr>
            <w:tcW w:type="dxa" w:w="1234"/>
          </w:tcPr>
          <w:p>
            <w:r/>
            <w:r>
              <w:rPr>
                <w:sz w:val="18"/>
              </w:rPr>
              <w:t>Neutral</w:t>
            </w:r>
          </w:p>
        </w:tc>
        <w:tc>
          <w:tcPr>
            <w:tcW w:type="dxa" w:w="1234"/>
          </w:tcPr>
          <w:p>
            <w:r/>
            <w:r>
              <w:rPr>
                <w:sz w:val="18"/>
              </w:rPr>
              <w:t>Appropriate</w:t>
            </w:r>
          </w:p>
        </w:tc>
        <w:tc>
          <w:tcPr>
            <w:tcW w:type="dxa" w:w="1234"/>
          </w:tcPr>
          <w:p>
            <w:r/>
            <w:r>
              <w:rPr>
                <w:sz w:val="18"/>
              </w:rPr>
              <w:t>342%</w:t>
            </w:r>
          </w:p>
        </w:tc>
      </w:tr>
      <w:tr>
        <w:tc>
          <w:tcPr>
            <w:tcW w:type="dxa" w:w="1234"/>
          </w:tcPr>
          <w:p>
            <w:r/>
            <w:r>
              <w:rPr>
                <w:sz w:val="18"/>
              </w:rPr>
              <w:t>Continental General</w:t>
            </w:r>
          </w:p>
        </w:tc>
        <w:tc>
          <w:tcPr>
            <w:tcW w:type="dxa" w:w="1234"/>
          </w:tcPr>
          <w:p>
            <w:r/>
            <w:r>
              <w:rPr>
                <w:sz w:val="18"/>
              </w:rPr>
              <w:t>B+</w:t>
            </w:r>
          </w:p>
        </w:tc>
        <w:tc>
          <w:tcPr>
            <w:tcW w:type="dxa" w:w="1234"/>
          </w:tcPr>
          <w:p>
            <w:r/>
            <w:r>
              <w:rPr>
                <w:sz w:val="18"/>
              </w:rPr>
              <w:t>Strong</w:t>
            </w:r>
          </w:p>
        </w:tc>
        <w:tc>
          <w:tcPr>
            <w:tcW w:type="dxa" w:w="1234"/>
          </w:tcPr>
          <w:p>
            <w:r/>
            <w:r>
              <w:rPr>
                <w:sz w:val="18"/>
              </w:rPr>
              <w:t>Adequate</w:t>
            </w:r>
          </w:p>
        </w:tc>
        <w:tc>
          <w:tcPr>
            <w:tcW w:type="dxa" w:w="1234"/>
          </w:tcPr>
          <w:p>
            <w:r/>
            <w:r>
              <w:rPr>
                <w:sz w:val="18"/>
              </w:rPr>
              <w:t>Very Limited</w:t>
            </w:r>
          </w:p>
        </w:tc>
        <w:tc>
          <w:tcPr>
            <w:tcW w:type="dxa" w:w="1234"/>
          </w:tcPr>
          <w:p>
            <w:r/>
            <w:r>
              <w:rPr>
                <w:sz w:val="18"/>
              </w:rPr>
              <w:t>Appropriate</w:t>
            </w:r>
          </w:p>
        </w:tc>
        <w:tc>
          <w:tcPr>
            <w:tcW w:type="dxa" w:w="1234"/>
          </w:tcPr>
          <w:p>
            <w:r/>
            <w:r>
              <w:rPr>
                <w:sz w:val="18"/>
              </w:rPr>
              <w:t>371%</w:t>
            </w:r>
          </w:p>
        </w:tc>
      </w:tr>
      <w:tr>
        <w:tc>
          <w:tcPr>
            <w:tcW w:type="dxa" w:w="1234"/>
          </w:tcPr>
          <w:p>
            <w:r/>
            <w:r>
              <w:rPr>
                <w:sz w:val="18"/>
              </w:rPr>
              <w:t>Sentinel Security Life</w:t>
            </w:r>
          </w:p>
        </w:tc>
        <w:tc>
          <w:tcPr>
            <w:tcW w:type="dxa" w:w="1234"/>
          </w:tcPr>
          <w:p>
            <w:r/>
            <w:r>
              <w:rPr>
                <w:sz w:val="18"/>
              </w:rPr>
              <w:t>B</w:t>
            </w:r>
          </w:p>
        </w:tc>
        <w:tc>
          <w:tcPr>
            <w:tcW w:type="dxa" w:w="1234"/>
          </w:tcPr>
          <w:p>
            <w:r/>
            <w:r>
              <w:rPr>
                <w:sz w:val="18"/>
              </w:rPr>
              <w:t>Adequate</w:t>
            </w:r>
          </w:p>
        </w:tc>
        <w:tc>
          <w:tcPr>
            <w:tcW w:type="dxa" w:w="1234"/>
          </w:tcPr>
          <w:p>
            <w:r/>
            <w:r>
              <w:rPr>
                <w:sz w:val="18"/>
              </w:rPr>
              <w:t>Adequate</w:t>
            </w:r>
          </w:p>
        </w:tc>
        <w:tc>
          <w:tcPr>
            <w:tcW w:type="dxa" w:w="1234"/>
          </w:tcPr>
          <w:p>
            <w:r/>
            <w:r>
              <w:rPr>
                <w:sz w:val="18"/>
              </w:rPr>
              <w:t>Limited</w:t>
            </w:r>
          </w:p>
        </w:tc>
        <w:tc>
          <w:tcPr>
            <w:tcW w:type="dxa" w:w="1234"/>
          </w:tcPr>
          <w:p>
            <w:r/>
            <w:r>
              <w:rPr>
                <w:sz w:val="18"/>
              </w:rPr>
              <w:t>Marginal</w:t>
            </w:r>
          </w:p>
        </w:tc>
        <w:tc>
          <w:tcPr>
            <w:tcW w:type="dxa" w:w="1234"/>
          </w:tcPr>
          <w:p>
            <w:r/>
            <w:r>
              <w:rPr>
                <w:sz w:val="18"/>
              </w:rPr>
              <w:t>174%</w:t>
            </w:r>
          </w:p>
        </w:tc>
      </w:tr>
    </w:tbl>
    <w:p>
      <w:pPr>
        <w:spacing w:after="40"/>
      </w:pPr>
    </w:p>
    <w:p>
      <w:pPr>
        <w:spacing w:after="120"/>
      </w:pPr>
      <w:r>
        <w:rPr>
          <w:sz w:val="21"/>
        </w:rPr>
        <w:t>Two patterns stand out. First, capital does not sort the ratings. Globe Life holds our same A on a Strong balance sheet and a 316% RBC ratio, carried by its size and business profile. Guarantee Trust Life holds an A above 800% RBC. ManhattanLife sits at B++ with more reported capital than several A- carriers. What sorts the ratings is operating performance and business profile. Second, we stand out in two directions. We do very well on capital, holding one of only a handful of Strongest grades in the sample and an RBC ratio in the top quartile of the group. And we do poorly on return, with a five-year return on equity (net income across the whole business measured against surplus, not an investment return) near the bottom of the whole group, held at Adequate where most A-rated peers are graded Strong. The typical A-rated carrier is the reverse of us, a Very Strong balance sheet paired with Strong operating performance. We have held our A with capital and a plan Best believes where others hold it with profits.</w:t>
      </w:r>
    </w:p>
    <w:p>
      <w:pPr>
        <w:jc w:val="center"/>
      </w:pPr>
      <w:r>
        <w:drawing>
          <wp:inline xmlns:a="http://schemas.openxmlformats.org/drawingml/2006/main" xmlns:pic="http://schemas.openxmlformats.org/drawingml/2006/picture">
            <wp:extent cx="5577840" cy="2868603"/>
            <wp:docPr id="3" name="Picture 3"/>
            <wp:cNvGraphicFramePr>
              <a:graphicFrameLocks noChangeAspect="1"/>
            </wp:cNvGraphicFramePr>
            <a:graphic>
              <a:graphicData uri="http://schemas.openxmlformats.org/drawingml/2006/picture">
                <pic:pic>
                  <pic:nvPicPr>
                    <pic:cNvPr id="0" name="rp_captiers.png"/>
                    <pic:cNvPicPr/>
                  </pic:nvPicPr>
                  <pic:blipFill>
                    <a:blip r:embed="rId11"/>
                    <a:stretch>
                      <a:fillRect/>
                    </a:stretch>
                  </pic:blipFill>
                  <pic:spPr>
                    <a:xfrm>
                      <a:off x="0" y="0"/>
                      <a:ext cx="5577840" cy="2868603"/>
                    </a:xfrm>
                    <a:prstGeom prst="rect"/>
                  </pic:spPr>
                </pic:pic>
              </a:graphicData>
            </a:graphic>
          </wp:inline>
        </w:drawing>
      </w:r>
    </w:p>
    <w:p>
      <w:pPr>
        <w:spacing w:after="200"/>
        <w:jc w:val="center"/>
      </w:pPr>
      <w:r>
        <w:rPr>
          <w:i/>
          <w:color w:val="5C6B78"/>
          <w:sz w:val="18"/>
        </w:rPr>
        <w:t>Figure 3. Capital by balance-sheet tier across peers. We sit high today, which is the cushion the plan now spends down.</w:t>
      </w:r>
    </w:p>
    <w:p>
      <w:pPr>
        <w:spacing w:after="120"/>
      </w:pPr>
      <w:r>
        <w:rPr>
          <w:sz w:val="21"/>
        </w:rPr>
        <w:t>That comparison is also the warning. The block we are about to draw down, capital, is the one we lean on hardest, and the operating-performance block we would fall back on is our weakest. We do not have a clean twin in the peer set. The carriers that share our soft-block grades and cluster at A- and B++ are mostly pure preneed groups without our Medicare Supplement diversification, such as National Guardian, Funeral Directors, and Homesteaders, or carriers smaller than us, such as ManhattanLife and Government Personnel Mutual. We are a relatively unusual mix: a multi-line senior-market carrier with Medicare Supplement as the core line, at a scale most of those specialists do not have.</w:t>
      </w:r>
    </w:p>
    <w:p>
      <w:pPr>
        <w:spacing w:before="320" w:after="40"/>
      </w:pPr>
      <w:r>
        <w:rPr>
          <w:b/>
          <w:color w:val="0B1C2C"/>
          <w:sz w:val="25"/>
        </w:rPr>
        <w:t>Part III.  What realistically moves us</w:t>
      </w:r>
    </w:p>
    <w:p>
      <w:pPr>
        <w:spacing w:after="120"/>
      </w:pPr>
      <w:r>
        <w:rPr>
          <w:sz w:val="21"/>
        </w:rPr>
        <w:t>Of the four blocks, two can realistically move us: the balance sheet and operating performance. The other two, business profile and risk management, are slow to change and unlikely to move us in either direction. We take each in turn.</w:t>
      </w:r>
    </w:p>
    <w:p>
      <w:pPr>
        <w:spacing w:before="240" w:after="40"/>
      </w:pPr>
      <w:r>
        <w:rPr>
          <w:b/>
          <w:color w:val="2E5A88"/>
          <w:sz w:val="27"/>
        </w:rPr>
        <w:t>8.  Lever one: the balance sheet</w:t>
      </w:r>
    </w:p>
    <w:p>
      <w:pPr>
        <w:spacing w:after="120"/>
      </w:pPr>
      <w:r>
        <w:rPr>
          <w:sz w:val="21"/>
        </w:rPr>
        <w:t>If the RBC and BCAR decline costs us the Strongest grade, the math is clean. Strongest opens us at A. A grade of Very Strong, one tier down, opens at A-. A grade of Strong, two tiers down, also opens at A- on its strong end. So a slip in the balance-sheet grade, by one tier or two, most likely costs us one letter, from A to A-, as long as business profile stays Neutral and operating performance stays at Adequate.</w:t>
      </w:r>
    </w:p>
    <w:p>
      <w:pPr>
        <w:spacing w:after="120"/>
      </w:pPr>
      <w:r>
        <w:rPr>
          <w:sz w:val="21"/>
        </w:rPr>
        <w:t>Real carriers show A- is survivable on a weaker balance sheet. Globe Life runs a Strong balance sheet and holds an A on the strength of its business profile. American Southern, in the Atlantic American group, runs a Strong balance sheet at about 213% RBC, well below where our trough lands, with the same Neutral business profile we hold, and Best rates it A-. A weaker balance sheet does not, by itself, take a carrier below A-. To fall below A- on capital alone, the balance sheet would have to drop all the way to Adequate, which is far from where our plan goes.</w:t>
      </w:r>
    </w:p>
    <w:p>
      <w:pPr>
        <w:spacing w:before="240" w:after="40"/>
      </w:pPr>
      <w:r>
        <w:rPr>
          <w:b/>
          <w:color w:val="2E5A88"/>
          <w:sz w:val="27"/>
        </w:rPr>
        <w:t>9.  Lever two: operating performance</w:t>
      </w:r>
    </w:p>
    <w:p>
      <w:pPr>
        <w:spacing w:after="120"/>
      </w:pPr>
      <w:r>
        <w:rPr>
          <w:sz w:val="21"/>
        </w:rPr>
        <w:t>The second lever is operating performance, and Best is holding us at Adequate on a forecast: losses that crest and then ease as the Medicare Supplement block matures. As long as results track that forecast we stay at Adequate. If losses run well past it, the grade slips toward Marginal, and on its own that also costs us one letter, from A to A-, because our Strongest balance sheet cushions it.</w:t>
      </w:r>
    </w:p>
    <w:p>
      <w:pPr>
        <w:jc w:val="center"/>
      </w:pPr>
      <w:r>
        <w:drawing>
          <wp:inline xmlns:a="http://schemas.openxmlformats.org/drawingml/2006/main" xmlns:pic="http://schemas.openxmlformats.org/drawingml/2006/picture">
            <wp:extent cx="5577840" cy="2868603"/>
            <wp:docPr id="4" name="Picture 4"/>
            <wp:cNvGraphicFramePr>
              <a:graphicFrameLocks noChangeAspect="1"/>
            </wp:cNvGraphicFramePr>
            <a:graphic>
              <a:graphicData uri="http://schemas.openxmlformats.org/drawingml/2006/picture">
                <pic:pic>
                  <pic:nvPicPr>
                    <pic:cNvPr id="0" name="rp_earntiers.png"/>
                    <pic:cNvPicPr/>
                  </pic:nvPicPr>
                  <pic:blipFill>
                    <a:blip r:embed="rId12"/>
                    <a:stretch>
                      <a:fillRect/>
                    </a:stretch>
                  </pic:blipFill>
                  <pic:spPr>
                    <a:xfrm>
                      <a:off x="0" y="0"/>
                      <a:ext cx="5577840" cy="2868603"/>
                    </a:xfrm>
                    <a:prstGeom prst="rect"/>
                  </pic:spPr>
                </pic:pic>
              </a:graphicData>
            </a:graphic>
          </wp:inline>
        </w:drawing>
      </w:r>
    </w:p>
    <w:p>
      <w:pPr>
        <w:spacing w:after="200"/>
        <w:jc w:val="center"/>
      </w:pPr>
      <w:r>
        <w:rPr>
          <w:i/>
          <w:color w:val="5C6B78"/>
          <w:sz w:val="18"/>
        </w:rPr>
        <w:t>Figure 4. Operating performance by tier (five-year ROE). We run losses yet are held at Adequate, a judgement about the plan rather than this year's number.</w:t>
      </w:r>
    </w:p>
    <w:p>
      <w:pPr>
        <w:spacing w:after="120"/>
      </w:pPr>
      <w:r>
        <w:rPr>
          <w:sz w:val="21"/>
        </w:rPr>
        <w:t>Government Personnel Mutual shows what a Marginal grade looks like from a lower starting point. It runs a Very Strong balance sheet with Marginal operating performance and is rated B++. Pekin has the very same grades and holds A-, because the committee gave it a one-notch lift. Same labels, different letters, which is a reminder that within each grade there is a range and the committee places carriers inside it.</w:t>
      </w:r>
    </w:p>
    <w:p>
      <w:pPr>
        <w:spacing w:after="120"/>
      </w:pPr>
      <w:r>
        <w:rPr>
          <w:sz w:val="21"/>
        </w:rPr>
        <w:t>Two features make this lever easier to live with. We usually get warning, because a downgrade from A is almost always preceded by a move from Stable to a Negative outlook, which tends to give a year or more of lead time, and our outlook is Stable today. And the move is reversible, because the grade follows a trend, so a return to profit can win the letter back. The single number to watch is the combined ratio. It reached 116% in 2025 and is running near 113% in 2026 to date, which would be the first improvement in the series and the clearest sign that the turn Best is counting on has begun.</w:t>
      </w:r>
    </w:p>
    <w:p>
      <w:pPr>
        <w:spacing w:before="240" w:after="40"/>
      </w:pPr>
      <w:r>
        <w:rPr>
          <w:b/>
          <w:color w:val="2E5A88"/>
          <w:sz w:val="27"/>
        </w:rPr>
        <w:t>10.  Lever three: business profile</w:t>
      </w:r>
    </w:p>
    <w:p>
      <w:pPr>
        <w:spacing w:after="120"/>
      </w:pPr>
      <w:r>
        <w:rPr>
          <w:sz w:val="21"/>
        </w:rPr>
        <w:t>Business profile is Best's read of our franchise: scale, market position, product and geographic diversification, distribution, and pricing. Best grades us Neutral, and it is the slowest of the four blocks to change. We earn Neutral on genuine breadth. We are multi-line across the senior market, with Medicare Supplement, preneed, ancillary health, and life, across more than 40 states and several distribution channels, which sits above the single-line specialists in the peer set, many of whom are graded Limited. Moving up to Favorable would take a real step change, either much greater scale or a genuine expansion beyond the senior market. Adding another senior-market line helps earnings and helps hold Neutral, but it does not lift the grade. The realistic expectation is that business profile stays Neutral, so it neither moves us up nor, on its own, moves us down.</w:t>
      </w:r>
    </w:p>
    <w:p>
      <w:pPr>
        <w:spacing w:after="120"/>
      </w:pPr>
      <w:r>
        <w:rPr>
          <w:sz w:val="21"/>
        </w:rPr>
        <w:t>One question comes up often enough to address directly: does our Medicare Supplement state concentration threaten this grade. The honest answer is that it mostly does not. Best's business profile is driven by scale, position, and breadth, and geographic concentration rarely lowers a diversified carrier's grade on its own. HCSC writes Medicare Supplement in only a handful of states and is graded Favorable on the scale of its overall health franchise. Pekin Life is multi-line with Medicare Supplement in its book and operates in 22 states but heavily concentrated in Illinois, and it holds Neutral like us. Where our concentration would actually bite is operating performance: a regulatory, rate, or competitive shock to our top Medicare Supplement states would raise loss ratios and delay the turn the rating depends on. So the concentration is a reason the operating lever could slip more sharply, not a reason the business-profile grade would fall.</w:t>
      </w:r>
    </w:p>
    <w:p>
      <w:pPr>
        <w:jc w:val="center"/>
      </w:pPr>
      <w:r>
        <w:drawing>
          <wp:inline xmlns:a="http://schemas.openxmlformats.org/drawingml/2006/main" xmlns:pic="http://schemas.openxmlformats.org/drawingml/2006/picture">
            <wp:extent cx="5577840" cy="1792877"/>
            <wp:docPr id="5" name="Picture 5"/>
            <wp:cNvGraphicFramePr>
              <a:graphicFrameLocks noChangeAspect="1"/>
            </wp:cNvGraphicFramePr>
            <a:graphic>
              <a:graphicData uri="http://schemas.openxmlformats.org/drawingml/2006/picture">
                <pic:pic>
                  <pic:nvPicPr>
                    <pic:cNvPr id="0" name="rp_msstress.png"/>
                    <pic:cNvPicPr/>
                  </pic:nvPicPr>
                  <pic:blipFill>
                    <a:blip r:embed="rId13"/>
                    <a:stretch>
                      <a:fillRect/>
                    </a:stretch>
                  </pic:blipFill>
                  <pic:spPr>
                    <a:xfrm>
                      <a:off x="0" y="0"/>
                      <a:ext cx="5577840" cy="1792877"/>
                    </a:xfrm>
                    <a:prstGeom prst="rect"/>
                  </pic:spPr>
                </pic:pic>
              </a:graphicData>
            </a:graphic>
          </wp:inline>
        </w:drawing>
      </w:r>
    </w:p>
    <w:p>
      <w:pPr>
        <w:spacing w:after="200"/>
        <w:jc w:val="center"/>
      </w:pPr>
      <w:r>
        <w:rPr>
          <w:i/>
          <w:color w:val="5C6B78"/>
          <w:sz w:val="18"/>
        </w:rPr>
        <w:t>Figure 5. A shock to our concentrated Medicare Supplement book would move us through operating performance, the block already in play, rather than through the business-profile grade.</w:t>
      </w:r>
    </w:p>
    <w:p>
      <w:pPr>
        <w:spacing w:after="120"/>
      </w:pPr>
      <w:r>
        <w:rPr>
          <w:sz w:val="21"/>
        </w:rPr>
        <w:t>Pekin is the real-world template. Its concentration risk is Midwest property catastrophe, a different peril, but the shape is identical: a concentrated book, a shock in the form of severe storms, and a move to a Negative outlook in 2024 driven by earnings, since restored to Stable. The concentration acted through operating performance and the outlook, not through a business-profile downgrade.</w:t>
      </w:r>
    </w:p>
    <w:p>
      <w:pPr>
        <w:spacing w:before="240" w:after="40"/>
      </w:pPr>
      <w:r>
        <w:rPr>
          <w:b/>
          <w:color w:val="2E5A88"/>
          <w:sz w:val="27"/>
        </w:rPr>
        <w:t>11.  Lever four: risk management</w:t>
      </w:r>
    </w:p>
    <w:p>
      <w:pPr>
        <w:spacing w:after="120"/>
      </w:pPr>
      <w:r>
        <w:rPr>
          <w:sz w:val="21"/>
        </w:rPr>
        <w:t>Risk management is graded Appropriate, and it is effectively a fixed block for us. The grade rarely moves a rating, and the upside is essentially unavailable. In our sample of roughly 48 carriers, only three earned a grade above Appropriate, Aflac, Guardian, and New York Life, all far larger and more complex than we are. For a carrier of our size and profile the realistic outcome is Appropriate, with no notch up and, absent a real failure, no notch down.</w:t>
      </w:r>
    </w:p>
    <w:p>
      <w:pPr>
        <w:spacing w:after="120"/>
      </w:pPr>
      <w:r>
        <w:rPr>
          <w:sz w:val="21"/>
        </w:rPr>
        <w:t>So risk management will not lift us and is unlikely to move us. The risk on this side is not the grade itself. It is letting a preventable problem, a bad reinsurance treaty, a reserve that proves short, an investment that goes wrong, grow into something that shows up in capital or operating performance, which are the blocks Best actually downgrades. The grade is the label on how well we avoid that. The job is to keep it Appropriate and to execute.</w:t>
      </w:r>
    </w:p>
    <w:p>
      <w:pPr>
        <w:spacing w:before="240" w:after="40"/>
      </w:pPr>
      <w:r>
        <w:rPr>
          <w:b/>
          <w:color w:val="2E5A88"/>
          <w:sz w:val="27"/>
        </w:rPr>
        <w:t>12.  The two levers that move us, together</w:t>
      </w:r>
    </w:p>
    <w:p>
      <w:pPr>
        <w:spacing w:after="120"/>
      </w:pPr>
      <w:r>
        <w:rPr>
          <w:sz w:val="21"/>
        </w:rPr>
        <w:t>That leaves the two blocks that can move us, capital and operating performance. Each on its own costs one letter, to A-. Both together cost two, to B++. The math is direct: a Very Strong balance sheet with Marginal operating performance opens at bbb+, which is B++. That is exactly GPM today.</w:t>
      </w:r>
    </w:p>
    <w:p>
      <w:pPr>
        <w:jc w:val="center"/>
      </w:pPr>
      <w:r>
        <w:drawing>
          <wp:inline xmlns:a="http://schemas.openxmlformats.org/drawingml/2006/main" xmlns:pic="http://schemas.openxmlformats.org/drawingml/2006/picture">
            <wp:extent cx="5577840" cy="2788920"/>
            <wp:docPr id="6" name="Picture 6"/>
            <wp:cNvGraphicFramePr>
              <a:graphicFrameLocks noChangeAspect="1"/>
            </wp:cNvGraphicFramePr>
            <a:graphic>
              <a:graphicData uri="http://schemas.openxmlformats.org/drawingml/2006/picture">
                <pic:pic>
                  <pic:nvPicPr>
                    <pic:cNvPr id="0" name="rp_ladder.png"/>
                    <pic:cNvPicPr/>
                  </pic:nvPicPr>
                  <pic:blipFill>
                    <a:blip r:embed="rId14"/>
                    <a:stretch>
                      <a:fillRect/>
                    </a:stretch>
                  </pic:blipFill>
                  <pic:spPr>
                    <a:xfrm>
                      <a:off x="0" y="0"/>
                      <a:ext cx="5577840" cy="2788920"/>
                    </a:xfrm>
                    <a:prstGeom prst="rect"/>
                  </pic:spPr>
                </pic:pic>
              </a:graphicData>
            </a:graphic>
          </wp:inline>
        </w:drawing>
      </w:r>
    </w:p>
    <w:p>
      <w:pPr>
        <w:spacing w:after="200"/>
        <w:jc w:val="center"/>
      </w:pPr>
      <w:r>
        <w:rPr>
          <w:i/>
          <w:color w:val="5C6B78"/>
          <w:sz w:val="18"/>
        </w:rPr>
        <w:t>Figure 6. Each lever on its own costs one letter. B++ takes both at the same time.</w:t>
      </w:r>
    </w:p>
    <w:p>
      <w:pPr>
        <w:spacing w:after="120"/>
      </w:pPr>
      <w:r>
        <w:rPr>
          <w:sz w:val="21"/>
        </w:rPr>
        <w:t>The two are stressed in the same window. The plan draws capital to its trough around 2029, which is also when the operating turn is most under test, before Medicare Supplement operating performance is projected to turn positive in 2029. We also start from the bottom of Adequate on operating performance, so that block has little room to absorb a capital slip at the same time. The warning signs and the reversibility still apply, so this is a scenario to plan around rather than a base case. The table below is our own rough judgement for discussion, not model output.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2E5A88"/>
          </w:tcPr>
          <w:p>
            <w:r/>
            <w:r>
              <w:rPr>
                <w:b/>
                <w:color w:val="FFFFFF"/>
                <w:sz w:val="18"/>
              </w:rPr>
              <w:t>Path</w:t>
            </w:r>
          </w:p>
        </w:tc>
        <w:tc>
          <w:tcPr>
            <w:tcW w:type="dxa" w:w="2880"/>
            <w:shd w:val="clear" w:fill="2E5A88"/>
          </w:tcPr>
          <w:p>
            <w:r/>
            <w:r>
              <w:rPr>
                <w:b/>
                <w:color w:val="FFFFFF"/>
                <w:sz w:val="18"/>
              </w:rPr>
              <w:t>Rough odds</w:t>
            </w:r>
          </w:p>
        </w:tc>
        <w:tc>
          <w:tcPr>
            <w:tcW w:type="dxa" w:w="2880"/>
            <w:shd w:val="clear" w:fill="2E5A88"/>
          </w:tcPr>
          <w:p>
            <w:r/>
            <w:r>
              <w:rPr>
                <w:b/>
                <w:color w:val="FFFFFF"/>
                <w:sz w:val="18"/>
              </w:rPr>
              <w:t>What it looks like</w:t>
            </w:r>
          </w:p>
        </w:tc>
      </w:tr>
      <w:tr>
        <w:tc>
          <w:tcPr>
            <w:tcW w:type="dxa" w:w="2880"/>
          </w:tcPr>
          <w:p>
            <w:r/>
            <w:r>
              <w:rPr>
                <w:sz w:val="18"/>
              </w:rPr>
              <w:t>Plan holds</w:t>
            </w:r>
          </w:p>
        </w:tc>
        <w:tc>
          <w:tcPr>
            <w:tcW w:type="dxa" w:w="2880"/>
          </w:tcPr>
          <w:p>
            <w:r/>
            <w:r>
              <w:rPr>
                <w:sz w:val="18"/>
              </w:rPr>
              <w:t>about 50%</w:t>
            </w:r>
          </w:p>
        </w:tc>
        <w:tc>
          <w:tcPr>
            <w:tcW w:type="dxa" w:w="2880"/>
          </w:tcPr>
          <w:p>
            <w:r/>
            <w:r>
              <w:rPr>
                <w:sz w:val="18"/>
              </w:rPr>
              <w:t>Capital and operating performance track the plan, we stay A and Stable through 2030.</w:t>
            </w:r>
          </w:p>
        </w:tc>
      </w:tr>
      <w:tr>
        <w:tc>
          <w:tcPr>
            <w:tcW w:type="dxa" w:w="2880"/>
          </w:tcPr>
          <w:p>
            <w:r/>
            <w:r>
              <w:rPr>
                <w:sz w:val="18"/>
              </w:rPr>
              <w:t>A scare, no downgrade</w:t>
            </w:r>
          </w:p>
        </w:tc>
        <w:tc>
          <w:tcPr>
            <w:tcW w:type="dxa" w:w="2880"/>
          </w:tcPr>
          <w:p>
            <w:r/>
            <w:r>
              <w:rPr>
                <w:sz w:val="18"/>
              </w:rPr>
              <w:t>about 25%</w:t>
            </w:r>
          </w:p>
        </w:tc>
        <w:tc>
          <w:tcPr>
            <w:tcW w:type="dxa" w:w="2880"/>
          </w:tcPr>
          <w:p>
            <w:r/>
            <w:r>
              <w:rPr>
                <w:sz w:val="18"/>
              </w:rPr>
              <w:t>Outlook goes Negative around 2028 or 2029, then back to Stable as operating performance turns and capital rebuilds.</w:t>
            </w:r>
          </w:p>
        </w:tc>
      </w:tr>
      <w:tr>
        <w:tc>
          <w:tcPr>
            <w:tcW w:type="dxa" w:w="2880"/>
          </w:tcPr>
          <w:p>
            <w:r/>
            <w:r>
              <w:rPr>
                <w:sz w:val="18"/>
              </w:rPr>
              <w:t>A one-letter dip to A-</w:t>
            </w:r>
          </w:p>
        </w:tc>
        <w:tc>
          <w:tcPr>
            <w:tcW w:type="dxa" w:w="2880"/>
          </w:tcPr>
          <w:p>
            <w:r/>
            <w:r>
              <w:rPr>
                <w:sz w:val="18"/>
              </w:rPr>
              <w:t>about 20%</w:t>
            </w:r>
          </w:p>
        </w:tc>
        <w:tc>
          <w:tcPr>
            <w:tcW w:type="dxa" w:w="2880"/>
          </w:tcPr>
          <w:p>
            <w:r/>
            <w:r>
              <w:rPr>
                <w:sz w:val="18"/>
              </w:rPr>
              <w:t>The balance-sheet grade slips at the trough, or the operating turn comes late. Recoverable as results improve.</w:t>
            </w:r>
          </w:p>
        </w:tc>
      </w:tr>
      <w:tr>
        <w:tc>
          <w:tcPr>
            <w:tcW w:type="dxa" w:w="2880"/>
          </w:tcPr>
          <w:p>
            <w:r/>
            <w:r>
              <w:rPr>
                <w:sz w:val="18"/>
              </w:rPr>
              <w:t>Below A- to B++</w:t>
            </w:r>
          </w:p>
        </w:tc>
        <w:tc>
          <w:tcPr>
            <w:tcW w:type="dxa" w:w="2880"/>
          </w:tcPr>
          <w:p>
            <w:r/>
            <w:r>
              <w:rPr>
                <w:sz w:val="18"/>
              </w:rPr>
              <w:t>about 5%</w:t>
            </w:r>
          </w:p>
        </w:tc>
        <w:tc>
          <w:tcPr>
            <w:tcW w:type="dxa" w:w="2880"/>
          </w:tcPr>
          <w:p>
            <w:r/>
            <w:r>
              <w:rPr>
                <w:sz w:val="18"/>
              </w:rPr>
              <w:t>Capital and operating performance slip together near the trough. The tail this paper is about.</w:t>
            </w:r>
          </w:p>
        </w:tc>
      </w:tr>
    </w:tbl>
    <w:p>
      <w:pPr>
        <w:spacing w:after="40"/>
      </w:pPr>
    </w:p>
    <w:p>
      <w:pPr>
        <w:spacing w:before="240" w:after="40"/>
      </w:pPr>
      <w:r>
        <w:rPr>
          <w:b/>
          <w:color w:val="2E5A88"/>
          <w:sz w:val="27"/>
        </w:rPr>
        <w:t>13.  What we watch, and what is in our control</w:t>
      </w:r>
    </w:p>
    <w:p>
      <w:pPr>
        <w:pStyle w:val="ListBullet"/>
      </w:pPr>
      <w:r>
        <w:rPr>
          <w:sz w:val="21"/>
        </w:rPr>
        <w:t>The BCAR trajectory, because BCAR, not the RBC ratio, is the main input to the balance-sheet grade. The 2026 Best report will be especially telling: it will carry substantial losses and the new surplus note, which is lower-quality capital, so it gives us the first real read on what the trough does to BCAR and to the overall balance-sheet grade.</w:t>
      </w:r>
    </w:p>
    <w:p>
      <w:pPr>
        <w:pStyle w:val="ListBullet"/>
      </w:pPr>
      <w:r>
        <w:rPr>
          <w:sz w:val="21"/>
        </w:rPr>
        <w:t>The combined ratio, the clearest sign of whether the operating turn is arriving. The move from 116% in 2025 toward 113% in 2026 is the first evidence we can show Best that the turn has begun.</w:t>
      </w:r>
    </w:p>
    <w:p>
      <w:pPr>
        <w:pStyle w:val="ListBullet"/>
      </w:pPr>
      <w:r>
        <w:rPr>
          <w:sz w:val="21"/>
        </w:rPr>
        <w:t>Whether Best still believes the plan. Best's judgement that our growth turns to profit is what holds operating performance at Adequate today. That judgement is doing real work, and the more our results visibly track the plan we showed them, the more likely Best keeps it and the rating.</w:t>
      </w:r>
    </w:p>
    <w:p>
      <w:pPr>
        <w:pStyle w:val="ListBullet"/>
      </w:pPr>
      <w:r>
        <w:rPr>
          <w:sz w:val="21"/>
        </w:rPr>
        <w:t>Capital actions and their effect on the grade. The surplus note raises capital and helps both the RBC ratio and BCAR, and Best treats access to it as financial flexibility. The trade-off is that it is slightly lower-quality capital than retained earnings and carries interest, a small offset on quality. We also have no debt outstanding, FHLB Des Moines capacity, and reinsurance options, all of which Best already counts toward the balance sheet.</w:t>
      </w:r>
    </w:p>
    <w:p>
      <w:pPr>
        <w:pStyle w:val="ListBullet"/>
      </w:pPr>
      <w:r>
        <w:rPr>
          <w:sz w:val="21"/>
        </w:rPr>
        <w:t>The outlook, our earliest warning. A move from Stable to Negative is the signal that Best's view is shifting, and we would treat it as the point to act and to bring it to the board.</w:t>
      </w:r>
    </w:p>
    <w:p>
      <w:pPr>
        <w:spacing w:before="320" w:after="40"/>
      </w:pPr>
      <w:r>
        <w:rPr>
          <w:b/>
          <w:color w:val="0B1C2C"/>
          <w:sz w:val="25"/>
        </w:rPr>
        <w:t>Summary</w:t>
      </w:r>
    </w:p>
    <w:p>
      <w:pPr>
        <w:spacing w:after="120"/>
      </w:pPr>
      <w:r>
        <w:rPr>
          <w:sz w:val="21"/>
        </w:rPr>
        <w:t>The rating is built from four blocks, and capital sets the floor under the other three. We hold the top balance-sheet grade today, but our plan draws capital down toward a trough near 400% RBC around 2029, and that decline could pressure the grade. Best has said it expects us to stay Strongest, and BCAR, the measure that drives the grade, has more room than the RBC ratio shows, so the grade may hold. Even so, a slip from Strongest to Very Strong is a real possibility we should plan around.</w:t>
      </w:r>
    </w:p>
    <w:p>
      <w:pPr>
        <w:spacing w:after="120"/>
      </w:pPr>
      <w:r>
        <w:rPr>
          <w:sz w:val="21"/>
        </w:rPr>
        <w:t>Two of the four blocks can realistically move us, capital and operating performance. Each on its own costs one letter, to A-. A balance-sheet slip lands us at A-, which is survivable on a weaker balance sheet, as Globe Life and American Southern show. An operating slip lands us at A- as well, and that move comes with warning and is reversible. The case that reaches B++ is both blocks slipping at once, and the plan draws capital to its trough in the same window the operating turn is most under test, with operating performance already at the bottom of Adequate. Business profile stays Neutral and risk management stays Appropriate, so neither lifts us nor, on its own, moves us down. The things in our control are showing Best the operating turn through the combined ratio, watching the BCAR trajectory, managing capital actions, keeping Best's confidence in the plan, and reading the outlook as the early signal it is.</w:t>
      </w:r>
    </w:p>
    <w:p>
      <w:pPr>
        <w:spacing w:before="280"/>
      </w:pPr>
      <w:r>
        <w:rPr>
          <w:i/>
          <w:color w:val="8A8A8A"/>
          <w:sz w:val="17"/>
        </w:rPr>
        <w:t>Sources and method. Wellabe's rating, grades, and financials come from the AM Best Credit Report for Wellabe Group, AMB #070369, effective May 2026, and prior reports. Peer figures come from a 50-carrier model built from public AM Best grades and S&amp;P Capital IQ and SNL statutory data. RBC is on the CAL basis. The RBC and BCAR forward paths and the likelihood ranges are illustrative, drawn from the 2026 strategic plan and our own judgement for discussion, not AM Best output. Peer-relative figures are sample approximations, not AM Best's internal composites. Internal and confidential, for ELT use.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