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the Chief Actuary. Strategy retreat, capital appetite session. ELT, internal and confidential.</w:t>
      </w:r>
    </w:p>
    <w:p>
      <w:r>
        <w:rPr>
          <w:i/>
          <w:color w:val="5C6B78"/>
          <w:sz w:val="20"/>
        </w:rPr>
        <w:t>Rated A (Excellent), Stable outlook. Wellabe Group, AMB #070369. Best's Credit Report effective May 2026.</w:t>
      </w:r>
    </w:p>
    <w:p>
      <w:pPr>
        <w:spacing w:before="200" w:after="40"/>
      </w:pPr>
      <w:r>
        <w:rPr>
          <w:b/>
          <w:color w:val="2E5A88"/>
          <w:sz w:val="27"/>
        </w:rPr>
        <w:t>What this paper is for</w:t>
      </w:r>
    </w:p>
    <w:p>
      <w:pPr>
        <w:spacing w:after="120"/>
      </w:pPr>
      <w:r>
        <w:rPr>
          <w:sz w:val="21"/>
        </w:rPr>
        <w:t>The purpose here is to explain how our AM Best rating actually works, where we stand, and what would realistically move it, so we can talk about capital from a shared and accurate footing. It is written to teach the mechanics rather than to argue a point of view. Two ideas tend to get tangled in these conversations, the regulator's capital ratio and Best's own capital model, and most of the confusion clears up once we keep them straight.</w:t>
      </w:r>
    </w:p>
    <w:p>
      <w:pPr>
        <w:spacing w:after="120"/>
      </w:pPr>
      <w:r>
        <w:rPr>
          <w:sz w:val="21"/>
        </w:rPr>
        <w:t>One thing to say plainly at the start, because the rest of the paper depends on it. Our plan draws our capital down over the next few years. The RBC ratio falls from around 648% today toward a trough near 400% around 2028 before it rebuilds. That decline is real, it is deliberate, and it is large enough that it could pressure our balance-sheet grade. So capital is not a settled strength we can set aside. It is one of two things that can move our rating, and it deserves a clear-eyed look.</w:t>
      </w:r>
    </w:p>
    <w:p>
      <w:pPr>
        <w:spacing w:before="320" w:after="40"/>
      </w:pPr>
      <w:r>
        <w:rPr>
          <w:b/>
          <w:color w:val="0B1C2C"/>
          <w:sz w:val="25"/>
        </w:rPr>
        <w:t>Part I.  How the rating works</w:t>
      </w:r>
    </w:p>
    <w:p>
      <w:pPr>
        <w:spacing w:before="240" w:after="40"/>
      </w:pPr>
      <w:r>
        <w:rPr>
          <w:b/>
          <w:color w:val="2E5A88"/>
          <w:sz w:val="27"/>
        </w:rPr>
        <w:t>1.  What the rating is, and where it matters to us</w:t>
      </w:r>
    </w:p>
    <w:p>
      <w:pPr>
        <w:spacing w:after="120"/>
      </w:pPr>
      <w:r>
        <w:rPr>
          <w:sz w:val="21"/>
        </w:rPr>
        <w:t>The financial strength rating is AM Best's opinion of our ability to pay claims. It is a business asset, and it is worth being honest about where it helps us and where it matters less. We sell mostly through independent marketing organizations, independent agents, and preneed funeral homes. We do not sell through banks or broker-dealers, and we do not write the kind of long-duration annuity business where buyers screen hard on a minimum letter.</w:t>
      </w:r>
    </w:p>
    <w:p>
      <w:pPr>
        <w:spacing w:after="120"/>
      </w:pPr>
      <w:r>
        <w:rPr>
          <w:sz w:val="21"/>
        </w:rPr>
        <w:t>Because of that, the rating matters to us in specific places. It matters in preneed, where funeral-home programs place obligations that run for decades and prefer strong, stable carriers. It matters in reinsurance, where our counterparties price our rating into the business we assume and cede. It matters when we raise capital, including the surplus note we are working toward, where the rating affects whether we can place it and at what cost. In our agent Medicare Supplement and supplemental-health channels it matters less, because the product is standardized and backed by state guaranty funds, so agents place business on price, commission, and service more than on the letter.</w:t>
      </w:r>
    </w:p>
    <w:p>
      <w:pPr>
        <w:spacing w:before="240" w:after="40"/>
      </w:pPr>
      <w:r>
        <w:rPr>
          <w:b/>
          <w:color w:val="2E5A88"/>
          <w:sz w:val="27"/>
        </w:rPr>
        <w:t>2.  How AM Best builds the letter</w:t>
      </w:r>
    </w:p>
    <w:p>
      <w:pPr>
        <w:spacing w:after="120"/>
      </w:pPr>
      <w:r>
        <w:rPr>
          <w:sz w:val="21"/>
        </w:rPr>
        <w:t>The rating runs off published tables, so we can read our own rating and a competitor's the same way. The balance sheet sets a starting point, and the other three pieces move it up or down.</w:t>
      </w:r>
    </w:p>
    <w:p>
      <w:pPr>
        <w:spacing w:after="120"/>
      </w:pPr>
      <w:r>
        <w:rPr>
          <w:sz w:val="21"/>
        </w:rPr>
        <w:t>Step one. The balance-sheet grade sets a starting credit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shd w:val="clear" w:fill="FBE9E7"/>
          </w:tcPr>
          <w:p>
            <w:r/>
            <w:r>
              <w:rPr>
                <w:b/>
                <w:color w:val="C0392B"/>
                <w:sz w:val="18"/>
              </w:rPr>
              <w:t>Strongest</w:t>
            </w:r>
          </w:p>
        </w:tc>
        <w:tc>
          <w:tcPr>
            <w:tcW w:type="dxa" w:w="2880"/>
            <w:shd w:val="clear" w:fill="FBE9E7"/>
          </w:tcPr>
          <w:p>
            <w:r/>
            <w:r>
              <w:rPr>
                <w:b/>
                <w:color w:val="C0392B"/>
                <w:sz w:val="18"/>
              </w:rPr>
              <w:t>a+ / a</w:t>
            </w:r>
          </w:p>
        </w:tc>
        <w:tc>
          <w:tcPr>
            <w:tcW w:type="dxa" w:w="2880"/>
            <w:shd w:val="clear" w:fill="FBE9E7"/>
          </w:tcPr>
          <w:p>
            <w:r/>
            <w:r>
              <w:rPr>
                <w:b/>
                <w:color w:val="C0392B"/>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Step two. Each of the other three pieces adds or removes notches: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us</w:t>
            </w:r>
          </w:p>
        </w:tc>
        <w:tc>
          <w:tcPr>
            <w:tcW w:type="dxa" w:w="2880"/>
            <w:shd w:val="clear" w:fill="2E5A88"/>
          </w:tcPr>
          <w:p>
            <w:r/>
            <w:r>
              <w:rPr>
                <w:b/>
                <w:color w:val="FFFFFF"/>
                <w:sz w:val="18"/>
              </w:rPr>
              <w:t>Neutral, 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Two things are worth noticing. The downside on each piece is larger than the upside, so it is easier to lose ground than to gain it. And the balance sheet only gets a carrier to the starting line. A company can open at A on capital and still finish lower if its earnings and franchise are weak. As a worked example, a Strongest balance sheet opens at A. Hold the other three at no change and the carrier stays at A. Let two of them each slip a notch and the same well-capitalized company lands at B++.</w:t>
      </w:r>
    </w:p>
    <w:p>
      <w:pPr>
        <w:spacing w:before="240" w:after="40"/>
      </w:pPr>
      <w:r>
        <w:rPr>
          <w:b/>
          <w:color w:val="2E5A88"/>
          <w:sz w:val="27"/>
        </w:rPr>
        <w:t>3.  The two capital yardsticks: RBC and BCAR</w:t>
      </w:r>
    </w:p>
    <w:p>
      <w:pPr>
        <w:spacing w:after="120"/>
      </w:pPr>
      <w:r>
        <w:rPr>
          <w:sz w:val="21"/>
        </w:rPr>
        <w:t>This is the part most worth slowing down on, because two different measures get used for two different jobs, and they do not always agree.</w:t>
      </w:r>
    </w:p>
    <w:p>
      <w:pPr>
        <w:spacing w:after="120"/>
      </w:pPr>
      <w:r>
        <w:rPr>
          <w:sz w:val="21"/>
        </w:rPr>
        <w:t>The first is NAIC risk-based capital, which we report on the CAL basis and which runs around 648% for us today. The formula sets a regulatory floor. It compares our total adjusted capital to a control level the regulator calculates. The ladder below shows what happens as the ratio falls. The useful thing to understand is what this number is for. It is a floor and an early-warning gauge. Once a company is well above the floor it tells you the regulator is comfortable, and very little more. It does not rank healthy carriers against each other, and it is not the number AM Best uses to set a rating. Globe Life makes the point: it runs an RBC ratio around 316%, less than half of ours, and it is rated A, the same letter we 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The second measure is the one that actually drives the balance-sheet grade, and it is Best's own capital model, called BCAR. Best takes our real balance sheet and runs it through a series of bad years, up to roughly a 1-in-250-year loss, and asks how much capital is still standing afterward. A company graded Strongest has more than about 25% of its capital still to spare after that stress. BCAR captures things the RBC ratio does not, including asset risk, reserve adequacy, and catastrophe exposure, which is why a carrier can look strong on one measure and less so on the other. One more point that matters later: BCAR is a snapshot of today's balance sheet under stress. It is not a forecast. What looks ahead is Best's rating opinion and outlook, which carry its view of where we are headed.</w:t>
      </w:r>
    </w:p>
    <w:p>
      <w:pPr>
        <w:spacing w:after="120"/>
      </w:pPr>
      <w:r>
        <w:rPr>
          <w:sz w:val="21"/>
        </w:rPr>
        <w:t>So we hold two capital numbers in mind. The RBC ratio is the regulator's floor and the number our plan moves the most. BCAR is Best's stress test and the number that sets our grade. They can move together or apart, and the gap between them is the heart of the capital question for us.</w:t>
      </w:r>
    </w:p>
    <w:p>
      <w:pPr>
        <w:spacing w:before="320" w:after="40"/>
      </w:pPr>
      <w:r>
        <w:rPr>
          <w:b/>
          <w:color w:val="0B1C2C"/>
          <w:sz w:val="25"/>
        </w:rPr>
        <w:t>Part II.  Where Wellabe stands</w:t>
      </w:r>
    </w:p>
    <w:p>
      <w:pPr>
        <w:spacing w:before="240" w:after="40"/>
      </w:pPr>
      <w:r>
        <w:rPr>
          <w:b/>
          <w:color w:val="2E5A88"/>
          <w:sz w:val="27"/>
        </w:rPr>
        <w:t>4.  Our rating today, and how we got to A</w:t>
      </w:r>
    </w:p>
    <w:p>
      <w:pPr>
        <w:spacing w:after="120"/>
      </w:pPr>
      <w:r>
        <w:rPr>
          <w:sz w:val="21"/>
        </w:rPr>
        <w:t>Best grades us Strongest on the balance sheet, Adequate on earnings, Neutral on franchise, and Appropriate on risk management. The balance sheet opens us at A, the other three net to no change, and we land at A with a Stable outlook.</w:t>
      </w:r>
    </w:p>
    <w:p>
      <w:pPr>
        <w:spacing w:after="120"/>
      </w:pPr>
      <w:r>
        <w:rPr>
          <w:sz w:val="21"/>
        </w:rPr>
        <w:t>The thing shaping everything else is our recent earnings. We have run losses for three straight years, and the losses have grown each year. Our accident-and-health combined ratio has climbed every year, and surplus has come down since 2021.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spacing w:after="120"/>
      </w:pPr>
      <w:r>
        <w:rPr>
          <w:sz w:val="21"/>
        </w:rPr>
        <w:t>We are still A and still Stable while running the largest losses in our history. The reason is that Best does not read these as ordinary losses. Statutory accounting makes us book the full cost of writing a new policy right away, so a record year of Medicare Supplement sales, with premium up 13% in 2025, shows up as a loss today on business we expect to earn back over its life. Best is giving us credit for that, and it has said so in its rating drivers. It is a judgement, and judgements can change, which is why the next two sections matter.</w:t>
      </w:r>
    </w:p>
    <w:p>
      <w:pPr>
        <w:spacing w:before="240" w:after="40"/>
      </w:pPr>
      <w:r>
        <w:rPr>
          <w:b/>
          <w:color w:val="2E5A88"/>
          <w:sz w:val="27"/>
        </w:rPr>
        <w:t>5.  Our capital, and where the plan takes it</w:t>
      </w:r>
    </w:p>
    <w:p>
      <w:pPr>
        <w:spacing w:after="120"/>
      </w:pPr>
      <w:r>
        <w:rPr>
          <w:sz w:val="21"/>
        </w:rPr>
        <w:t>Here is the honest core of the capital question. Both of our capital measures are coming down, and the plan intends them to.</w:t>
      </w:r>
    </w:p>
    <w:p>
      <w:pPr>
        <w:spacing w:after="120"/>
      </w:pPr>
      <w:r>
        <w:rPr>
          <w:sz w:val="21"/>
        </w:rPr>
        <w:t>BCAR has fallen from 73.4% at year-end 2022 to 67.3% at year-end 2025, a little over six points in three years, as losses draw down surplus. It is still far above the 25% line for Strongest, but the direction is steady and it will keep going while we fund growth.</w:t>
      </w:r>
    </w:p>
    <w:p>
      <w:pPr>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rp_bcar.png"/>
                    <pic:cNvPicPr/>
                  </pic:nvPicPr>
                  <pic:blipFill>
                    <a:blip r:embed="rId9"/>
                    <a:stretch>
                      <a:fillRect/>
                    </a:stretch>
                  </pic:blipFill>
                  <pic:spPr>
                    <a:xfrm>
                      <a:off x="0" y="0"/>
                      <a:ext cx="5577840" cy="2788920"/>
                    </a:xfrm>
                    <a:prstGeom prst="rect"/>
                  </pic:spPr>
                </pic:pic>
              </a:graphicData>
            </a:graphic>
          </wp:inline>
        </w:drawing>
      </w:r>
    </w:p>
    <w:p>
      <w:pPr>
        <w:spacing w:after="200"/>
        <w:jc w:val="center"/>
      </w:pPr>
      <w:r>
        <w:rPr>
          <w:i/>
          <w:color w:val="5C6B78"/>
          <w:sz w:val="18"/>
        </w:rPr>
        <w:t>Figure 1. BCAR over time. Still well above the 25% bar, and trending down as surplus funds growth. The dashed path is illustrative.</w:t>
      </w:r>
    </w:p>
    <w:p>
      <w:pPr>
        <w:spacing w:after="120"/>
      </w:pPr>
      <w:r>
        <w:rPr>
          <w:sz w:val="21"/>
        </w:rPr>
        <w:t>The RBC ratio moves more. It runs about 648% today and the plan carries it toward a trough near 400% around 2028 before it rebuilds. That matters because of where 400% sits. In our peer data, carriers graded Strongest tend to sit above roughly 530% on this basis, with the Very Strong band running from about 375% to 530%. A 400% ratio sits inside the Very Strong band, not the Strongest one.</w:t>
      </w:r>
    </w:p>
    <w:p>
      <w:pPr>
        <w:jc w:val="center"/>
      </w:pPr>
      <w:r>
        <w:drawing>
          <wp:inline xmlns:a="http://schemas.openxmlformats.org/drawingml/2006/main" xmlns:pic="http://schemas.openxmlformats.org/drawingml/2006/picture">
            <wp:extent cx="5577840" cy="3027970"/>
            <wp:docPr id="2" name="Picture 2"/>
            <wp:cNvGraphicFramePr>
              <a:graphicFrameLocks noChangeAspect="1"/>
            </wp:cNvGraphicFramePr>
            <a:graphic>
              <a:graphicData uri="http://schemas.openxmlformats.org/drawingml/2006/picture">
                <pic:pic>
                  <pic:nvPicPr>
                    <pic:cNvPr id="0" name="rp_rbcpath.png"/>
                    <pic:cNvPicPr/>
                  </pic:nvPicPr>
                  <pic:blipFill>
                    <a:blip r:embed="rId10"/>
                    <a:stretch>
                      <a:fillRect/>
                    </a:stretch>
                  </pic:blipFill>
                  <pic:spPr>
                    <a:xfrm>
                      <a:off x="0" y="0"/>
                      <a:ext cx="5577840" cy="3027970"/>
                    </a:xfrm>
                    <a:prstGeom prst="rect"/>
                  </pic:spPr>
                </pic:pic>
              </a:graphicData>
            </a:graphic>
          </wp:inline>
        </w:drawing>
      </w:r>
    </w:p>
    <w:p>
      <w:pPr>
        <w:spacing w:after="200"/>
        <w:jc w:val="center"/>
      </w:pPr>
      <w:r>
        <w:rPr>
          <w:i/>
          <w:color w:val="5C6B78"/>
          <w:sz w:val="18"/>
        </w:rPr>
        <w:t>Figure 2. An illustrative path for our RBC ratio to the planned trough. At ~400% it sits in the Very Strong band on the peer-floor read, below the Strongest floor.</w:t>
      </w:r>
    </w:p>
    <w:p>
      <w:pPr>
        <w:spacing w:after="120"/>
      </w:pPr>
      <w:r>
        <w:rPr>
          <w:sz w:val="21"/>
        </w:rPr>
        <w:t>So the real question is straightforward. Does our balance-sheet grade stay Strongest through the trough, or does it slip to Very Strong. The evidence cuts both ways, and we should hold both halves. On one side, the RBC ratio at the trough lands in Very Strong territory on the peer read, which argues for a downgrade of the grade. On the other side, BCAR is the measure Best actually uses, and BCAR has much more room than the RBC ratio suggests, so it may still compute Strongest at a 400% RBC level. We will not know until Best re-runs BCAR each year on our actual balance sheet. The prudent planning assumption is that a slip from Strongest to Very Strong is a real possibility at the trough, and that it becomes more likely if asset risk keeps drifting up at the same time. On Best's reported measure, our higher-risk asset leverage rose to roughly 40% of capital and surplus in 2025 from about 29% in 2023, which softens balance-sheet quality even when the headline ratio looks fine.</w:t>
      </w:r>
    </w:p>
    <w:p>
      <w:pPr>
        <w:spacing w:before="240" w:after="40"/>
      </w:pPr>
      <w:r>
        <w:rPr>
          <w:b/>
          <w:color w:val="2E5A88"/>
          <w:sz w:val="27"/>
        </w:rPr>
        <w:t>6.  How we compare to peers</w:t>
      </w:r>
    </w:p>
    <w:p>
      <w:pPr>
        <w:spacing w:after="120"/>
      </w:pPr>
      <w:r>
        <w:rPr>
          <w:sz w:val="21"/>
        </w:rPr>
        <w:t>Reading the same four grades across the competitive set shows where the letters really come from. The table is sorted by rating, then by capital. The capital column and the rating do not move together.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2E5A88"/>
          </w:tcPr>
          <w:p>
            <w:r/>
            <w:r>
              <w:rPr>
                <w:b/>
                <w:color w:val="FFFFFF"/>
                <w:sz w:val="18"/>
              </w:rPr>
              <w:t>Carrier</w:t>
            </w:r>
          </w:p>
        </w:tc>
        <w:tc>
          <w:tcPr>
            <w:tcW w:type="dxa" w:w="1440"/>
            <w:shd w:val="clear" w:fill="2E5A88"/>
          </w:tcPr>
          <w:p>
            <w:r/>
            <w:r>
              <w:rPr>
                <w:b/>
                <w:color w:val="FFFFFF"/>
                <w:sz w:val="18"/>
              </w:rPr>
              <w:t>Rating</w:t>
            </w:r>
          </w:p>
        </w:tc>
        <w:tc>
          <w:tcPr>
            <w:tcW w:type="dxa" w:w="1440"/>
            <w:shd w:val="clear" w:fill="2E5A88"/>
          </w:tcPr>
          <w:p>
            <w:r/>
            <w:r>
              <w:rPr>
                <w:b/>
                <w:color w:val="FFFFFF"/>
                <w:sz w:val="18"/>
              </w:rPr>
              <w:t>Balance sheet</w:t>
            </w:r>
          </w:p>
        </w:tc>
        <w:tc>
          <w:tcPr>
            <w:tcW w:type="dxa" w:w="1440"/>
            <w:shd w:val="clear" w:fill="2E5A88"/>
          </w:tcPr>
          <w:p>
            <w:r/>
            <w:r>
              <w:rPr>
                <w:b/>
                <w:color w:val="FFFFFF"/>
                <w:sz w:val="18"/>
              </w:rPr>
              <w:t>Earnings</w:t>
            </w:r>
          </w:p>
        </w:tc>
        <w:tc>
          <w:tcPr>
            <w:tcW w:type="dxa" w:w="1440"/>
            <w:shd w:val="clear" w:fill="2E5A88"/>
          </w:tcPr>
          <w:p>
            <w:r/>
            <w:r>
              <w:rPr>
                <w:b/>
                <w:color w:val="FFFFFF"/>
                <w:sz w:val="18"/>
              </w:rPr>
              <w:t>Franchise</w:t>
            </w:r>
          </w:p>
        </w:tc>
        <w:tc>
          <w:tcPr>
            <w:tcW w:type="dxa" w:w="1440"/>
            <w:shd w:val="clear" w:fill="2E5A88"/>
          </w:tcPr>
          <w:p>
            <w:r/>
            <w:r>
              <w:rPr>
                <w:b/>
                <w:color w:val="FFFFFF"/>
                <w:sz w:val="18"/>
              </w:rPr>
              <w:t>RBC (CAL)</w:t>
            </w:r>
          </w:p>
        </w:tc>
      </w:tr>
      <w:tr>
        <w:tc>
          <w:tcPr>
            <w:tcW w:type="dxa" w:w="1440"/>
          </w:tcPr>
          <w:p>
            <w:r/>
            <w:r>
              <w:rPr>
                <w:sz w:val="18"/>
              </w:rPr>
              <w:t>Guardian Life</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Favorable</w:t>
            </w:r>
          </w:p>
        </w:tc>
        <w:tc>
          <w:tcPr>
            <w:tcW w:type="dxa" w:w="1440"/>
          </w:tcPr>
          <w:p>
            <w:r/>
            <w:r>
              <w:rPr>
                <w:sz w:val="18"/>
              </w:rPr>
              <w:t>533%</w:t>
            </w:r>
          </w:p>
        </w:tc>
      </w:tr>
      <w:tr>
        <w:tc>
          <w:tcPr>
            <w:tcW w:type="dxa" w:w="1440"/>
          </w:tcPr>
          <w:p>
            <w:r/>
            <w:r>
              <w:rPr>
                <w:sz w:val="18"/>
              </w:rPr>
              <w:t>Physicians Mutual</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Neutral</w:t>
            </w:r>
          </w:p>
        </w:tc>
        <w:tc>
          <w:tcPr>
            <w:tcW w:type="dxa" w:w="1440"/>
          </w:tcPr>
          <w:p>
            <w:r/>
            <w:r>
              <w:rPr>
                <w:sz w:val="18"/>
              </w:rPr>
              <w:t>1,239%</w:t>
            </w:r>
          </w:p>
        </w:tc>
      </w:tr>
      <w:tr>
        <w:tc>
          <w:tcPr>
            <w:tcW w:type="dxa" w:w="1440"/>
          </w:tcPr>
          <w:p>
            <w:r/>
            <w:r>
              <w:rPr>
                <w:sz w:val="18"/>
              </w:rPr>
              <w:t>Aflac</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Favorable</w:t>
            </w:r>
          </w:p>
        </w:tc>
        <w:tc>
          <w:tcPr>
            <w:tcW w:type="dxa" w:w="1440"/>
          </w:tcPr>
          <w:p>
            <w:r/>
            <w:r>
              <w:rPr>
                <w:sz w:val="18"/>
              </w:rPr>
              <w:t>564%</w:t>
            </w:r>
          </w:p>
        </w:tc>
      </w:tr>
      <w:tr>
        <w:tc>
          <w:tcPr>
            <w:tcW w:type="dxa" w:w="1440"/>
          </w:tcPr>
          <w:p>
            <w:r/>
            <w:r>
              <w:rPr>
                <w:sz w:val="18"/>
              </w:rPr>
              <w:t>Mutual of Omaha</w:t>
            </w:r>
          </w:p>
        </w:tc>
        <w:tc>
          <w:tcPr>
            <w:tcW w:type="dxa" w:w="1440"/>
          </w:tcPr>
          <w:p>
            <w:r/>
            <w:r>
              <w:rPr>
                <w:sz w:val="18"/>
              </w:rPr>
              <w:t>A+</w:t>
            </w:r>
          </w:p>
        </w:tc>
        <w:tc>
          <w:tcPr>
            <w:tcW w:type="dxa" w:w="1440"/>
          </w:tcPr>
          <w:p>
            <w:r/>
            <w:r>
              <w:rPr>
                <w:sz w:val="18"/>
              </w:rPr>
              <w:t>Very Strong</w:t>
            </w:r>
          </w:p>
        </w:tc>
        <w:tc>
          <w:tcPr>
            <w:tcW w:type="dxa" w:w="1440"/>
          </w:tcPr>
          <w:p>
            <w:r/>
            <w:r>
              <w:rPr>
                <w:sz w:val="18"/>
              </w:rPr>
              <w:t>Strong</w:t>
            </w:r>
          </w:p>
        </w:tc>
        <w:tc>
          <w:tcPr>
            <w:tcW w:type="dxa" w:w="1440"/>
          </w:tcPr>
          <w:p>
            <w:r/>
            <w:r>
              <w:rPr>
                <w:sz w:val="18"/>
              </w:rPr>
              <w:t>Favorable</w:t>
            </w:r>
          </w:p>
        </w:tc>
        <w:tc>
          <w:tcPr>
            <w:tcW w:type="dxa" w:w="1440"/>
          </w:tcPr>
          <w:p>
            <w:r/>
            <w:r>
              <w:rPr>
                <w:sz w:val="18"/>
              </w:rPr>
              <w:t>434%</w:t>
            </w:r>
          </w:p>
        </w:tc>
      </w:tr>
      <w:tr>
        <w:tc>
          <w:tcPr>
            <w:tcW w:type="dxa" w:w="1440"/>
          </w:tcPr>
          <w:p>
            <w:r/>
            <w:r>
              <w:rPr>
                <w:sz w:val="18"/>
              </w:rPr>
              <w:t>Guarantee Trust Life</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Limited</w:t>
            </w:r>
          </w:p>
        </w:tc>
        <w:tc>
          <w:tcPr>
            <w:tcW w:type="dxa" w:w="1440"/>
          </w:tcPr>
          <w:p>
            <w:r/>
            <w:r>
              <w:rPr>
                <w:sz w:val="18"/>
              </w:rPr>
              <w:t>809%</w:t>
            </w:r>
          </w:p>
        </w:tc>
      </w:tr>
      <w:tr>
        <w:tc>
          <w:tcPr>
            <w:tcW w:type="dxa" w:w="1440"/>
            <w:shd w:val="clear" w:fill="FBE9E7"/>
          </w:tcPr>
          <w:p>
            <w:r/>
            <w:r>
              <w:rPr>
                <w:b/>
                <w:color w:val="C0392B"/>
                <w:sz w:val="18"/>
              </w:rPr>
              <w:t>Wellabe</w:t>
            </w:r>
          </w:p>
        </w:tc>
        <w:tc>
          <w:tcPr>
            <w:tcW w:type="dxa" w:w="1440"/>
            <w:shd w:val="clear" w:fill="FBE9E7"/>
          </w:tcPr>
          <w:p>
            <w:r/>
            <w:r>
              <w:rPr>
                <w:b/>
                <w:color w:val="C0392B"/>
                <w:sz w:val="18"/>
              </w:rPr>
              <w:t>A</w:t>
            </w:r>
          </w:p>
        </w:tc>
        <w:tc>
          <w:tcPr>
            <w:tcW w:type="dxa" w:w="1440"/>
            <w:shd w:val="clear" w:fill="FBE9E7"/>
          </w:tcPr>
          <w:p>
            <w:r/>
            <w:r>
              <w:rPr>
                <w:b/>
                <w:color w:val="C0392B"/>
                <w:sz w:val="18"/>
              </w:rPr>
              <w:t>Strongest</w:t>
            </w:r>
          </w:p>
        </w:tc>
        <w:tc>
          <w:tcPr>
            <w:tcW w:type="dxa" w:w="1440"/>
            <w:shd w:val="clear" w:fill="FBE9E7"/>
          </w:tcPr>
          <w:p>
            <w:r/>
            <w:r>
              <w:rPr>
                <w:b/>
                <w:color w:val="C0392B"/>
                <w:sz w:val="18"/>
              </w:rPr>
              <w:t>Adequate</w:t>
            </w:r>
          </w:p>
        </w:tc>
        <w:tc>
          <w:tcPr>
            <w:tcW w:type="dxa" w:w="1440"/>
            <w:shd w:val="clear" w:fill="FBE9E7"/>
          </w:tcPr>
          <w:p>
            <w:r/>
            <w:r>
              <w:rPr>
                <w:b/>
                <w:color w:val="C0392B"/>
                <w:sz w:val="18"/>
              </w:rPr>
              <w:t>Neutral</w:t>
            </w:r>
          </w:p>
        </w:tc>
        <w:tc>
          <w:tcPr>
            <w:tcW w:type="dxa" w:w="1440"/>
            <w:shd w:val="clear" w:fill="FBE9E7"/>
          </w:tcPr>
          <w:p>
            <w:r/>
            <w:r>
              <w:rPr>
                <w:b/>
                <w:color w:val="C0392B"/>
                <w:sz w:val="18"/>
              </w:rPr>
              <w:t>648%</w:t>
            </w:r>
          </w:p>
        </w:tc>
      </w:tr>
      <w:tr>
        <w:tc>
          <w:tcPr>
            <w:tcW w:type="dxa" w:w="1440"/>
          </w:tcPr>
          <w:p>
            <w:r/>
            <w:r>
              <w:rPr>
                <w:sz w:val="18"/>
              </w:rPr>
              <w:t>National Guardian Life</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Neutral</w:t>
            </w:r>
          </w:p>
        </w:tc>
        <w:tc>
          <w:tcPr>
            <w:tcW w:type="dxa" w:w="1440"/>
          </w:tcPr>
          <w:p>
            <w:r/>
            <w:r>
              <w:rPr>
                <w:sz w:val="18"/>
              </w:rPr>
              <w:t>603%</w:t>
            </w:r>
          </w:p>
        </w:tc>
      </w:tr>
      <w:tr>
        <w:tc>
          <w:tcPr>
            <w:tcW w:type="dxa" w:w="1440"/>
          </w:tcPr>
          <w:p>
            <w:r/>
            <w:r>
              <w:rPr>
                <w:sz w:val="18"/>
              </w:rPr>
              <w:t>American National</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Favorable</w:t>
            </w:r>
          </w:p>
        </w:tc>
        <w:tc>
          <w:tcPr>
            <w:tcW w:type="dxa" w:w="1440"/>
          </w:tcPr>
          <w:p>
            <w:r/>
            <w:r>
              <w:rPr>
                <w:sz w:val="18"/>
              </w:rPr>
              <w:t>427%</w:t>
            </w:r>
          </w:p>
        </w:tc>
      </w:tr>
      <w:tr>
        <w:tc>
          <w:tcPr>
            <w:tcW w:type="dxa" w:w="1440"/>
          </w:tcPr>
          <w:p>
            <w:r/>
            <w:r>
              <w:rPr>
                <w:sz w:val="18"/>
              </w:rPr>
              <w:t>CNO, Bankers Life</w:t>
            </w:r>
          </w:p>
        </w:tc>
        <w:tc>
          <w:tcPr>
            <w:tcW w:type="dxa" w:w="1440"/>
          </w:tcPr>
          <w:p>
            <w:r/>
            <w:r>
              <w:rPr>
                <w:sz w:val="18"/>
              </w:rPr>
              <w:t>A</w:t>
            </w:r>
          </w:p>
        </w:tc>
        <w:tc>
          <w:tcPr>
            <w:tcW w:type="dxa" w:w="1440"/>
          </w:tcPr>
          <w:p>
            <w:r/>
            <w:r>
              <w:rPr>
                <w:sz w:val="18"/>
              </w:rPr>
              <w:t>Very Strong</w:t>
            </w:r>
          </w:p>
        </w:tc>
        <w:tc>
          <w:tcPr>
            <w:tcW w:type="dxa" w:w="1440"/>
          </w:tcPr>
          <w:p>
            <w:r/>
            <w:r>
              <w:rPr>
                <w:sz w:val="18"/>
              </w:rPr>
              <w:t>Strong</w:t>
            </w:r>
          </w:p>
        </w:tc>
        <w:tc>
          <w:tcPr>
            <w:tcW w:type="dxa" w:w="1440"/>
          </w:tcPr>
          <w:p>
            <w:r/>
            <w:r>
              <w:rPr>
                <w:sz w:val="18"/>
              </w:rPr>
              <w:t>Neutral</w:t>
            </w:r>
          </w:p>
        </w:tc>
        <w:tc>
          <w:tcPr>
            <w:tcW w:type="dxa" w:w="1440"/>
          </w:tcPr>
          <w:p>
            <w:r/>
            <w:r>
              <w:rPr>
                <w:sz w:val="18"/>
              </w:rPr>
              <w:t>334%</w:t>
            </w:r>
          </w:p>
        </w:tc>
      </w:tr>
      <w:tr>
        <w:tc>
          <w:tcPr>
            <w:tcW w:type="dxa" w:w="1440"/>
          </w:tcPr>
          <w:p>
            <w:r/>
            <w:r>
              <w:rPr>
                <w:sz w:val="18"/>
              </w:rPr>
              <w:t>Globe Life</w:t>
            </w:r>
          </w:p>
        </w:tc>
        <w:tc>
          <w:tcPr>
            <w:tcW w:type="dxa" w:w="1440"/>
          </w:tcPr>
          <w:p>
            <w:r/>
            <w:r>
              <w:rPr>
                <w:sz w:val="18"/>
              </w:rPr>
              <w:t>A</w:t>
            </w:r>
          </w:p>
        </w:tc>
        <w:tc>
          <w:tcPr>
            <w:tcW w:type="dxa" w:w="1440"/>
          </w:tcPr>
          <w:p>
            <w:r/>
            <w:r>
              <w:rPr>
                <w:sz w:val="18"/>
              </w:rPr>
              <w:t>Strong</w:t>
            </w:r>
          </w:p>
        </w:tc>
        <w:tc>
          <w:tcPr>
            <w:tcW w:type="dxa" w:w="1440"/>
          </w:tcPr>
          <w:p>
            <w:r/>
            <w:r>
              <w:rPr>
                <w:sz w:val="18"/>
              </w:rPr>
              <w:t>Strong</w:t>
            </w:r>
          </w:p>
        </w:tc>
        <w:tc>
          <w:tcPr>
            <w:tcW w:type="dxa" w:w="1440"/>
          </w:tcPr>
          <w:p>
            <w:r/>
            <w:r>
              <w:rPr>
                <w:sz w:val="18"/>
              </w:rPr>
              <w:t>Favorable</w:t>
            </w:r>
          </w:p>
        </w:tc>
        <w:tc>
          <w:tcPr>
            <w:tcW w:type="dxa" w:w="1440"/>
          </w:tcPr>
          <w:p>
            <w:r/>
            <w:r>
              <w:rPr>
                <w:sz w:val="18"/>
              </w:rPr>
              <w:t>316%</w:t>
            </w:r>
          </w:p>
        </w:tc>
      </w:tr>
      <w:tr>
        <w:tc>
          <w:tcPr>
            <w:tcW w:type="dxa" w:w="1440"/>
          </w:tcPr>
          <w:p>
            <w:r/>
            <w:r>
              <w:rPr>
                <w:sz w:val="18"/>
              </w:rPr>
              <w:t>American-Amicable / Trinity</w:t>
            </w:r>
          </w:p>
        </w:tc>
        <w:tc>
          <w:tcPr>
            <w:tcW w:type="dxa" w:w="1440"/>
          </w:tcPr>
          <w:p>
            <w:r/>
            <w:r>
              <w:rPr>
                <w:sz w:val="18"/>
              </w:rPr>
              <w:t>A</w:t>
            </w:r>
          </w:p>
        </w:tc>
        <w:tc>
          <w:tcPr>
            <w:tcW w:type="dxa" w:w="1440"/>
          </w:tcPr>
          <w:p>
            <w:r/>
            <w:r>
              <w:rPr>
                <w:sz w:val="18"/>
              </w:rPr>
              <w:t>Very Strong</w:t>
            </w:r>
          </w:p>
        </w:tc>
        <w:tc>
          <w:tcPr>
            <w:tcW w:type="dxa" w:w="1440"/>
          </w:tcPr>
          <w:p>
            <w:r/>
            <w:r>
              <w:rPr>
                <w:sz w:val="18"/>
              </w:rPr>
              <w:t>Marginal</w:t>
            </w:r>
          </w:p>
        </w:tc>
        <w:tc>
          <w:tcPr>
            <w:tcW w:type="dxa" w:w="1440"/>
          </w:tcPr>
          <w:p>
            <w:r/>
            <w:r>
              <w:rPr>
                <w:sz w:val="18"/>
              </w:rPr>
              <w:t>Neutral</w:t>
            </w:r>
          </w:p>
        </w:tc>
        <w:tc>
          <w:tcPr>
            <w:tcW w:type="dxa" w:w="1440"/>
          </w:tcPr>
          <w:p>
            <w:r/>
            <w:r>
              <w:rPr>
                <w:sz w:val="18"/>
              </w:rPr>
              <w:t>237%</w:t>
            </w:r>
          </w:p>
        </w:tc>
      </w:tr>
      <w:tr>
        <w:tc>
          <w:tcPr>
            <w:tcW w:type="dxa" w:w="1440"/>
          </w:tcPr>
          <w:p>
            <w:r/>
            <w:r>
              <w:rPr>
                <w:sz w:val="18"/>
              </w:rPr>
              <w:t>National Western Life</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Neutral</w:t>
            </w:r>
          </w:p>
        </w:tc>
        <w:tc>
          <w:tcPr>
            <w:tcW w:type="dxa" w:w="1440"/>
          </w:tcPr>
          <w:p>
            <w:r/>
            <w:r>
              <w:rPr>
                <w:sz w:val="18"/>
              </w:rPr>
              <w:t>827%</w:t>
            </w:r>
          </w:p>
        </w:tc>
      </w:tr>
      <w:tr>
        <w:tc>
          <w:tcPr>
            <w:tcW w:type="dxa" w:w="1440"/>
          </w:tcPr>
          <w:p>
            <w:r/>
            <w:r>
              <w:rPr>
                <w:sz w:val="18"/>
              </w:rPr>
              <w:t>Assurity Life</w:t>
            </w:r>
          </w:p>
        </w:tc>
        <w:tc>
          <w:tcPr>
            <w:tcW w:type="dxa" w:w="1440"/>
          </w:tcPr>
          <w:p>
            <w:r/>
            <w:r>
              <w:rPr>
                <w:sz w:val="18"/>
              </w:rPr>
              <w:t>A-</w:t>
            </w:r>
          </w:p>
        </w:tc>
        <w:tc>
          <w:tcPr>
            <w:tcW w:type="dxa" w:w="1440"/>
          </w:tcPr>
          <w:p>
            <w:r/>
            <w:r>
              <w:rPr>
                <w:sz w:val="18"/>
              </w:rPr>
              <w:t>Strongest</w:t>
            </w:r>
          </w:p>
        </w:tc>
        <w:tc>
          <w:tcPr>
            <w:tcW w:type="dxa" w:w="1440"/>
          </w:tcPr>
          <w:p>
            <w:r/>
            <w:r>
              <w:rPr>
                <w:sz w:val="18"/>
              </w:rPr>
              <w:t>Adequate</w:t>
            </w:r>
          </w:p>
        </w:tc>
        <w:tc>
          <w:tcPr>
            <w:tcW w:type="dxa" w:w="1440"/>
          </w:tcPr>
          <w:p>
            <w:r/>
            <w:r>
              <w:rPr>
                <w:sz w:val="18"/>
              </w:rPr>
              <w:t>Limited</w:t>
            </w:r>
          </w:p>
        </w:tc>
        <w:tc>
          <w:tcPr>
            <w:tcW w:type="dxa" w:w="1440"/>
          </w:tcPr>
          <w:p>
            <w:r/>
            <w:r>
              <w:rPr>
                <w:sz w:val="18"/>
              </w:rPr>
              <w:t>709%</w:t>
            </w:r>
          </w:p>
        </w:tc>
      </w:tr>
      <w:tr>
        <w:tc>
          <w:tcPr>
            <w:tcW w:type="dxa" w:w="1440"/>
          </w:tcPr>
          <w:p>
            <w:r/>
            <w:r>
              <w:rPr>
                <w:sz w:val="18"/>
              </w:rPr>
              <w:t>Pekin Life</w:t>
            </w:r>
          </w:p>
        </w:tc>
        <w:tc>
          <w:tcPr>
            <w:tcW w:type="dxa" w:w="1440"/>
          </w:tcPr>
          <w:p>
            <w:r/>
            <w:r>
              <w:rPr>
                <w:sz w:val="18"/>
              </w:rPr>
              <w:t>A-</w:t>
            </w:r>
          </w:p>
        </w:tc>
        <w:tc>
          <w:tcPr>
            <w:tcW w:type="dxa" w:w="1440"/>
          </w:tcPr>
          <w:p>
            <w:r/>
            <w:r>
              <w:rPr>
                <w:sz w:val="18"/>
              </w:rPr>
              <w:t>Very Strong</w:t>
            </w:r>
          </w:p>
        </w:tc>
        <w:tc>
          <w:tcPr>
            <w:tcW w:type="dxa" w:w="1440"/>
          </w:tcPr>
          <w:p>
            <w:r/>
            <w:r>
              <w:rPr>
                <w:sz w:val="18"/>
              </w:rPr>
              <w:t>Marginal</w:t>
            </w:r>
          </w:p>
        </w:tc>
        <w:tc>
          <w:tcPr>
            <w:tcW w:type="dxa" w:w="1440"/>
          </w:tcPr>
          <w:p>
            <w:r/>
            <w:r>
              <w:rPr>
                <w:sz w:val="18"/>
              </w:rPr>
              <w:t>Neutral</w:t>
            </w:r>
          </w:p>
        </w:tc>
        <w:tc>
          <w:tcPr>
            <w:tcW w:type="dxa" w:w="1440"/>
          </w:tcPr>
          <w:p>
            <w:r/>
            <w:r>
              <w:rPr>
                <w:sz w:val="18"/>
              </w:rPr>
              <w:t>493%</w:t>
            </w:r>
          </w:p>
        </w:tc>
      </w:tr>
      <w:tr>
        <w:tc>
          <w:tcPr>
            <w:tcW w:type="dxa" w:w="1440"/>
          </w:tcPr>
          <w:p>
            <w:r/>
            <w:r>
              <w:rPr>
                <w:sz w:val="18"/>
              </w:rPr>
              <w:t>Funeral Directors Life</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Limited</w:t>
            </w:r>
          </w:p>
        </w:tc>
        <w:tc>
          <w:tcPr>
            <w:tcW w:type="dxa" w:w="1440"/>
          </w:tcPr>
          <w:p>
            <w:r/>
            <w:r>
              <w:rPr>
                <w:sz w:val="18"/>
              </w:rPr>
              <w:t>376%</w:t>
            </w:r>
          </w:p>
        </w:tc>
      </w:tr>
      <w:tr>
        <w:tc>
          <w:tcPr>
            <w:tcW w:type="dxa" w:w="1440"/>
          </w:tcPr>
          <w:p>
            <w:r/>
            <w:r>
              <w:rPr>
                <w:sz w:val="18"/>
              </w:rPr>
              <w:t>Homesteaders Life</w:t>
            </w:r>
          </w:p>
        </w:tc>
        <w:tc>
          <w:tcPr>
            <w:tcW w:type="dxa" w:w="1440"/>
          </w:tcPr>
          <w:p>
            <w:r/>
            <w:r>
              <w:rPr>
                <w:sz w:val="18"/>
              </w:rPr>
              <w:t>A-</w:t>
            </w:r>
          </w:p>
        </w:tc>
        <w:tc>
          <w:tcPr>
            <w:tcW w:type="dxa" w:w="1440"/>
          </w:tcPr>
          <w:p>
            <w:r/>
            <w:r>
              <w:rPr>
                <w:sz w:val="18"/>
              </w:rPr>
              <w:t>Strong</w:t>
            </w:r>
          </w:p>
        </w:tc>
        <w:tc>
          <w:tcPr>
            <w:tcW w:type="dxa" w:w="1440"/>
          </w:tcPr>
          <w:p>
            <w:r/>
            <w:r>
              <w:rPr>
                <w:sz w:val="18"/>
              </w:rPr>
              <w:t>Adequate</w:t>
            </w:r>
          </w:p>
        </w:tc>
        <w:tc>
          <w:tcPr>
            <w:tcW w:type="dxa" w:w="1440"/>
          </w:tcPr>
          <w:p>
            <w:r/>
            <w:r>
              <w:rPr>
                <w:sz w:val="18"/>
              </w:rPr>
              <w:t>Neutral</w:t>
            </w:r>
          </w:p>
        </w:tc>
        <w:tc>
          <w:tcPr>
            <w:tcW w:type="dxa" w:w="1440"/>
          </w:tcPr>
          <w:p>
            <w:r/>
            <w:r>
              <w:rPr>
                <w:sz w:val="18"/>
              </w:rPr>
              <w:t>306%</w:t>
            </w:r>
          </w:p>
        </w:tc>
      </w:tr>
      <w:tr>
        <w:tc>
          <w:tcPr>
            <w:tcW w:type="dxa" w:w="1440"/>
          </w:tcPr>
          <w:p>
            <w:r/>
            <w:r>
              <w:rPr>
                <w:sz w:val="18"/>
              </w:rPr>
              <w:t>Atlantic American, American Southern</w:t>
            </w:r>
          </w:p>
        </w:tc>
        <w:tc>
          <w:tcPr>
            <w:tcW w:type="dxa" w:w="1440"/>
          </w:tcPr>
          <w:p>
            <w:r/>
            <w:r>
              <w:rPr>
                <w:sz w:val="18"/>
              </w:rPr>
              <w:t>A-</w:t>
            </w:r>
          </w:p>
        </w:tc>
        <w:tc>
          <w:tcPr>
            <w:tcW w:type="dxa" w:w="1440"/>
          </w:tcPr>
          <w:p>
            <w:r/>
            <w:r>
              <w:rPr>
                <w:sz w:val="18"/>
              </w:rPr>
              <w:t>Strong</w:t>
            </w:r>
          </w:p>
        </w:tc>
        <w:tc>
          <w:tcPr>
            <w:tcW w:type="dxa" w:w="1440"/>
          </w:tcPr>
          <w:p>
            <w:r/>
            <w:r>
              <w:rPr>
                <w:sz w:val="18"/>
              </w:rPr>
              <w:t>Adequate</w:t>
            </w:r>
          </w:p>
        </w:tc>
        <w:tc>
          <w:tcPr>
            <w:tcW w:type="dxa" w:w="1440"/>
          </w:tcPr>
          <w:p>
            <w:r/>
            <w:r>
              <w:rPr>
                <w:sz w:val="18"/>
              </w:rPr>
              <w:t>Neutral</w:t>
            </w:r>
          </w:p>
        </w:tc>
        <w:tc>
          <w:tcPr>
            <w:tcW w:type="dxa" w:w="1440"/>
          </w:tcPr>
          <w:p>
            <w:r/>
            <w:r>
              <w:rPr>
                <w:sz w:val="18"/>
              </w:rPr>
              <w:t>213%</w:t>
            </w:r>
          </w:p>
        </w:tc>
      </w:tr>
      <w:tr>
        <w:tc>
          <w:tcPr>
            <w:tcW w:type="dxa" w:w="1440"/>
          </w:tcPr>
          <w:p>
            <w:r/>
            <w:r>
              <w:rPr>
                <w:sz w:val="18"/>
              </w:rPr>
              <w:t>ManhattanLife, Assurance</w:t>
            </w:r>
          </w:p>
        </w:tc>
        <w:tc>
          <w:tcPr>
            <w:tcW w:type="dxa" w:w="1440"/>
          </w:tcPr>
          <w:p>
            <w:r/>
            <w:r>
              <w:rPr>
                <w:sz w:val="18"/>
              </w:rPr>
              <w:t>B++</w:t>
            </w:r>
          </w:p>
        </w:tc>
        <w:tc>
          <w:tcPr>
            <w:tcW w:type="dxa" w:w="1440"/>
          </w:tcPr>
          <w:p>
            <w:r/>
            <w:r>
              <w:rPr>
                <w:sz w:val="18"/>
              </w:rPr>
              <w:t>Adequate</w:t>
            </w:r>
          </w:p>
        </w:tc>
        <w:tc>
          <w:tcPr>
            <w:tcW w:type="dxa" w:w="1440"/>
          </w:tcPr>
          <w:p>
            <w:r/>
            <w:r>
              <w:rPr>
                <w:sz w:val="18"/>
              </w:rPr>
              <w:t>Strong</w:t>
            </w:r>
          </w:p>
        </w:tc>
        <w:tc>
          <w:tcPr>
            <w:tcW w:type="dxa" w:w="1440"/>
          </w:tcPr>
          <w:p>
            <w:r/>
            <w:r>
              <w:rPr>
                <w:sz w:val="18"/>
              </w:rPr>
              <w:t>Neutral</w:t>
            </w:r>
          </w:p>
        </w:tc>
        <w:tc>
          <w:tcPr>
            <w:tcW w:type="dxa" w:w="1440"/>
          </w:tcPr>
          <w:p>
            <w:r/>
            <w:r>
              <w:rPr>
                <w:sz w:val="18"/>
              </w:rPr>
              <w:t>859%</w:t>
            </w:r>
          </w:p>
        </w:tc>
      </w:tr>
      <w:tr>
        <w:tc>
          <w:tcPr>
            <w:tcW w:type="dxa" w:w="1440"/>
          </w:tcPr>
          <w:p>
            <w:r/>
            <w:r>
              <w:rPr>
                <w:sz w:val="18"/>
              </w:rPr>
              <w:t>Government Personnel Mutual</w:t>
            </w:r>
          </w:p>
        </w:tc>
        <w:tc>
          <w:tcPr>
            <w:tcW w:type="dxa" w:w="1440"/>
          </w:tcPr>
          <w:p>
            <w:r/>
            <w:r>
              <w:rPr>
                <w:sz w:val="18"/>
              </w:rPr>
              <w:t>B++</w:t>
            </w:r>
          </w:p>
        </w:tc>
        <w:tc>
          <w:tcPr>
            <w:tcW w:type="dxa" w:w="1440"/>
          </w:tcPr>
          <w:p>
            <w:r/>
            <w:r>
              <w:rPr>
                <w:sz w:val="18"/>
              </w:rPr>
              <w:t>Very Strong</w:t>
            </w:r>
          </w:p>
        </w:tc>
        <w:tc>
          <w:tcPr>
            <w:tcW w:type="dxa" w:w="1440"/>
          </w:tcPr>
          <w:p>
            <w:r/>
            <w:r>
              <w:rPr>
                <w:sz w:val="18"/>
              </w:rPr>
              <w:t>Marginal</w:t>
            </w:r>
          </w:p>
        </w:tc>
        <w:tc>
          <w:tcPr>
            <w:tcW w:type="dxa" w:w="1440"/>
          </w:tcPr>
          <w:p>
            <w:r/>
            <w:r>
              <w:rPr>
                <w:sz w:val="18"/>
              </w:rPr>
              <w:t>Neutral</w:t>
            </w:r>
          </w:p>
        </w:tc>
        <w:tc>
          <w:tcPr>
            <w:tcW w:type="dxa" w:w="1440"/>
          </w:tcPr>
          <w:p>
            <w:r/>
            <w:r>
              <w:rPr>
                <w:sz w:val="18"/>
              </w:rPr>
              <w:t>478%</w:t>
            </w:r>
          </w:p>
        </w:tc>
      </w:tr>
      <w:tr>
        <w:tc>
          <w:tcPr>
            <w:tcW w:type="dxa" w:w="1440"/>
          </w:tcPr>
          <w:p>
            <w:r/>
            <w:r>
              <w:rPr>
                <w:sz w:val="18"/>
              </w:rPr>
              <w:t>Investors Heritage</w:t>
            </w:r>
          </w:p>
        </w:tc>
        <w:tc>
          <w:tcPr>
            <w:tcW w:type="dxa" w:w="1440"/>
          </w:tcPr>
          <w:p>
            <w:r/>
            <w:r>
              <w:rPr>
                <w:sz w:val="18"/>
              </w:rPr>
              <w:t>B++</w:t>
            </w:r>
          </w:p>
        </w:tc>
        <w:tc>
          <w:tcPr>
            <w:tcW w:type="dxa" w:w="1440"/>
          </w:tcPr>
          <w:p>
            <w:r/>
            <w:r>
              <w:rPr>
                <w:sz w:val="18"/>
              </w:rPr>
              <w:t>Adequate</w:t>
            </w:r>
          </w:p>
        </w:tc>
        <w:tc>
          <w:tcPr>
            <w:tcW w:type="dxa" w:w="1440"/>
          </w:tcPr>
          <w:p>
            <w:r/>
            <w:r>
              <w:rPr>
                <w:sz w:val="18"/>
              </w:rPr>
              <w:t>Adequate</w:t>
            </w:r>
          </w:p>
        </w:tc>
        <w:tc>
          <w:tcPr>
            <w:tcW w:type="dxa" w:w="1440"/>
          </w:tcPr>
          <w:p>
            <w:r/>
            <w:r>
              <w:rPr>
                <w:sz w:val="18"/>
              </w:rPr>
              <w:t>Neutral</w:t>
            </w:r>
          </w:p>
        </w:tc>
        <w:tc>
          <w:tcPr>
            <w:tcW w:type="dxa" w:w="1440"/>
          </w:tcPr>
          <w:p>
            <w:r/>
            <w:r>
              <w:rPr>
                <w:sz w:val="18"/>
              </w:rPr>
              <w:t>351%</w:t>
            </w:r>
          </w:p>
        </w:tc>
      </w:tr>
      <w:tr>
        <w:tc>
          <w:tcPr>
            <w:tcW w:type="dxa" w:w="1440"/>
          </w:tcPr>
          <w:p>
            <w:r/>
            <w:r>
              <w:rPr>
                <w:sz w:val="18"/>
              </w:rPr>
              <w:t>ManhattanLife, Western United</w:t>
            </w:r>
          </w:p>
        </w:tc>
        <w:tc>
          <w:tcPr>
            <w:tcW w:type="dxa" w:w="1440"/>
          </w:tcPr>
          <w:p>
            <w:r/>
            <w:r>
              <w:rPr>
                <w:sz w:val="18"/>
              </w:rPr>
              <w:t>B++</w:t>
            </w:r>
          </w:p>
        </w:tc>
        <w:tc>
          <w:tcPr>
            <w:tcW w:type="dxa" w:w="1440"/>
          </w:tcPr>
          <w:p>
            <w:r/>
            <w:r>
              <w:rPr>
                <w:sz w:val="18"/>
              </w:rPr>
              <w:t>Adequate</w:t>
            </w:r>
          </w:p>
        </w:tc>
        <w:tc>
          <w:tcPr>
            <w:tcW w:type="dxa" w:w="1440"/>
          </w:tcPr>
          <w:p>
            <w:r/>
            <w:r>
              <w:rPr>
                <w:sz w:val="18"/>
              </w:rPr>
              <w:t>Strong</w:t>
            </w:r>
          </w:p>
        </w:tc>
        <w:tc>
          <w:tcPr>
            <w:tcW w:type="dxa" w:w="1440"/>
          </w:tcPr>
          <w:p>
            <w:r/>
            <w:r>
              <w:rPr>
                <w:sz w:val="18"/>
              </w:rPr>
              <w:t>Neutral</w:t>
            </w:r>
          </w:p>
        </w:tc>
        <w:tc>
          <w:tcPr>
            <w:tcW w:type="dxa" w:w="1440"/>
          </w:tcPr>
          <w:p>
            <w:r/>
            <w:r>
              <w:rPr>
                <w:sz w:val="18"/>
              </w:rPr>
              <w:t>342%</w:t>
            </w:r>
          </w:p>
        </w:tc>
      </w:tr>
      <w:tr>
        <w:tc>
          <w:tcPr>
            <w:tcW w:type="dxa" w:w="1440"/>
          </w:tcPr>
          <w:p>
            <w:r/>
            <w:r>
              <w:rPr>
                <w:sz w:val="18"/>
              </w:rPr>
              <w:t>Continental General</w:t>
            </w:r>
          </w:p>
        </w:tc>
        <w:tc>
          <w:tcPr>
            <w:tcW w:type="dxa" w:w="1440"/>
          </w:tcPr>
          <w:p>
            <w:r/>
            <w:r>
              <w:rPr>
                <w:sz w:val="18"/>
              </w:rPr>
              <w:t>B+</w:t>
            </w:r>
          </w:p>
        </w:tc>
        <w:tc>
          <w:tcPr>
            <w:tcW w:type="dxa" w:w="1440"/>
          </w:tcPr>
          <w:p>
            <w:r/>
            <w:r>
              <w:rPr>
                <w:sz w:val="18"/>
              </w:rPr>
              <w:t>Strong</w:t>
            </w:r>
          </w:p>
        </w:tc>
        <w:tc>
          <w:tcPr>
            <w:tcW w:type="dxa" w:w="1440"/>
          </w:tcPr>
          <w:p>
            <w:r/>
            <w:r>
              <w:rPr>
                <w:sz w:val="18"/>
              </w:rPr>
              <w:t>Adequate</w:t>
            </w:r>
          </w:p>
        </w:tc>
        <w:tc>
          <w:tcPr>
            <w:tcW w:type="dxa" w:w="1440"/>
          </w:tcPr>
          <w:p>
            <w:r/>
            <w:r>
              <w:rPr>
                <w:sz w:val="18"/>
              </w:rPr>
              <w:t>Very Limited</w:t>
            </w:r>
          </w:p>
        </w:tc>
        <w:tc>
          <w:tcPr>
            <w:tcW w:type="dxa" w:w="1440"/>
          </w:tcPr>
          <w:p>
            <w:r/>
            <w:r>
              <w:rPr>
                <w:sz w:val="18"/>
              </w:rPr>
              <w:t>371%</w:t>
            </w:r>
          </w:p>
        </w:tc>
      </w:tr>
      <w:tr>
        <w:tc>
          <w:tcPr>
            <w:tcW w:type="dxa" w:w="1440"/>
          </w:tcPr>
          <w:p>
            <w:r/>
            <w:r>
              <w:rPr>
                <w:sz w:val="18"/>
              </w:rPr>
              <w:t>Sentinel Security Life</w:t>
            </w:r>
          </w:p>
        </w:tc>
        <w:tc>
          <w:tcPr>
            <w:tcW w:type="dxa" w:w="1440"/>
          </w:tcPr>
          <w:p>
            <w:r/>
            <w:r>
              <w:rPr>
                <w:sz w:val="18"/>
              </w:rPr>
              <w:t>B</w:t>
            </w:r>
          </w:p>
        </w:tc>
        <w:tc>
          <w:tcPr>
            <w:tcW w:type="dxa" w:w="1440"/>
          </w:tcPr>
          <w:p>
            <w:r/>
            <w:r>
              <w:rPr>
                <w:sz w:val="18"/>
              </w:rPr>
              <w:t>Adequate</w:t>
            </w:r>
          </w:p>
        </w:tc>
        <w:tc>
          <w:tcPr>
            <w:tcW w:type="dxa" w:w="1440"/>
          </w:tcPr>
          <w:p>
            <w:r/>
            <w:r>
              <w:rPr>
                <w:sz w:val="18"/>
              </w:rPr>
              <w:t>Adequate</w:t>
            </w:r>
          </w:p>
        </w:tc>
        <w:tc>
          <w:tcPr>
            <w:tcW w:type="dxa" w:w="1440"/>
          </w:tcPr>
          <w:p>
            <w:r/>
            <w:r>
              <w:rPr>
                <w:sz w:val="18"/>
              </w:rPr>
              <w:t>Limited</w:t>
            </w:r>
          </w:p>
        </w:tc>
        <w:tc>
          <w:tcPr>
            <w:tcW w:type="dxa" w:w="1440"/>
          </w:tcPr>
          <w:p>
            <w:r/>
            <w:r>
              <w:rPr>
                <w:sz w:val="18"/>
              </w:rPr>
              <w:t>174%</w:t>
            </w:r>
          </w:p>
        </w:tc>
      </w:tr>
    </w:tbl>
    <w:p>
      <w:pPr>
        <w:spacing w:after="40"/>
      </w:pPr>
    </w:p>
    <w:p>
      <w:pPr>
        <w:spacing w:after="120"/>
      </w:pPr>
      <w:r>
        <w:rPr>
          <w:sz w:val="21"/>
        </w:rPr>
        <w:t>Two patterns stand out. First, capital does not sort the ratings. Globe Life holds our same A on a Strong balance sheet and a 316% RBC ratio, carried by its size and franchise. Guarantee Trust Life holds an A above 800% RBC. ManhattanLife sits at B++ with more reported capital than several A- carriers. What sorts the ratings is earnings and franchise. Second, we are a deliberate outlier in two directions. We over-index on capital, holding one of only seven Strongest grades in the sample and an RBC ratio in the top quartile. And we under-index on earnings, with a five-year return on equity near the bottom of the whole group, held at Adequate where most A-rated peers are graded Strong. The typical A-rated carrier is the mirror image of us, a Very Strong balance sheet paired with Strong earnings. We have held our A with capital and a believable plan where others hold it with profits.</w:t>
      </w:r>
    </w:p>
    <w:p>
      <w:pPr>
        <w:jc w:val="center"/>
      </w:pPr>
      <w:r>
        <w:drawing>
          <wp:inline xmlns:a="http://schemas.openxmlformats.org/drawingml/2006/main" xmlns:pic="http://schemas.openxmlformats.org/drawingml/2006/picture">
            <wp:extent cx="5577840" cy="2868603"/>
            <wp:docPr id="3" name="Picture 3"/>
            <wp:cNvGraphicFramePr>
              <a:graphicFrameLocks noChangeAspect="1"/>
            </wp:cNvGraphicFramePr>
            <a:graphic>
              <a:graphicData uri="http://schemas.openxmlformats.org/drawingml/2006/picture">
                <pic:pic>
                  <pic:nvPicPr>
                    <pic:cNvPr id="0" name="rp_captiers.png"/>
                    <pic:cNvPicPr/>
                  </pic:nvPicPr>
                  <pic:blipFill>
                    <a:blip r:embed="rId11"/>
                    <a:stretch>
                      <a:fillRect/>
                    </a:stretch>
                  </pic:blipFill>
                  <pic:spPr>
                    <a:xfrm>
                      <a:off x="0" y="0"/>
                      <a:ext cx="5577840" cy="2868603"/>
                    </a:xfrm>
                    <a:prstGeom prst="rect"/>
                  </pic:spPr>
                </pic:pic>
              </a:graphicData>
            </a:graphic>
          </wp:inline>
        </w:drawing>
      </w:r>
    </w:p>
    <w:p>
      <w:pPr>
        <w:spacing w:after="200"/>
        <w:jc w:val="center"/>
      </w:pPr>
      <w:r>
        <w:rPr>
          <w:i/>
          <w:color w:val="5C6B78"/>
          <w:sz w:val="18"/>
        </w:rPr>
        <w:t>Figure 3. Capital by balance-sheet tier across peers. We sit high today, which is the cushion the plan now spends down.</w:t>
      </w:r>
    </w:p>
    <w:p>
      <w:pPr>
        <w:spacing w:after="120"/>
      </w:pPr>
      <w:r>
        <w:rPr>
          <w:sz w:val="21"/>
        </w:rPr>
        <w:t>That comparison is also the warning. The capital we are about to draw down is the block we lean on hardest, and the earnings block we would fall back on is our weakest. The senior-market specialists that look most like us on the soft blocks, National Guardian, Funeral Directors, Homesteaders, GPM, ManhattanLife, cluster around A- and B++.</w:t>
      </w:r>
    </w:p>
    <w:p>
      <w:pPr>
        <w:spacing w:before="320" w:after="40"/>
      </w:pPr>
      <w:r>
        <w:rPr>
          <w:b/>
          <w:color w:val="0B1C2C"/>
          <w:sz w:val="25"/>
        </w:rPr>
        <w:t>Part III.  What realistically moves us</w:t>
      </w:r>
    </w:p>
    <w:p>
      <w:pPr>
        <w:spacing w:before="240" w:after="40"/>
      </w:pPr>
      <w:r>
        <w:rPr>
          <w:b/>
          <w:color w:val="2E5A88"/>
          <w:sz w:val="27"/>
        </w:rPr>
        <w:t>7.  Lever one: the balance sheet</w:t>
      </w:r>
    </w:p>
    <w:p>
      <w:pPr>
        <w:spacing w:after="120"/>
      </w:pPr>
      <w:r>
        <w:rPr>
          <w:sz w:val="21"/>
        </w:rPr>
        <w:t>If the RBC and BCAR decline costs us the Strongest grade, the math is clean. Strongest opens us at A. A grade of Very Strong, one tier down, opens at A-. A grade of Strong, two tiers down, also opens at A- on its strong end. So a slip in the balance-sheet grade, by one tier or two, most likely costs us one letter, from A to A-, as long as the franchise stays Neutral and earnings stay at Adequate.</w:t>
      </w:r>
    </w:p>
    <w:p>
      <w:pPr>
        <w:spacing w:after="120"/>
      </w:pPr>
      <w:r>
        <w:rPr>
          <w:sz w:val="21"/>
        </w:rPr>
        <w:t>Real carriers show this is survivable at A-. Globe Life runs a Strong balance sheet and holds A on the strength of its franchise. American Southern, in the Atlantic American group, runs a Strong balance sheet at about 213% RBC, well below where our trough lands, with the same Neutral franchise we hold, and Best rates it A-. A weaker balance sheet does not, by itself, take a carrier below A-. To fall below A- on capital alone, the balance sheet would have to drop all the way to Adequate, which is far from where our plan goes.</w:t>
      </w:r>
    </w:p>
    <w:p>
      <w:pPr>
        <w:spacing w:before="240" w:after="40"/>
      </w:pPr>
      <w:r>
        <w:rPr>
          <w:b/>
          <w:color w:val="2E5A88"/>
          <w:sz w:val="27"/>
        </w:rPr>
        <w:t>8.  Lever two: operating performance</w:t>
      </w:r>
    </w:p>
    <w:p>
      <w:pPr>
        <w:spacing w:after="120"/>
      </w:pPr>
      <w:r>
        <w:rPr>
          <w:sz w:val="21"/>
        </w:rPr>
        <w:t>The second lever is earnings, and Best is holding us at Adequate on a forecast: losses that crest and then ease as the Medicare Supplement block matures. As long as results track that forecast we stay at Adequate. If losses run well past it, the grade slips toward Marginal, and on its own that also costs us one letter, from A to A-, because our Strongest balance sheet cushions it.</w:t>
      </w:r>
    </w:p>
    <w:p>
      <w:pPr>
        <w:jc w:val="center"/>
      </w:pPr>
      <w:r>
        <w:drawing>
          <wp:inline xmlns:a="http://schemas.openxmlformats.org/drawingml/2006/main" xmlns:pic="http://schemas.openxmlformats.org/drawingml/2006/picture">
            <wp:extent cx="5577840" cy="2868603"/>
            <wp:docPr id="4" name="Picture 4"/>
            <wp:cNvGraphicFramePr>
              <a:graphicFrameLocks noChangeAspect="1"/>
            </wp:cNvGraphicFramePr>
            <a:graphic>
              <a:graphicData uri="http://schemas.openxmlformats.org/drawingml/2006/picture">
                <pic:pic>
                  <pic:nvPicPr>
                    <pic:cNvPr id="0" name="rp_earntiers.png"/>
                    <pic:cNvPicPr/>
                  </pic:nvPicPr>
                  <pic:blipFill>
                    <a:blip r:embed="rId12"/>
                    <a:stretch>
                      <a:fillRect/>
                    </a:stretch>
                  </pic:blipFill>
                  <pic:spPr>
                    <a:xfrm>
                      <a:off x="0" y="0"/>
                      <a:ext cx="5577840" cy="2868603"/>
                    </a:xfrm>
                    <a:prstGeom prst="rect"/>
                  </pic:spPr>
                </pic:pic>
              </a:graphicData>
            </a:graphic>
          </wp:inline>
        </w:drawing>
      </w:r>
    </w:p>
    <w:p>
      <w:pPr>
        <w:spacing w:after="200"/>
        <w:jc w:val="center"/>
      </w:pPr>
      <w:r>
        <w:rPr>
          <w:i/>
          <w:color w:val="5C6B78"/>
          <w:sz w:val="18"/>
        </w:rPr>
        <w:t>Figure 4. Earnings by operating tier. We run losses yet are held at Adequate, a judgement about the plan rather than this year's number.</w:t>
      </w:r>
    </w:p>
    <w:p>
      <w:pPr>
        <w:spacing w:after="120"/>
      </w:pPr>
      <w:r>
        <w:rPr>
          <w:sz w:val="21"/>
        </w:rPr>
        <w:t>Government Personnel Mutual shows what a Marginal grade looks like from a lower starting point. It runs a Very Strong balance sheet with Marginal earnings and is rated B++. Pekin has the very same grades and holds A-, because the committee gave it a one-notch lift. Same labels, different letters, which is a reminder that within each grade there is a range and the committee places carriers inside it.</w:t>
      </w:r>
    </w:p>
    <w:p>
      <w:pPr>
        <w:spacing w:after="120"/>
      </w:pPr>
      <w:r>
        <w:rPr>
          <w:sz w:val="21"/>
        </w:rPr>
        <w:t>Two features make the earnings lever easier to live with. We usually get warning, because a downgrade from A is almost always preceded by a move from Stable to a Negative outlook, which tends to give a year or more of lead time, and our outlook is Stable today. And the move is reversible, because the grade follows a trend, so a return to profit can win the letter back. The single number to watch is the combined ratio. It reached 116% in 2025, and the whole story turns on it bending back toward 100%. Early 2026 results are the first real test of whether that bend is starting, and if it is, that is the clearest evidence we can put in front of Best that the plan is working.</w:t>
      </w:r>
    </w:p>
    <w:p>
      <w:pPr>
        <w:spacing w:before="240" w:after="40"/>
      </w:pPr>
      <w:r>
        <w:rPr>
          <w:b/>
          <w:color w:val="2E5A88"/>
          <w:sz w:val="27"/>
        </w:rPr>
        <w:t>9.  The two levers together</w:t>
      </w:r>
    </w:p>
    <w:p>
      <w:pPr>
        <w:spacing w:after="120"/>
      </w:pPr>
      <w:r>
        <w:rPr>
          <w:sz w:val="21"/>
        </w:rPr>
        <w:t>The reason to take the balance-sheet lever seriously is what happens when both move at once. Each lever on its own costs one letter, to A-. Both together cost two, to B++. The math is direct: a Very Strong balance sheet with Marginal earnings opens at bbb+, which is B++. That is exactly GPM today.</w:t>
      </w:r>
    </w:p>
    <w:p>
      <w:pPr>
        <w:jc w:val="center"/>
      </w:pPr>
      <w:r>
        <w:drawing>
          <wp:inline xmlns:a="http://schemas.openxmlformats.org/drawingml/2006/main" xmlns:pic="http://schemas.openxmlformats.org/drawingml/2006/picture">
            <wp:extent cx="5577840" cy="2788920"/>
            <wp:docPr id="5" name="Picture 5"/>
            <wp:cNvGraphicFramePr>
              <a:graphicFrameLocks noChangeAspect="1"/>
            </wp:cNvGraphicFramePr>
            <a:graphic>
              <a:graphicData uri="http://schemas.openxmlformats.org/drawingml/2006/picture">
                <pic:pic>
                  <pic:nvPicPr>
                    <pic:cNvPr id="0" name="rp_ladder.png"/>
                    <pic:cNvPicPr/>
                  </pic:nvPicPr>
                  <pic:blipFill>
                    <a:blip r:embed="rId13"/>
                    <a:stretch>
                      <a:fillRect/>
                    </a:stretch>
                  </pic:blipFill>
                  <pic:spPr>
                    <a:xfrm>
                      <a:off x="0" y="0"/>
                      <a:ext cx="5577840" cy="2788920"/>
                    </a:xfrm>
                    <a:prstGeom prst="rect"/>
                  </pic:spPr>
                </pic:pic>
              </a:graphicData>
            </a:graphic>
          </wp:inline>
        </w:drawing>
      </w:r>
    </w:p>
    <w:p>
      <w:pPr>
        <w:spacing w:after="200"/>
        <w:jc w:val="center"/>
      </w:pPr>
      <w:r>
        <w:rPr>
          <w:i/>
          <w:color w:val="5C6B78"/>
          <w:sz w:val="18"/>
        </w:rPr>
        <w:t>Figure 5. Each lever on its own costs one letter. B++ takes both at the same time.</w:t>
      </w:r>
    </w:p>
    <w:p>
      <w:pPr>
        <w:spacing w:after="120"/>
      </w:pPr>
      <w:r>
        <w:rPr>
          <w:sz w:val="21"/>
        </w:rPr>
        <w:t>What makes this more than a remote tail for us is timing. The plan draws capital down to its trough around 2028, which is the same window in which the earnings story is most under test, before Medicare Supplement earnings are projected to turn positive in 2029. In other words, the plan stresses both levers in the same two years. We are also starting from the bottom of Adequate on earnings, so the earnings block has little room to absorb a capital slip. None of this makes B++ likely, and the warning signs and reversibility still apply, but it does mean the both-slip case is a real scenario to plan around rather than a corner we can dismiss. The table below is our own judgement for discussion, not model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Path</w:t>
            </w:r>
          </w:p>
        </w:tc>
        <w:tc>
          <w:tcPr>
            <w:tcW w:type="dxa" w:w="2880"/>
            <w:shd w:val="clear" w:fill="2E5A88"/>
          </w:tcPr>
          <w:p>
            <w:r/>
            <w:r>
              <w:rPr>
                <w:b/>
                <w:color w:val="FFFFFF"/>
                <w:sz w:val="18"/>
              </w:rPr>
              <w:t>Rough odds</w:t>
            </w:r>
          </w:p>
        </w:tc>
        <w:tc>
          <w:tcPr>
            <w:tcW w:type="dxa" w:w="2880"/>
            <w:shd w:val="clear" w:fill="2E5A88"/>
          </w:tcPr>
          <w:p>
            <w:r/>
            <w:r>
              <w:rPr>
                <w:b/>
                <w:color w:val="FFFFFF"/>
                <w:sz w:val="18"/>
              </w:rPr>
              <w:t>What it looks like</w:t>
            </w:r>
          </w:p>
        </w:tc>
      </w:tr>
      <w:tr>
        <w:tc>
          <w:tcPr>
            <w:tcW w:type="dxa" w:w="2880"/>
          </w:tcPr>
          <w:p>
            <w:r/>
            <w:r>
              <w:rPr>
                <w:sz w:val="18"/>
              </w:rPr>
              <w:t>Plan holds</w:t>
            </w:r>
          </w:p>
        </w:tc>
        <w:tc>
          <w:tcPr>
            <w:tcW w:type="dxa" w:w="2880"/>
          </w:tcPr>
          <w:p>
            <w:r/>
            <w:r>
              <w:rPr>
                <w:sz w:val="18"/>
              </w:rPr>
              <w:t>about 50%</w:t>
            </w:r>
          </w:p>
        </w:tc>
        <w:tc>
          <w:tcPr>
            <w:tcW w:type="dxa" w:w="2880"/>
          </w:tcPr>
          <w:p>
            <w:r/>
            <w:r>
              <w:rPr>
                <w:sz w:val="18"/>
              </w:rPr>
              <w:t>Capital and earnings track the plan, we stay A and Stable through 2030.</w:t>
            </w:r>
          </w:p>
        </w:tc>
      </w:tr>
      <w:tr>
        <w:tc>
          <w:tcPr>
            <w:tcW w:type="dxa" w:w="2880"/>
          </w:tcPr>
          <w:p>
            <w:r/>
            <w:r>
              <w:rPr>
                <w:sz w:val="18"/>
              </w:rPr>
              <w:t>A scare, no downgrade</w:t>
            </w:r>
          </w:p>
        </w:tc>
        <w:tc>
          <w:tcPr>
            <w:tcW w:type="dxa" w:w="2880"/>
          </w:tcPr>
          <w:p>
            <w:r/>
            <w:r>
              <w:rPr>
                <w:sz w:val="18"/>
              </w:rPr>
              <w:t>about 25%</w:t>
            </w:r>
          </w:p>
        </w:tc>
        <w:tc>
          <w:tcPr>
            <w:tcW w:type="dxa" w:w="2880"/>
          </w:tcPr>
          <w:p>
            <w:r/>
            <w:r>
              <w:rPr>
                <w:sz w:val="18"/>
              </w:rPr>
              <w:t>Outlook goes Negative around 2027 or 2028, then back to Stable by 2030 as earnings turn and capital rebuilds.</w:t>
            </w:r>
          </w:p>
        </w:tc>
      </w:tr>
      <w:tr>
        <w:tc>
          <w:tcPr>
            <w:tcW w:type="dxa" w:w="2880"/>
          </w:tcPr>
          <w:p>
            <w:r/>
            <w:r>
              <w:rPr>
                <w:sz w:val="18"/>
              </w:rPr>
              <w:t>A one-letter dip to A-</w:t>
            </w:r>
          </w:p>
        </w:tc>
        <w:tc>
          <w:tcPr>
            <w:tcW w:type="dxa" w:w="2880"/>
          </w:tcPr>
          <w:p>
            <w:r/>
            <w:r>
              <w:rPr>
                <w:sz w:val="18"/>
              </w:rPr>
              <w:t>about 20%</w:t>
            </w:r>
          </w:p>
        </w:tc>
        <w:tc>
          <w:tcPr>
            <w:tcW w:type="dxa" w:w="2880"/>
          </w:tcPr>
          <w:p>
            <w:r/>
            <w:r>
              <w:rPr>
                <w:sz w:val="18"/>
              </w:rPr>
              <w:t>The balance-sheet grade slips at the trough, or the earnings turn comes late. Recoverable as results improve.</w:t>
            </w:r>
          </w:p>
        </w:tc>
      </w:tr>
      <w:tr>
        <w:tc>
          <w:tcPr>
            <w:tcW w:type="dxa" w:w="2880"/>
          </w:tcPr>
          <w:p>
            <w:r/>
            <w:r>
              <w:rPr>
                <w:sz w:val="18"/>
              </w:rPr>
              <w:t>Below A- to B++</w:t>
            </w:r>
          </w:p>
        </w:tc>
        <w:tc>
          <w:tcPr>
            <w:tcW w:type="dxa" w:w="2880"/>
          </w:tcPr>
          <w:p>
            <w:r/>
            <w:r>
              <w:rPr>
                <w:sz w:val="18"/>
              </w:rPr>
              <w:t>about 5%</w:t>
            </w:r>
          </w:p>
        </w:tc>
        <w:tc>
          <w:tcPr>
            <w:tcW w:type="dxa" w:w="2880"/>
          </w:tcPr>
          <w:p>
            <w:r/>
            <w:r>
              <w:rPr>
                <w:sz w:val="18"/>
              </w:rPr>
              <w:t>Capital and earnings slip together near the trough. The real tail, and the one this paper is about.</w:t>
            </w:r>
          </w:p>
        </w:tc>
      </w:tr>
    </w:tbl>
    <w:p>
      <w:pPr>
        <w:spacing w:after="40"/>
      </w:pPr>
    </w:p>
    <w:p>
      <w:pPr>
        <w:spacing w:before="240" w:after="40"/>
      </w:pPr>
      <w:r>
        <w:rPr>
          <w:b/>
          <w:color w:val="2E5A88"/>
          <w:sz w:val="27"/>
        </w:rPr>
        <w:t>10.  Medicare Supplement concentration, an earnings risk more than a franchise one</w:t>
      </w:r>
    </w:p>
    <w:p>
      <w:pPr>
        <w:spacing w:after="120"/>
      </w:pPr>
      <w:r>
        <w:rPr>
          <w:sz w:val="21"/>
        </w:rPr>
        <w:t>Medicare Supplement is our largest line, and our sales are concentrated in our top states. The natural worry is that this concentration threatens our franchise grade. It is worth being precise about how it would actually hurt us, because the intuition points at the wrong block.</w:t>
      </w:r>
    </w:p>
    <w:p>
      <w:pPr>
        <w:spacing w:after="120"/>
      </w:pPr>
      <w:r>
        <w:rPr>
          <w:sz w:val="21"/>
        </w:rPr>
        <w:t>AM Best's business-profile grade is driven mostly by scale, market position, and product breadth, and pure geographic concentration rarely lowers a diversified carrier's grade on its own. The peers prove it. HCSC writes Medicare Supplement in only a handful of states and is assessed Favorable, carried by the scale of its overall health franchise. Pekin Life is a close match to us, multi-line with Medicare Supplement in its book and operating in 22 states but heavily concentrated in Illinois, and it holds Neutral, the same grade we do. Our own franchise is broader than either the small specialists or a single-state carrier, with multiple senior-market lines, more than 40 states, and several distribution channels. State concentration in one line is unlikely to move that grade.</w:t>
      </w:r>
    </w:p>
    <w:p>
      <w:pPr>
        <w:spacing w:after="120"/>
      </w:pPr>
      <w:r>
        <w:rPr>
          <w:sz w:val="21"/>
        </w:rPr>
        <w:t>Where the concentration would bite is earnings. A regulatory change, a wave of rate pressure, or a competitive move aimed at our top Medicare Supplement states would raise loss ratios and delay or reverse the very turn the whole rating depends on. That lands on operating performance, the block that is already most in play and the one that realistically moves us. The concentration is dangerous because it makes an earnings slip both more likely and deeper, not because it lowers our franchise grade. And if that earnings slip arrives near the capital trough, it is exactly the both-levers case from the previous section.</w:t>
      </w:r>
    </w:p>
    <w:p>
      <w:pPr>
        <w:jc w:val="center"/>
      </w:pPr>
      <w:r>
        <w:drawing>
          <wp:inline xmlns:a="http://schemas.openxmlformats.org/drawingml/2006/main" xmlns:pic="http://schemas.openxmlformats.org/drawingml/2006/picture">
            <wp:extent cx="5577840" cy="1792877"/>
            <wp:docPr id="6" name="Picture 6"/>
            <wp:cNvGraphicFramePr>
              <a:graphicFrameLocks noChangeAspect="1"/>
            </wp:cNvGraphicFramePr>
            <a:graphic>
              <a:graphicData uri="http://schemas.openxmlformats.org/drawingml/2006/picture">
                <pic:pic>
                  <pic:nvPicPr>
                    <pic:cNvPr id="0" name="rp_msstress.png"/>
                    <pic:cNvPicPr/>
                  </pic:nvPicPr>
                  <pic:blipFill>
                    <a:blip r:embed="rId14"/>
                    <a:stretch>
                      <a:fillRect/>
                    </a:stretch>
                  </pic:blipFill>
                  <pic:spPr>
                    <a:xfrm>
                      <a:off x="0" y="0"/>
                      <a:ext cx="5577840" cy="1792877"/>
                    </a:xfrm>
                    <a:prstGeom prst="rect"/>
                  </pic:spPr>
                </pic:pic>
              </a:graphicData>
            </a:graphic>
          </wp:inline>
        </w:drawing>
      </w:r>
    </w:p>
    <w:p>
      <w:pPr>
        <w:spacing w:after="200"/>
        <w:jc w:val="center"/>
      </w:pPr>
      <w:r>
        <w:rPr>
          <w:i/>
          <w:color w:val="5C6B78"/>
          <w:sz w:val="18"/>
        </w:rPr>
        <w:t>Figure 6. Med Supp concentration would move us through earnings, the block already in play, rather than through the franchise grade.</w:t>
      </w:r>
    </w:p>
    <w:p>
      <w:pPr>
        <w:spacing w:after="120"/>
      </w:pPr>
      <w:r>
        <w:rPr>
          <w:sz w:val="21"/>
        </w:rPr>
        <w:t>Pekin is the real-world template, through the right channel. Its concentration risk is property catastrophe in the Midwest, a different peril, but the shape is identical: a concentrated book, a shock in the form of severe storms, and the result was a move to a Negative outlook in 2024 driven by earnings pressure, since restored to Stable. The geographic concentration acted through earnings and the outlook, not through a franchise downgrade. For us the concentrated book is Medicare Supplement and the shock would be regulatory, rate, or competitive, but the mechanism is the same, which is why we watch this as an operating-performance risk.</w:t>
      </w:r>
    </w:p>
    <w:p>
      <w:pPr>
        <w:spacing w:before="240" w:after="40"/>
      </w:pPr>
      <w:r>
        <w:rPr>
          <w:b/>
          <w:color w:val="2E5A88"/>
          <w:sz w:val="27"/>
        </w:rPr>
        <w:t>11.  What we watch, and what is in our control</w:t>
      </w:r>
    </w:p>
    <w:p>
      <w:pPr>
        <w:pStyle w:val="ListBullet"/>
      </w:pPr>
      <w:r>
        <w:rPr>
          <w:sz w:val="21"/>
        </w:rPr>
        <w:t>The BCAR trajectory, because BCAR and not the RBC ratio sets the balance-sheet grade. If BCAR holds well above 25% through the trough, the Strongest grade is more likely to survive the RBC decline.</w:t>
      </w:r>
    </w:p>
    <w:p>
      <w:pPr>
        <w:pStyle w:val="ListBullet"/>
      </w:pPr>
      <w:r>
        <w:rPr>
          <w:sz w:val="21"/>
        </w:rPr>
        <w:t>The combined ratio, the single clearest sign of whether the earnings turn is arriving. A turn in 2026 is the best evidence we can give Best.</w:t>
      </w:r>
    </w:p>
    <w:p>
      <w:pPr>
        <w:pStyle w:val="ListBullet"/>
      </w:pPr>
      <w:r>
        <w:rPr>
          <w:sz w:val="21"/>
        </w:rPr>
        <w:t>Capital actions and their effect on the grade. The surplus note we are working toward raises capital and helps both the RBC ratio and BCAR, and Best treats access to it as a sign of financial flexibility. The trade-off is that a surplus note is slightly lower-quality capital than retained earnings and carries an interest cost, so it gives a small offset on quality. We also have no debt outstanding, FHLB Des Moines capacity, and reinsurance options, all of which Best already counts toward the balance sheet.</w:t>
      </w:r>
    </w:p>
    <w:p>
      <w:pPr>
        <w:pStyle w:val="ListBullet"/>
      </w:pPr>
      <w:r>
        <w:rPr>
          <w:sz w:val="21"/>
        </w:rPr>
        <w:t>The outlook, our earliest warning. A move from Stable to Negative is the signal that Best's view is shifting, and we would treat it as the point to act and to bring it to the board.</w:t>
      </w:r>
    </w:p>
    <w:p>
      <w:pPr>
        <w:spacing w:before="320" w:after="40"/>
      </w:pPr>
      <w:r>
        <w:rPr>
          <w:b/>
          <w:color w:val="0B1C2C"/>
          <w:sz w:val="25"/>
        </w:rPr>
        <w:t>Summary</w:t>
      </w:r>
    </w:p>
    <w:p>
      <w:pPr>
        <w:spacing w:after="120"/>
      </w:pPr>
      <w:r>
        <w:rPr>
          <w:sz w:val="21"/>
        </w:rPr>
        <w:t>The rating is built from four blocks, and capital sets the floor under the other three. We hold the top balance-sheet grade today, but our plan draws capital down toward a trough near 400% RBC around 2028, and that decline could pressure the grade. BCAR, the measure Best actually uses, has more room than the RBC ratio shows and may hold the grade, but a slip from Strongest to Very Strong is a real possibility we should plan around.</w:t>
      </w:r>
    </w:p>
    <w:p>
      <w:pPr>
        <w:spacing w:after="120"/>
      </w:pPr>
      <w:r>
        <w:rPr>
          <w:sz w:val="21"/>
        </w:rPr>
        <w:t>Two levers can move us, and each on its own costs one letter, to A-. A capital slip takes us to A-, and a Strong balance sheet at A- is survivable, as Globe Life and American Southern show. An earnings slip takes us to A- as well, and that move comes with warning and is reversible. The case that takes us to B++ is both levers slipping together, and the reason it is worth real attention is timing, because the plan stresses capital and earnings in the same two years, with earnings already at the bottom of Adequate. Our Medicare Supplement state concentration is best understood as part of that earnings risk. It would not lower our franchise grade, but it makes an earnings slip more likely and deeper, which is the slip that costs us a letter and, near the capital trough, the one that could reach B++. The things in our control are the combined-ratio turn, the BCAR trajectory, disciplined capital actions, and reading the outlook as the early signal it is.</w:t>
      </w:r>
    </w:p>
    <w:p>
      <w:pPr>
        <w:spacing w:before="280"/>
      </w:pPr>
      <w:r>
        <w:rPr>
          <w:i/>
          <w:color w:val="8A8A8A"/>
          <w:sz w:val="17"/>
        </w:rPr>
        <w:t>Sources and method. Wellabe's rating, grades, and financials come from the AM Best Credit Report for Wellabe Group, AMB #070369, effective May 2026, and prior reports. Peer figures come from a 50-carrier model built from public AM Best grades and S&amp;P Capital IQ and SNL statutory data. RBC is on the CAL basis. The RBC and BCAR forward paths and the likelihood ranges are illustrative, drawn from the 2026 strategic plan and our own judgement for discussion, not AM Best output. Peer-relative figures are sample approximations, not AM Best's internal composites.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