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1C2C"/>
          <w:sz w:val="26"/>
          <w:szCs w:val="26"/>
        </w:rPr>
        <w:t xml:space="preserve">OFFICE OF THE CHIEF ACTUARY</w:t>
      </w:r>
    </w:p>
    <w:p>
      <w:pPr>
        <w:spacing w:after="30"/>
      </w:pPr>
      <w:r>
        <w:rPr>
          <w:b/>
          <w:bCs/>
          <w:color w:val="0B1C2C"/>
          <w:sz w:val="30"/>
          <w:szCs w:val="30"/>
        </w:rPr>
        <w:t xml:space="preserve">Everything You Never Wanted to Know About AM Best and Financial Strength Ratings</w:t>
      </w:r>
    </w:p>
    <w:p>
      <w:pPr>
        <w:spacing w:after="200"/>
      </w:pPr>
      <w:r>
        <w:rPr>
          <w:i/>
          <w:iCs/>
          <w:color w:val="5A6470"/>
          <w:sz w:val="22"/>
          <w:szCs w:val="22"/>
        </w:rPr>
        <w:t xml:space="preserve">A field guide for the Executive Leadership Team</w:t>
      </w:r>
    </w:p>
    <w:p>
      <w:pPr>
        <w:spacing w:after="40"/>
      </w:pPr>
      <w:r>
        <w:rPr>
          <w:b/>
          <w:bCs/>
          <w:color w:val="0B1C2C"/>
          <w:sz w:val="19"/>
          <w:szCs w:val="19"/>
        </w:rPr>
        <w:t xml:space="preserve">Prepared for:  </w:t>
      </w:r>
      <w:r>
        <w:rPr>
          <w:color w:val="5A6470"/>
          <w:sz w:val="19"/>
          <w:szCs w:val="19"/>
        </w:rPr>
        <w:t xml:space="preserve">Executive Leadership Team</w:t>
      </w:r>
    </w:p>
    <w:p>
      <w:pPr>
        <w:spacing w:after="40"/>
      </w:pPr>
      <w:r>
        <w:rPr>
          <w:b/>
          <w:bCs/>
          <w:color w:val="0B1C2C"/>
          <w:sz w:val="19"/>
          <w:szCs w:val="19"/>
        </w:rPr>
        <w:t xml:space="preserve">Prepared by:  </w:t>
      </w:r>
      <w:r>
        <w:rPr>
          <w:color w:val="5A6470"/>
          <w:sz w:val="19"/>
          <w:szCs w:val="19"/>
        </w:rPr>
        <w:t xml:space="preserve">Office of the Chief Actuary</w:t>
      </w:r>
    </w:p>
    <w:p>
      <w:pPr>
        <w:spacing w:after="40"/>
      </w:pPr>
      <w:r>
        <w:rPr>
          <w:b/>
          <w:bCs/>
          <w:color w:val="0B1C2C"/>
          <w:sz w:val="19"/>
          <w:szCs w:val="19"/>
        </w:rPr>
        <w:t xml:space="preserve">Classification:  </w:t>
      </w:r>
      <w:r>
        <w:rPr>
          <w:color w:val="5A6470"/>
          <w:sz w:val="19"/>
          <w:szCs w:val="19"/>
        </w:rPr>
        <w:t xml:space="preserve">Internal, Confidential</w:t>
      </w:r>
    </w:p>
    <w:p>
      <w:pPr>
        <w:spacing w:after="40"/>
      </w:pPr>
      <w:r>
        <w:rPr>
          <w:b/>
          <w:bCs/>
          <w:color w:val="0B1C2C"/>
          <w:sz w:val="19"/>
          <w:szCs w:val="19"/>
        </w:rPr>
        <w:t xml:space="preserve">Rating data:  </w:t>
      </w:r>
      <w:r>
        <w:rPr>
          <w:color w:val="5A6470"/>
          <w:sz w:val="19"/>
          <w:szCs w:val="19"/>
        </w:rPr>
        <w:t xml:space="preserve">AM Best Credit Report, Wellabe Group (AMB #070369), effective May 2026</w:t>
      </w:r>
    </w:p>
    <w:p>
      <w:pPr>
        <w:pBdr>
          <w:bottom w:val="single" w:color="2E5A88" w:sz="8" w:space="2"/>
        </w:pBdr>
        <w:spacing w:after="60" w:before="120"/>
      </w:pPr>
    </w:p>
    <w:p>
      <w:pPr>
        <w:pStyle w:val="Heading1"/>
        <w:spacing w:after="140" w:before="300"/>
      </w:pPr>
      <w:r>
        <w:t xml:space="preserve">Contents</w:t>
      </w:r>
    </w:p>
    <w:p>
      <w:pPr>
        <w:spacing w:after="50" w:line="264"/>
      </w:pPr>
      <w:r>
        <w:rPr>
          <w:b/>
          <w:bCs/>
          <w:color w:val="0B1C2C"/>
          <w:sz w:val="20"/>
          <w:szCs w:val="20"/>
        </w:rPr>
        <w:t xml:space="preserve">Part I. How the rating works</w:t>
      </w:r>
    </w:p>
    <w:p>
      <w:pPr>
        <w:spacing w:after="50" w:line="264"/>
      </w:pPr>
      <w:r>
        <w:rPr>
          <w:b w:val="false"/>
          <w:bCs w:val="false"/>
          <w:color w:val="5A6470"/>
          <w:sz w:val="20"/>
          <w:szCs w:val="20"/>
        </w:rPr>
        <w:t xml:space="preserve">    1.  Why our rating matters, and in which channels</w:t>
      </w:r>
    </w:p>
    <w:p>
      <w:pPr>
        <w:spacing w:after="50" w:line="264"/>
      </w:pPr>
      <w:r>
        <w:rPr>
          <w:b w:val="false"/>
          <w:bCs w:val="false"/>
          <w:color w:val="5A6470"/>
          <w:sz w:val="20"/>
          <w:szCs w:val="20"/>
        </w:rPr>
        <w:t xml:space="preserve">    2.  Two capital yardsticks, and the distinction that trips people up</w:t>
      </w:r>
    </w:p>
    <w:p>
      <w:pPr>
        <w:spacing w:after="50" w:line="264"/>
      </w:pPr>
      <w:r>
        <w:rPr>
          <w:b w:val="false"/>
          <w:bCs w:val="false"/>
          <w:color w:val="5A6470"/>
          <w:sz w:val="20"/>
          <w:szCs w:val="20"/>
        </w:rPr>
        <w:t xml:space="preserve">    3.  How AM Best builds the rating</w:t>
      </w:r>
    </w:p>
    <w:p>
      <w:pPr>
        <w:spacing w:after="50" w:line="264"/>
      </w:pPr>
      <w:r>
        <w:rPr>
          <w:b w:val="false"/>
          <w:bCs w:val="false"/>
          <w:color w:val="5A6470"/>
          <w:sz w:val="20"/>
          <w:szCs w:val="20"/>
        </w:rPr>
        <w:t xml:space="preserve">    4.  What makes each category better or worse</w:t>
      </w:r>
    </w:p>
    <w:p>
      <w:pPr>
        <w:spacing w:after="50" w:line="264"/>
      </w:pPr>
      <w:r>
        <w:rPr>
          <w:b/>
          <w:bCs/>
          <w:color w:val="0B1C2C"/>
          <w:sz w:val="20"/>
          <w:szCs w:val="20"/>
        </w:rPr>
        <w:t xml:space="preserve">Part II. Where Wellabe stands and what can move it</w:t>
      </w:r>
    </w:p>
    <w:p>
      <w:pPr>
        <w:spacing w:after="50" w:line="264"/>
      </w:pPr>
      <w:r>
        <w:rPr>
          <w:b w:val="false"/>
          <w:bCs w:val="false"/>
          <w:color w:val="5A6470"/>
          <w:sz w:val="20"/>
          <w:szCs w:val="20"/>
        </w:rPr>
        <w:t xml:space="preserve">    5.  Where we stand today</w:t>
      </w:r>
    </w:p>
    <w:p>
      <w:pPr>
        <w:spacing w:after="50" w:line="264"/>
      </w:pPr>
      <w:r>
        <w:rPr>
          <w:b w:val="false"/>
          <w:bCs w:val="false"/>
          <w:color w:val="5A6470"/>
          <w:sz w:val="20"/>
          <w:szCs w:val="20"/>
        </w:rPr>
        <w:t xml:space="preserve">    6.  The line that matters: staying above B++</w:t>
      </w:r>
    </w:p>
    <w:p>
      <w:pPr>
        <w:spacing w:after="50" w:line="264"/>
      </w:pPr>
      <w:r>
        <w:rPr>
          <w:b w:val="false"/>
          <w:bCs w:val="false"/>
          <w:color w:val="5A6470"/>
          <w:sz w:val="20"/>
          <w:szCs w:val="20"/>
        </w:rPr>
        <w:t xml:space="preserve">    7.  Can our balance sheet strength slip from Strongest?</w:t>
      </w:r>
    </w:p>
    <w:p>
      <w:pPr>
        <w:spacing w:after="50" w:line="264"/>
      </w:pPr>
      <w:r>
        <w:rPr>
          <w:b w:val="false"/>
          <w:bCs w:val="false"/>
          <w:color w:val="5A6470"/>
          <w:sz w:val="20"/>
          <w:szCs w:val="20"/>
        </w:rPr>
        <w:t xml:space="preserve">    8.  The real risk: operating performance and the growth bet</w:t>
      </w:r>
    </w:p>
    <w:p>
      <w:pPr>
        <w:spacing w:after="50" w:line="264"/>
      </w:pPr>
      <w:r>
        <w:rPr>
          <w:b w:val="false"/>
          <w:bCs w:val="false"/>
          <w:color w:val="5A6470"/>
          <w:sz w:val="20"/>
          <w:szCs w:val="20"/>
        </w:rPr>
        <w:t xml:space="preserve">    9.  ERM: it stays Appropriate, so the risk is execution</w:t>
      </w:r>
    </w:p>
    <w:p>
      <w:pPr>
        <w:spacing w:after="50" w:line="264"/>
      </w:pPr>
      <w:r>
        <w:rPr>
          <w:b w:val="false"/>
          <w:bCs w:val="false"/>
          <w:color w:val="5A6470"/>
          <w:sz w:val="20"/>
          <w:szCs w:val="20"/>
        </w:rPr>
        <w:t xml:space="preserve">    10. Business profile and the diversification question</w:t>
      </w:r>
    </w:p>
    <w:p>
      <w:pPr>
        <w:spacing w:after="50" w:line="264"/>
      </w:pPr>
      <w:r>
        <w:rPr>
          <w:b w:val="false"/>
          <w:bCs w:val="false"/>
          <w:color w:val="5A6470"/>
          <w:sz w:val="20"/>
          <w:szCs w:val="20"/>
        </w:rPr>
        <w:t xml:space="preserve">    11. What the peers tell us</w:t>
      </w:r>
    </w:p>
    <w:p>
      <w:pPr>
        <w:spacing w:after="50" w:line="264"/>
      </w:pPr>
      <w:r>
        <w:rPr>
          <w:b w:val="false"/>
          <w:bCs w:val="false"/>
          <w:color w:val="5A6470"/>
          <w:sz w:val="20"/>
          <w:szCs w:val="20"/>
        </w:rPr>
        <w:t xml:space="preserve">    12. Summary</w:t>
      </w:r>
    </w:p>
    <w:p>
      <w:pPr>
        <w:spacing w:after="50" w:line="264"/>
      </w:pPr>
      <w:r>
        <w:rPr>
          <w:b w:val="false"/>
          <w:bCs w:val="false"/>
          <w:color w:val="5A6470"/>
          <w:sz w:val="20"/>
          <w:szCs w:val="20"/>
        </w:rPr>
        <w:t xml:space="preserve">Sources</w:t>
      </w:r>
    </w:p>
    <w:p>
      <w:r>
        <w:br w:type="page"/>
      </w:r>
    </w:p>
    <w:p>
      <w:pPr>
        <w:spacing w:after="120"/>
      </w:pPr>
      <w:r>
        <w:rPr>
          <w:b/>
          <w:bCs/>
          <w:color w:val="0B1C2C"/>
          <w:sz w:val="24"/>
          <w:szCs w:val="24"/>
        </w:rPr>
        <w:t xml:space="preserve">PART I.  HOW THE RATING WORKS</w:t>
      </w:r>
    </w:p>
    <w:p>
      <w:pPr>
        <w:pStyle w:val="Heading1"/>
        <w:spacing w:after="140" w:before="300"/>
      </w:pPr>
      <w:r>
        <w:t xml:space="preserve">1.  Why our rating matters, and in which channels</w:t>
      </w:r>
    </w:p>
    <w:p>
      <w:pPr>
        <w:spacing w:after="120" w:line="276"/>
      </w:pPr>
      <w:r>
        <w:t xml:space="preserve">Our AM Best financial strength rating is a business asset, and it is worth understanding what it does and does not buy us. The headline point for us specifically: the value of the rating depends heavily on how we distribute, and our distribution is narrow. We sell almost entirely through independent marketing organizations and independent agents, and through preneed funeral homes. We do not sell through banks or broker-dealers, and we do not write group or annuity products with long-duration commitments where buyers screen hard on a minimum rating.</w:t>
      </w:r>
    </w:p>
    <w:p>
      <w:pPr>
        <w:spacing w:after="120" w:line="276"/>
      </w:pPr>
      <w:r>
        <w:t xml:space="preserve">That matters, because the common industry rule that a carrier must be rated A- or better to get shelf space comes mostly from the bank, broker-dealer, and annuity world. [3] In our channels the rule is softer. In independent-agent Medicare Supplement and supplemental health, the product is largely standardized and backed by state guaranty funds, so agents place business on price, commissions, underwriting speed, and service more than on the rating letter.</w:t>
      </w:r>
    </w:p>
    <w:p>
      <w:pPr>
        <w:spacing w:after="120" w:line="276"/>
      </w:pPr>
      <w:r>
        <w:t xml:space="preserve">Reinsurance is a different kind of relationship. We do not sell product through it. We both assume and cede business, and our rating is one of the things counterparties weigh when they decide whether, and on what terms, to do that business with us. The rating works the same way when we raise capital and when we partner. We are currently in the market to issue a surplus note, and our rating directly affects whether we can place it and at what cost. It also shapes how other carriers view us as a partner, including the nationally recognized carriers whose products we import and distribute.</w:t>
      </w:r>
    </w:p>
    <w:p>
      <w:pPr>
        <w:spacing w:after="120" w:line="276"/>
      </w:pPr>
      <w:r>
        <w:t xml:space="preserve">So the rating still matters to us. Its value is concentrated in preneed credibility, reinsurance and partnership terms, our cost of raising capital, and the general strength of our balance-sheet story, rather than in basic agent shelf access.</w:t>
      </w:r>
    </w:p>
    <w:p>
      <w:pPr>
        <w:pStyle w:val="Heading1"/>
        <w:spacing w:after="140" w:before="300"/>
      </w:pPr>
      <w:r>
        <w:t xml:space="preserve">2.  Two capital yardsticks, and the distinction that trips people up</w:t>
      </w:r>
    </w:p>
    <w:p>
      <w:pPr>
        <w:spacing w:after="120" w:line="276"/>
      </w:pPr>
      <w:r>
        <w:t xml:space="preserve">Two different organizations measure our capital adequacy with two different formulas, and AM Best draws one further distinction inside its own framework that is the single thing people most often get wrong. Keeping all three straight avoids most of the confusion in these conversations.</w:t>
      </w:r>
    </w:p>
    <w:p>
      <w:pPr>
        <w:pStyle w:val="Heading2"/>
        <w:spacing w:after="100" w:before="200"/>
      </w:pPr>
      <w:r>
        <w:t xml:space="preserve">NAIC Risk-Based Capital, quoted on the CAL basis</w:t>
      </w:r>
    </w:p>
    <w:p>
      <w:pPr>
        <w:spacing w:after="120" w:line="276"/>
      </w:pPr>
      <w:r>
        <w:t xml:space="preserve">RBC is the regulator's capital floor. The formula produces an Authorized Control Level (ACL), and our Total Adjusted Capital is measured against it. We quote our ratio on the Company Action Level (CAL) basis, where CAL equals two times ACL, so the ratio is Total Adjusted Capital divided by the Company Action Level RBC. That is the number we report and the basis the rest of this document uses. On the CAL basis the regulatory ladder reads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Regulatory level (CAL basis)</w:t>
            </w:r>
          </w:p>
        </w:tc>
        <w:tc>
          <w:tcPr>
            <w:tcW w:type="dxa" w:w="24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Ratio (TAC ÷ CAL)</w:t>
            </w:r>
          </w:p>
        </w:tc>
        <w:tc>
          <w:tcPr>
            <w:tcW w:type="dxa" w:w="356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What happens</w:t>
            </w:r>
          </w:p>
        </w:tc>
      </w:tr>
      <w:tr>
        <w:tc>
          <w:tcPr>
            <w:tcW w:type="dxa" w:w="3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b/>
                <w:bCs/>
                <w:sz w:val="19"/>
                <w:szCs w:val="19"/>
              </w:rPr>
              <w:t xml:space="preserve">Company Action Level</w:t>
            </w:r>
          </w:p>
        </w:tc>
        <w:tc>
          <w:tcPr>
            <w:tcW w:type="dxa" w:w="2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below 100%</w:t>
            </w:r>
          </w:p>
        </w:tc>
        <w:tc>
          <w:tcPr>
            <w:tcW w:type="dxa" w:w="3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File a corrective plan</w:t>
            </w:r>
          </w:p>
        </w:tc>
      </w:tr>
      <w:tr>
        <w:tc>
          <w:tcPr>
            <w:tcW w:type="dxa" w:w="34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b/>
                <w:bCs/>
                <w:sz w:val="19"/>
                <w:szCs w:val="19"/>
              </w:rPr>
              <w:t xml:space="preserve">Regulatory Action Level</w:t>
            </w:r>
          </w:p>
        </w:tc>
        <w:tc>
          <w:tcPr>
            <w:tcW w:type="dxa" w:w="24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below 75%</w:t>
            </w:r>
          </w:p>
        </w:tc>
        <w:tc>
          <w:tcPr>
            <w:tcW w:type="dxa" w:w="356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Regulator prescribes action</w:t>
            </w:r>
          </w:p>
        </w:tc>
      </w:tr>
      <w:tr>
        <w:tc>
          <w:tcPr>
            <w:tcW w:type="dxa" w:w="3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b/>
                <w:bCs/>
                <w:sz w:val="19"/>
                <w:szCs w:val="19"/>
              </w:rPr>
              <w:t xml:space="preserve">Authorized Control Level</w:t>
            </w:r>
          </w:p>
        </w:tc>
        <w:tc>
          <w:tcPr>
            <w:tcW w:type="dxa" w:w="2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below 50%</w:t>
            </w:r>
          </w:p>
        </w:tc>
        <w:tc>
          <w:tcPr>
            <w:tcW w:type="dxa" w:w="3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Regulator may take control</w:t>
            </w:r>
          </w:p>
        </w:tc>
      </w:tr>
      <w:tr>
        <w:tc>
          <w:tcPr>
            <w:tcW w:type="dxa" w:w="34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b/>
                <w:bCs/>
                <w:sz w:val="19"/>
                <w:szCs w:val="19"/>
              </w:rPr>
              <w:t xml:space="preserve">Mandatory Control Level</w:t>
            </w:r>
          </w:p>
        </w:tc>
        <w:tc>
          <w:tcPr>
            <w:tcW w:type="dxa" w:w="24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below 35%</w:t>
            </w:r>
          </w:p>
        </w:tc>
        <w:tc>
          <w:tcPr>
            <w:tcW w:type="dxa" w:w="356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Regulator must take control</w:t>
            </w:r>
          </w:p>
        </w:tc>
      </w:tr>
    </w:tbl>
    <w:p>
      <w:pPr>
        <w:spacing w:after="80"/>
      </w:pPr>
    </w:p>
    <w:p>
      <w:pPr>
        <w:spacing w:after="120" w:line="276"/>
      </w:pPr>
      <w:r>
        <w:t xml:space="preserve">A healthy carrier runs well above 100% on this basis. Once a company is comfortably above the floor, roughly 150% or higher, the regulator takes no action and has no concern, though it continues to receive and review the filing every year. The practical takeaway is that RBC is a floor and an early-warning tool. It does not rank healthy carriers against each other, and once a company is well above the floor the number says little about relative strength.</w:t>
      </w:r>
    </w:p>
    <w:p>
      <w:pPr>
        <w:pStyle w:val="Heading2"/>
        <w:spacing w:after="100" w:before="200"/>
      </w:pPr>
      <w:r>
        <w:t xml:space="preserve">Best's Capital Adequacy Ratio (BCAR)</w:t>
      </w:r>
    </w:p>
    <w:p>
      <w:pPr>
        <w:spacing w:after="120" w:line="276"/>
      </w:pPr>
      <w:r>
        <w:t xml:space="preserve">AM Best does not use NAIC RBC to set our rating. It runs its own capital model, BCAR, and the idea behind it is simple. [4] AM Best imagines a series of progressively worse years, from a routine bad year up to a genuine catastrophe, and checks whether our capital would still be standing after each one. The worse the year a carrier can absorb and still have capital left over, the stronger its assessment. AM Best describes the severity of these imagined years as confidence levels. The most severe one it uses, the 99.6% level, is roughly a one-in-250-year loss. A carrier that still has capital to spare after that kind of stress earns the top assessment. The published thresholds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tblHeader/>
        </w:trPr>
        <w:tc>
          <w:tcPr>
            <w:tcW w:type="dxa" w:w="436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Capital strength (BCAR)</w:t>
            </w:r>
          </w:p>
        </w:tc>
        <w:tc>
          <w:tcPr>
            <w:tcW w:type="dxa" w:w="50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BCAR score required</w:t>
            </w:r>
          </w:p>
        </w:tc>
      </w:tr>
      <w:tr>
        <w:tc>
          <w:tcPr>
            <w:tcW w:type="dxa" w:w="4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b/>
                <w:bCs/>
                <w:sz w:val="19"/>
                <w:szCs w:val="19"/>
              </w:rPr>
              <w:t xml:space="preserve">Strongest</w:t>
            </w:r>
          </w:p>
        </w:tc>
        <w:tc>
          <w:tcPr>
            <w:tcW w:type="dxa" w:w="5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Above 25% at the 99.6% VaR level</w:t>
            </w:r>
          </w:p>
        </w:tc>
      </w:tr>
      <w:tr>
        <w:tc>
          <w:tcPr>
            <w:tcW w:type="dxa" w:w="436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b/>
                <w:bCs/>
                <w:sz w:val="19"/>
                <w:szCs w:val="19"/>
              </w:rPr>
              <w:t xml:space="preserve">Very Strong</w:t>
            </w:r>
          </w:p>
        </w:tc>
        <w:tc>
          <w:tcPr>
            <w:tcW w:type="dxa" w:w="50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Above 10% at the 99.6% VaR level</w:t>
            </w:r>
          </w:p>
        </w:tc>
      </w:tr>
      <w:tr>
        <w:tc>
          <w:tcPr>
            <w:tcW w:type="dxa" w:w="4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b/>
                <w:bCs/>
                <w:sz w:val="19"/>
                <w:szCs w:val="19"/>
              </w:rPr>
              <w:t xml:space="preserve">Strong</w:t>
            </w:r>
          </w:p>
        </w:tc>
        <w:tc>
          <w:tcPr>
            <w:tcW w:type="dxa" w:w="5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Above 0% at the 99.6% VaR level</w:t>
            </w:r>
          </w:p>
        </w:tc>
      </w:tr>
      <w:tr>
        <w:tc>
          <w:tcPr>
            <w:tcW w:type="dxa" w:w="436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b/>
                <w:bCs/>
                <w:sz w:val="19"/>
                <w:szCs w:val="19"/>
              </w:rPr>
              <w:t xml:space="preserve">Adequate</w:t>
            </w:r>
          </w:p>
        </w:tc>
        <w:tc>
          <w:tcPr>
            <w:tcW w:type="dxa" w:w="50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Above 0% at the 99.5% VaR level</w:t>
            </w:r>
          </w:p>
        </w:tc>
      </w:tr>
      <w:tr>
        <w:tc>
          <w:tcPr>
            <w:tcW w:type="dxa" w:w="4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b/>
                <w:bCs/>
                <w:sz w:val="19"/>
                <w:szCs w:val="19"/>
              </w:rPr>
              <w:t xml:space="preserve">Weak / Very Weak</w:t>
            </w:r>
          </w:p>
        </w:tc>
        <w:tc>
          <w:tcPr>
            <w:tcW w:type="dxa" w:w="5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Positive only at the 99% or 95% VaR level</w:t>
            </w:r>
          </w:p>
        </w:tc>
      </w:tr>
    </w:tbl>
    <w:p>
      <w:pPr>
        <w:spacing w:after="80"/>
      </w:pPr>
    </w:p>
    <w:p>
      <w:pPr>
        <w:spacing w:after="120" w:line="276"/>
      </w:pPr>
      <w:r>
        <w:t xml:space="preserve">BCAR has a ceiling. Once a carrier is above 25% at the 99.6% VaR level it is at the strongest level of capitalization, and additional capital does not improve the score. This is why, above the floor, holding more capital does not buy a better rating. For reference, our own BCAR is 67.3% at the 99.6% VaR level, far beyond the 25% needed for the top tier. [1]</w:t>
      </w:r>
    </w:p>
    <w:p>
      <w:pPr>
        <w:pStyle w:val="Heading2"/>
        <w:spacing w:after="100" w:before="200"/>
      </w:pPr>
      <w:r>
        <w:t xml:space="preserve">The distinction that trips people up: BCAR is not the same as the balance-sheet assessment</w:t>
      </w:r>
    </w:p>
    <w:p>
      <w:pPr>
        <w:spacing w:after="120" w:line="276"/>
      </w:pPr>
      <w:r>
        <w:t xml:space="preserve">This is the one to internalize. “Strongest” as a </w:t>
      </w:r>
      <w:r>
        <w:rPr>
          <w:i/>
          <w:iCs/>
        </w:rPr>
        <w:t xml:space="preserve">BCAR</w:t>
      </w:r>
      <w:r>
        <w:t xml:space="preserve"> result and “Strongest” as an overall </w:t>
      </w:r>
      <w:r>
        <w:rPr>
          <w:i/>
          <w:iCs/>
        </w:rPr>
        <w:t xml:space="preserve">balance-sheet assessment</w:t>
      </w:r>
      <w:r>
        <w:t xml:space="preserve"> are two different conclusions, and a carrier can earn the first without earning the second. BCAR measures capital quantity under stress. The balance-sheet assessment starts there, then also weighs capital </w:t>
      </w:r>
      <w:r>
        <w:rPr>
          <w:i/>
          <w:iCs/>
        </w:rPr>
        <w:t xml:space="preserve">quality</w:t>
      </w:r>
      <w:r>
        <w:t xml:space="preserve">, asset risk, reserve adequacy, liquidity, and holding-company factors. A carrier can sit at the strongest BCAR level and still land one tier lower on the overall balance sheet if those other factors drag.</w:t>
      </w:r>
    </w:p>
    <w:p>
      <w:pPr>
        <w:spacing w:after="120" w:line="276"/>
      </w:pPr>
      <w:r>
        <w:t xml:space="preserve">Mutual of Omaha is the clean example. AM Best assesses its risk-adjusted capitalization at the </w:t>
      </w:r>
      <w:r>
        <w:rPr>
          <w:i/>
          <w:iCs/>
        </w:rPr>
        <w:t xml:space="preserve">strongest</w:t>
      </w:r>
      <w:r>
        <w:t xml:space="preserve"> level on BCAR, yet its </w:t>
      </w:r>
      <w:r>
        <w:rPr>
          <w:i/>
          <w:iCs/>
        </w:rPr>
        <w:t xml:space="preserve">overall</w:t>
      </w:r>
      <w:r>
        <w:t xml:space="preserve"> balance sheet is assessed </w:t>
      </w:r>
      <w:r>
        <w:rPr>
          <w:b/>
          <w:bCs/>
        </w:rPr>
        <w:t xml:space="preserve">Very Strong</w:t>
      </w:r>
      <w:r>
        <w:t xml:space="preserve"> — one tier below ours — because of operating leverage from its funding-agreement-backed-note program and a heavier real-estate-related asset mix. [7] Our own report assesses us at Strongest on both, but the distinction is why we cannot read across from a single capital number, ours or anyone else's. [1]</w:t>
      </w:r>
    </w:p>
    <w:p>
      <w:pPr>
        <w:pStyle w:val="Heading2"/>
        <w:spacing w:after="100" w:before="200"/>
      </w:pPr>
      <w:r>
        <w:t xml:space="preserve">What the peer numbers actually show</w:t>
      </w:r>
    </w:p>
    <w:p>
      <w:pPr>
        <w:spacing w:after="120" w:line="276"/>
      </w:pPr>
      <w:r>
        <w:t xml:space="preserve">Line up three carriers and a useful, slightly uncomfortable pattern appears. [5][6][7]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50"/>
        <w:gridCol w:w="2400"/>
        <w:gridCol w:w="2410"/>
      </w:tblGrid>
      <w:tr>
        <w:trPr>
          <w:tblHeader/>
        </w:trPr>
        <w:tc>
          <w:tcPr>
            <w:tcW w:type="dxa" w:w="24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Carrier</w:t>
            </w:r>
          </w:p>
        </w:tc>
        <w:tc>
          <w:tcPr>
            <w:tcW w:type="dxa" w:w="215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NAIC RBC (CAL)</w:t>
            </w:r>
          </w:p>
        </w:tc>
        <w:tc>
          <w:tcPr>
            <w:tcW w:type="dxa" w:w="24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Balance-sheet assessment</w:t>
            </w:r>
          </w:p>
        </w:tc>
        <w:tc>
          <w:tcPr>
            <w:tcW w:type="dxa" w:w="241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AM Best FSR</w:t>
            </w:r>
          </w:p>
        </w:tc>
      </w:tr>
      <w:tr>
        <w:tc>
          <w:tcPr>
            <w:tcW w:type="dxa" w:w="2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b/>
                <w:bCs/>
                <w:sz w:val="19"/>
                <w:szCs w:val="19"/>
              </w:rPr>
              <w:t xml:space="preserve">Wellabe</w:t>
            </w:r>
          </w:p>
        </w:tc>
        <w:tc>
          <w:tcPr>
            <w:tcW w:type="dxa" w:w="21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~650%</w:t>
            </w:r>
          </w:p>
        </w:tc>
        <w:tc>
          <w:tcPr>
            <w:tcW w:type="dxa" w:w="2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Strongest</w:t>
            </w:r>
          </w:p>
        </w:tc>
        <w:tc>
          <w:tcPr>
            <w:tcW w:type="dxa" w:w="24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A (Excellent)</w:t>
            </w:r>
          </w:p>
        </w:tc>
      </w:tr>
      <w:tr>
        <w:tc>
          <w:tcPr>
            <w:tcW w:type="dxa" w:w="24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b/>
                <w:bCs/>
                <w:sz w:val="19"/>
                <w:szCs w:val="19"/>
              </w:rPr>
              <w:t xml:space="preserve">Mutual of Omaha</w:t>
            </w:r>
          </w:p>
        </w:tc>
        <w:tc>
          <w:tcPr>
            <w:tcW w:type="dxa" w:w="215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~423%</w:t>
            </w:r>
          </w:p>
        </w:tc>
        <w:tc>
          <w:tcPr>
            <w:tcW w:type="dxa" w:w="24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Very Strong (BCAR Strongest)</w:t>
            </w:r>
          </w:p>
        </w:tc>
        <w:tc>
          <w:tcPr>
            <w:tcW w:type="dxa" w:w="241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A+ (Superior)</w:t>
            </w:r>
          </w:p>
        </w:tc>
      </w:tr>
      <w:tr>
        <w:tc>
          <w:tcPr>
            <w:tcW w:type="dxa" w:w="2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b/>
                <w:bCs/>
                <w:sz w:val="19"/>
                <w:szCs w:val="19"/>
              </w:rPr>
              <w:t xml:space="preserve">Globe Life</w:t>
            </w:r>
          </w:p>
        </w:tc>
        <w:tc>
          <w:tcPr>
            <w:tcW w:type="dxa" w:w="21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~316%</w:t>
            </w:r>
          </w:p>
        </w:tc>
        <w:tc>
          <w:tcPr>
            <w:tcW w:type="dxa" w:w="2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Strong</w:t>
            </w:r>
          </w:p>
        </w:tc>
        <w:tc>
          <w:tcPr>
            <w:tcW w:type="dxa" w:w="24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A (Excellent)</w:t>
            </w:r>
          </w:p>
        </w:tc>
      </w:tr>
    </w:tbl>
    <w:p>
      <w:pPr>
        <w:spacing w:after="80"/>
      </w:pPr>
    </w:p>
    <w:p>
      <w:pPr>
        <w:spacing w:after="120" w:line="276"/>
      </w:pPr>
      <w:r>
        <w:t xml:space="preserve">Read it carefully, because it says two things, not one. First, RBC does not set the rating: we hold by far the most RBC of the three and sit in the middle on the letter. But second, and this is the part worth being honest about, lower RBC tracks a lower balance-sheet tier right across the set — 650% maps to Strongest, 423% to Very Strong, 316% to Strong. The decoupling people remember is real, but it lives one level up: the rating holds across all three because operating performance overrides the balance-sheet tier. Globe Life keeps its A on a Strong balance sheet, and Mutual of Omaha keeps its A+ on a Very Strong one, because their earnings carry them. [6][7] Hold that thought — it is the hinge of this whole document, and Section 8 is where it bites for us.</w:t>
      </w:r>
    </w:p>
    <w:p>
      <w:pPr>
        <w:pStyle w:val="Heading1"/>
        <w:spacing w:after="140" w:before="300"/>
      </w:pPr>
      <w:r>
        <w:t xml:space="preserve">3.  How AM Best builds the rating</w:t>
      </w:r>
    </w:p>
    <w:p>
      <w:pPr>
        <w:spacing w:after="120" w:line="276"/>
      </w:pPr>
      <w:r>
        <w:t xml:space="preserve">The rating is a baseline-plus-notching system with published tables. [3] Understanding the mechanics lets us read any competitor's rating, and our own.</w:t>
      </w:r>
    </w:p>
    <w:p>
      <w:pPr>
        <w:pStyle w:val="Heading2"/>
        <w:spacing w:after="100" w:before="200"/>
      </w:pPr>
      <w:r>
        <w:t xml:space="preserve">Step 1.  Balance sheet sets the baseline</w:t>
      </w:r>
    </w:p>
    <w:p>
      <w:pPr>
        <w:spacing w:after="120" w:line="276"/>
      </w:pPr>
      <w:r>
        <w:t xml:space="preserve">Our combined balance-sheet assessment maps to a starting issuer credit rating (ICR). For a U.S. carrier the baseline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Combined balance-sheet assessment</w:t>
            </w:r>
          </w:p>
        </w:tc>
        <w:tc>
          <w:tcPr>
            <w:tcW w:type="dxa" w:w="25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Baseline ICR</w:t>
            </w:r>
          </w:p>
        </w:tc>
        <w:tc>
          <w:tcPr>
            <w:tcW w:type="dxa" w:w="25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FSR equivalent</w:t>
            </w:r>
          </w:p>
        </w:tc>
      </w:tr>
      <w:tr>
        <w:tc>
          <w:tcPr>
            <w:tcW w:type="dxa" w:w="4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b/>
                <w:bCs/>
                <w:sz w:val="19"/>
                <w:szCs w:val="19"/>
              </w:rPr>
              <w:t xml:space="preserve">Strongest</w:t>
            </w:r>
          </w:p>
        </w:tc>
        <w:tc>
          <w:tcPr>
            <w:tcW w:type="dxa" w:w="2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a+ / a</w:t>
            </w:r>
          </w:p>
        </w:tc>
        <w:tc>
          <w:tcPr>
            <w:tcW w:type="dxa" w:w="2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A</w:t>
            </w:r>
          </w:p>
        </w:tc>
      </w:tr>
      <w:tr>
        <w:tc>
          <w:tcPr>
            <w:tcW w:type="dxa" w:w="436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b/>
                <w:bCs/>
                <w:sz w:val="19"/>
                <w:szCs w:val="19"/>
              </w:rPr>
              <w:t xml:space="preserve">Very Strong</w:t>
            </w:r>
          </w:p>
        </w:tc>
        <w:tc>
          <w:tcPr>
            <w:tcW w:type="dxa" w:w="25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a / a-</w:t>
            </w:r>
          </w:p>
        </w:tc>
        <w:tc>
          <w:tcPr>
            <w:tcW w:type="dxa" w:w="25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A / A-</w:t>
            </w:r>
          </w:p>
        </w:tc>
      </w:tr>
      <w:tr>
        <w:tc>
          <w:tcPr>
            <w:tcW w:type="dxa" w:w="4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b/>
                <w:bCs/>
                <w:sz w:val="19"/>
                <w:szCs w:val="19"/>
              </w:rPr>
              <w:t xml:space="preserve">Strong</w:t>
            </w:r>
          </w:p>
        </w:tc>
        <w:tc>
          <w:tcPr>
            <w:tcW w:type="dxa" w:w="2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a- / bbb+</w:t>
            </w:r>
          </w:p>
        </w:tc>
        <w:tc>
          <w:tcPr>
            <w:tcW w:type="dxa" w:w="2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A- / B++</w:t>
            </w:r>
          </w:p>
        </w:tc>
      </w:tr>
      <w:tr>
        <w:tc>
          <w:tcPr>
            <w:tcW w:type="dxa" w:w="436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b/>
                <w:bCs/>
                <w:sz w:val="19"/>
                <w:szCs w:val="19"/>
              </w:rPr>
              <w:t xml:space="preserve">Adequate</w:t>
            </w:r>
          </w:p>
        </w:tc>
        <w:tc>
          <w:tcPr>
            <w:tcW w:type="dxa" w:w="25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bbb+ / bbb / bbb-</w:t>
            </w:r>
          </w:p>
        </w:tc>
        <w:tc>
          <w:tcPr>
            <w:tcW w:type="dxa" w:w="25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B++ / B+</w:t>
            </w:r>
          </w:p>
        </w:tc>
      </w:tr>
      <w:tr>
        <w:tc>
          <w:tcPr>
            <w:tcW w:type="dxa" w:w="4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b/>
                <w:bCs/>
                <w:sz w:val="19"/>
                <w:szCs w:val="19"/>
              </w:rPr>
              <w:t xml:space="preserve">Weak</w:t>
            </w:r>
          </w:p>
        </w:tc>
        <w:tc>
          <w:tcPr>
            <w:tcW w:type="dxa" w:w="2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bb+ / bb / bb-</w:t>
            </w:r>
          </w:p>
        </w:tc>
        <w:tc>
          <w:tcPr>
            <w:tcW w:type="dxa" w:w="2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B / B-</w:t>
            </w:r>
          </w:p>
        </w:tc>
      </w:tr>
    </w:tbl>
    <w:p>
      <w:pPr>
        <w:spacing w:after="80"/>
      </w:pPr>
    </w:p>
    <w:p>
      <w:pPr>
        <w:spacing w:after="120" w:line="276"/>
      </w:pPr>
      <w:r>
        <w:t xml:space="preserve">A Strongest balance sheet places us at a baseline in the A band before anything else is considered. Capital gets us to the starting line.</w:t>
      </w:r>
    </w:p>
    <w:p>
      <w:pPr>
        <w:pStyle w:val="Heading2"/>
        <w:spacing w:after="100" w:before="200"/>
      </w:pPr>
      <w:r>
        <w:t xml:space="preserve">Step 2.  Three building blocks notch us up or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60"/>
        <w:gridCol w:w="3000"/>
      </w:tblGrid>
      <w:tr>
        <w:trPr>
          <w:tblHeader/>
        </w:trPr>
        <w:tc>
          <w:tcPr>
            <w:tcW w:type="dxa" w:w="34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Building block</w:t>
            </w:r>
          </w:p>
        </w:tc>
        <w:tc>
          <w:tcPr>
            <w:tcW w:type="dxa" w:w="296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Notch range</w:t>
            </w:r>
          </w:p>
        </w:tc>
        <w:tc>
          <w:tcPr>
            <w:tcW w:type="dxa" w:w="30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The no-change state</w:t>
            </w:r>
          </w:p>
        </w:tc>
      </w:tr>
      <w:tr>
        <w:tc>
          <w:tcPr>
            <w:tcW w:type="dxa" w:w="3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b/>
                <w:bCs/>
                <w:sz w:val="19"/>
                <w:szCs w:val="19"/>
              </w:rPr>
              <w:t xml:space="preserve">Operating performance</w:t>
            </w:r>
          </w:p>
        </w:tc>
        <w:tc>
          <w:tcPr>
            <w:tcW w:type="dxa" w:w="29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+2 to −3</w:t>
            </w:r>
          </w:p>
        </w:tc>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Adequate</w:t>
            </w:r>
          </w:p>
        </w:tc>
      </w:tr>
      <w:tr>
        <w:tc>
          <w:tcPr>
            <w:tcW w:type="dxa" w:w="34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b/>
                <w:bCs/>
                <w:sz w:val="19"/>
                <w:szCs w:val="19"/>
              </w:rPr>
              <w:t xml:space="preserve">Business profile</w:t>
            </w:r>
          </w:p>
        </w:tc>
        <w:tc>
          <w:tcPr>
            <w:tcW w:type="dxa" w:w="296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+2 to −2</w:t>
            </w:r>
          </w:p>
        </w:tc>
        <w:tc>
          <w:tcPr>
            <w:tcW w:type="dxa" w:w="30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Neutral</w:t>
            </w:r>
          </w:p>
        </w:tc>
      </w:tr>
      <w:tr>
        <w:tc>
          <w:tcPr>
            <w:tcW w:type="dxa" w:w="3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b/>
                <w:bCs/>
                <w:sz w:val="19"/>
                <w:szCs w:val="19"/>
              </w:rPr>
              <w:t xml:space="preserve">Enterprise risk management</w:t>
            </w:r>
          </w:p>
        </w:tc>
        <w:tc>
          <w:tcPr>
            <w:tcW w:type="dxa" w:w="29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+1 to −4</w:t>
            </w:r>
          </w:p>
        </w:tc>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Appropriate</w:t>
            </w:r>
          </w:p>
        </w:tc>
      </w:tr>
      <w:tr>
        <w:tc>
          <w:tcPr>
            <w:tcW w:type="dxa" w:w="34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b/>
                <w:bCs/>
                <w:sz w:val="19"/>
                <w:szCs w:val="19"/>
              </w:rPr>
              <w:t xml:space="preserve">Comprehensive adjustment</w:t>
            </w:r>
          </w:p>
        </w:tc>
        <w:tc>
          <w:tcPr>
            <w:tcW w:type="dxa" w:w="296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+1 to −1</w:t>
            </w:r>
          </w:p>
        </w:tc>
        <w:tc>
          <w:tcPr>
            <w:tcW w:type="dxa" w:w="30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(rare)</w:t>
            </w:r>
          </w:p>
        </w:tc>
      </w:tr>
    </w:tbl>
    <w:p>
      <w:pPr>
        <w:spacing w:after="80"/>
      </w:pPr>
    </w:p>
    <w:p>
      <w:pPr>
        <w:spacing w:after="120" w:line="276"/>
      </w:pPr>
      <w:r>
        <w:t xml:space="preserve">The ranges are deliberately uneven. Operating performance and ERM can subtract far more than they can add, so the system takes notches away more easily than it grants them.</w:t>
      </w:r>
    </w:p>
    <w:p>
      <w:pPr>
        <w:pStyle w:val="Heading2"/>
        <w:spacing w:after="100" w:before="200"/>
      </w:pPr>
      <w:r>
        <w:t xml:space="preserve">Step 3.  Translate the ICR back to the FSR 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ICR</w:t>
            </w:r>
          </w:p>
        </w:tc>
        <w:tc>
          <w:tcPr>
            <w:tcW w:type="dxa" w:w="468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FSR</w:t>
            </w:r>
          </w:p>
        </w:tc>
      </w:tr>
      <w:tr>
        <w:tc>
          <w:tcPr>
            <w:tcW w:type="dxa" w:w="468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b/>
                <w:bCs/>
                <w:sz w:val="19"/>
                <w:szCs w:val="19"/>
              </w:rPr>
              <w:t xml:space="preserve">aaa, aa+</w:t>
            </w:r>
          </w:p>
        </w:tc>
        <w:tc>
          <w:tcPr>
            <w:tcW w:type="dxa" w:w="468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A++ (Superior)</w:t>
            </w:r>
          </w:p>
        </w:tc>
      </w:tr>
      <w:tr>
        <w:tc>
          <w:tcPr>
            <w:tcW w:type="dxa" w:w="468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b/>
                <w:bCs/>
                <w:sz w:val="19"/>
                <w:szCs w:val="19"/>
              </w:rPr>
              <w:t xml:space="preserve">aa, aa-</w:t>
            </w:r>
          </w:p>
        </w:tc>
        <w:tc>
          <w:tcPr>
            <w:tcW w:type="dxa" w:w="468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A+ (Superior)</w:t>
            </w:r>
          </w:p>
        </w:tc>
      </w:tr>
      <w:tr>
        <w:tc>
          <w:tcPr>
            <w:tcW w:type="dxa" w:w="468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b/>
                <w:bCs/>
                <w:sz w:val="19"/>
                <w:szCs w:val="19"/>
              </w:rPr>
              <w:t xml:space="preserve">a+, a</w:t>
            </w:r>
          </w:p>
        </w:tc>
        <w:tc>
          <w:tcPr>
            <w:tcW w:type="dxa" w:w="468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A (Excellent)</w:t>
            </w:r>
          </w:p>
        </w:tc>
      </w:tr>
      <w:tr>
        <w:tc>
          <w:tcPr>
            <w:tcW w:type="dxa" w:w="468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b/>
                <w:bCs/>
                <w:sz w:val="19"/>
                <w:szCs w:val="19"/>
              </w:rPr>
              <w:t xml:space="preserve">a-</w:t>
            </w:r>
          </w:p>
        </w:tc>
        <w:tc>
          <w:tcPr>
            <w:tcW w:type="dxa" w:w="468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A- (Excellent)</w:t>
            </w:r>
          </w:p>
        </w:tc>
      </w:tr>
      <w:tr>
        <w:tc>
          <w:tcPr>
            <w:tcW w:type="dxa" w:w="468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b/>
                <w:bCs/>
                <w:sz w:val="19"/>
                <w:szCs w:val="19"/>
              </w:rPr>
              <w:t xml:space="preserve">bbb+, bbb</w:t>
            </w:r>
          </w:p>
        </w:tc>
        <w:tc>
          <w:tcPr>
            <w:tcW w:type="dxa" w:w="468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B++ (Good)</w:t>
            </w:r>
          </w:p>
        </w:tc>
      </w:tr>
      <w:tr>
        <w:tc>
          <w:tcPr>
            <w:tcW w:type="dxa" w:w="468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b/>
                <w:bCs/>
                <w:sz w:val="19"/>
                <w:szCs w:val="19"/>
              </w:rPr>
              <w:t xml:space="preserve">bbb-</w:t>
            </w:r>
          </w:p>
        </w:tc>
        <w:tc>
          <w:tcPr>
            <w:tcW w:type="dxa" w:w="468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B+ (Good)</w:t>
            </w:r>
          </w:p>
        </w:tc>
      </w:tr>
    </w:tbl>
    <w:p>
      <w:pPr>
        <w:spacing w:after="80"/>
      </w:pPr>
    </w:p>
    <w:p>
      <w:pPr>
        <w:pStyle w:val="Heading2"/>
        <w:spacing w:after="100" w:before="200"/>
      </w:pPr>
      <w:r>
        <w:t xml:space="preserve">A worked example</w:t>
      </w:r>
    </w:p>
    <w:p>
      <w:pPr>
        <w:spacing w:after="120" w:line="276"/>
      </w:pPr>
      <w:r>
        <w:t xml:space="preserve">Start with a Strongest balance sheet, which gives a baseline of a+/a, equal to A. If operating performance is Adequate, business profile is Neutral, and ERM is Appropriate, there is no net notch and the carrier stays at A. If a block weakens, the rating drops: a Limited business profile and a Marginal ERM assessment together subtract two notches and take that same carrier from A to B++. A pristine balance sheet does not prevent that. The soft blocks decide where a well-capitalized company actually lands.</w:t>
      </w:r>
    </w:p>
    <w:p>
      <w:pPr>
        <w:pStyle w:val="Heading1"/>
        <w:spacing w:after="140" w:before="300"/>
      </w:pPr>
      <w:r>
        <w:t xml:space="preserve">4.  What makes each category better or worse</w:t>
      </w:r>
    </w:p>
    <w:p>
      <w:pPr>
        <w:spacing w:after="120" w:line="276"/>
      </w:pPr>
      <w:r>
        <w:t xml:space="preserve">For a well-capitalized company the rating is decided here. Each block has a defined set of drivers. [3]</w:t>
      </w:r>
    </w:p>
    <w:p>
      <w:pPr>
        <w:pStyle w:val="Heading2"/>
        <w:spacing w:after="100" w:before="200"/>
      </w:pPr>
      <w:r>
        <w:t xml:space="preserve">Operating performance  (+2 to −3)</w:t>
      </w:r>
    </w:p>
    <w:p>
      <w:pPr>
        <w:spacing w:after="120" w:line="276"/>
      </w:pPr>
      <w:r>
        <w:t xml:space="preserve">This is about earnings: their level, stability, diversity, and sustainability, measured against the peer composite. A carrier moves up with consistently above-peer returns, low volatility, diversified earnings sources, and profitable growth that covers its cost of capital. It stays at Adequate, the no-change state, with returns roughly in line with peers. It moves down with below-peer or negative returns, volatile earnings, thin or eroding margins, heavy reliance on one-time gains or investment income, or adverse reserve development.</w:t>
      </w:r>
    </w:p>
    <w:p>
      <w:pPr>
        <w:pStyle w:val="Heading2"/>
        <w:spacing w:after="100" w:before="200"/>
      </w:pPr>
      <w:r>
        <w:t xml:space="preserve">Business profile  (+2 to −2)</w:t>
      </w:r>
    </w:p>
    <w:p>
      <w:pPr>
        <w:spacing w:after="120" w:line="276"/>
      </w:pPr>
      <w:r>
        <w:t xml:space="preserve">This is about franchise: market position, scale, product and geographic diversification, distribution quality, pricing sophistication, and management depth. A carrier moves up with a leading position, real scale, diversification across products and risk types, pricing power, and a recognized brand. It stays at Neutral with a solid but unremarkable mid-market position and meaningful concentration. It moves down with small scale, narrow product or geographic concentration, dependence on a single distributor or product, or commoditized pricing with no edge. For a focused specialist this is usually the binding constraint.</w:t>
      </w:r>
    </w:p>
    <w:p>
      <w:pPr>
        <w:pStyle w:val="Heading2"/>
        <w:spacing w:after="100" w:before="200"/>
      </w:pPr>
      <w:r>
        <w:t xml:space="preserve">Enterprise risk management  (+1 to −4)</w:t>
      </w:r>
    </w:p>
    <w:p>
      <w:pPr>
        <w:spacing w:after="120" w:line="276"/>
      </w:pPr>
      <w:r>
        <w:t xml:space="preserve">This asks whether the risk framework fits the risk profile, across risk appetite, stress testing, governance and culture, and controls over underwriting, reserving, reinsurance, liquidity, capital, and investments. The +1 is rare and reserved for mature programs at complex companies. Most well-run carriers sit at Appropriate, which is a good outcome and the no-change state. A carrier moves down with control gaps, governance weakness, an appetite that outruns the framework, over-reliance on a counterparty, or evidence of an actual risk event. The wide downside means a single ERM failure can erase several notches at once.</w:t>
      </w:r>
    </w:p>
    <w:p>
      <w:r>
        <w:br w:type="page"/>
      </w:r>
    </w:p>
    <w:p>
      <w:pPr>
        <w:spacing w:after="120"/>
      </w:pPr>
      <w:r>
        <w:rPr>
          <w:b/>
          <w:bCs/>
          <w:color w:val="0B1C2C"/>
          <w:sz w:val="24"/>
          <w:szCs w:val="24"/>
        </w:rPr>
        <w:t xml:space="preserve">PART II.  WHERE WELLABE STANDS AND WHAT CAN MOVE IT</w:t>
      </w:r>
    </w:p>
    <w:p>
      <w:pPr>
        <w:pStyle w:val="Heading1"/>
        <w:spacing w:after="140" w:before="300"/>
      </w:pPr>
      <w:r>
        <w:t xml:space="preserve">5.  Where we stand today</w:t>
      </w:r>
    </w:p>
    <w:p>
      <w:pPr>
        <w:spacing w:after="120" w:line="276"/>
      </w:pPr>
      <w:r>
        <w:t xml:space="preserve">AM Best rates the Wellabe Group A (Excellent) with a stable outlook. [1] Our four assessments are a Strongest balance sheet, Adequate operating performance, a Neutral business profile, and Appropriate ERM. Read through the framework, the Strongest balance sheet sets a baseline in the A band, the three other blocks net to no change, and we land at A.</w:t>
      </w:r>
    </w:p>
    <w:p>
      <w:pPr>
        <w:spacing w:after="120" w:line="276"/>
      </w:pPr>
      <w:r>
        <w:t xml:space="preserve">The fact that frames everything else is our recent earnings. We have run net losses for three straight years, and they are growing. Our accident and health combined ratio has climbed every year, and capital and surplus has fallen every year since 2021.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900"/>
        <w:gridCol w:w="2300"/>
        <w:gridCol w:w="1900"/>
        <w:gridCol w:w="1500"/>
      </w:tblGrid>
      <w:tr>
        <w:trPr>
          <w:tblHeader/>
        </w:trPr>
        <w:tc>
          <w:tcPr>
            <w:tcW w:type="dxa" w:w="176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Year</w:t>
            </w:r>
          </w:p>
        </w:tc>
        <w:tc>
          <w:tcPr>
            <w:tcW w:type="dxa" w:w="19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Net income</w:t>
            </w:r>
          </w:p>
        </w:tc>
        <w:tc>
          <w:tcPr>
            <w:tcW w:type="dxa" w:w="23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Capital &amp; surplus</w:t>
            </w:r>
          </w:p>
        </w:tc>
        <w:tc>
          <w:tcPr>
            <w:tcW w:type="dxa" w:w="19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A&amp;H combined ratio</w:t>
            </w:r>
          </w:p>
        </w:tc>
        <w:tc>
          <w:tcPr>
            <w:tcW w:type="dxa" w:w="15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BCAR</w:t>
            </w:r>
          </w:p>
        </w:tc>
      </w:tr>
      <w:tr>
        <w:tc>
          <w:tcPr>
            <w:tcW w:type="dxa" w:w="1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b/>
                <w:bCs/>
                <w:sz w:val="19"/>
                <w:szCs w:val="19"/>
              </w:rPr>
              <w:t xml:space="preserve">2021</w:t>
            </w:r>
          </w:p>
        </w:tc>
        <w:tc>
          <w:tcPr>
            <w:tcW w:type="dxa" w:w="19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+$22M</w:t>
            </w:r>
          </w:p>
        </w:tc>
        <w:tc>
          <w:tcPr>
            <w:tcW w:type="dxa" w:w="23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$630M</w:t>
            </w:r>
          </w:p>
        </w:tc>
        <w:tc>
          <w:tcPr>
            <w:tcW w:type="dxa" w:w="19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95%</w:t>
            </w:r>
          </w:p>
        </w:tc>
        <w:tc>
          <w:tcPr>
            <w:tcW w:type="dxa" w:w="1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w:t>
            </w:r>
          </w:p>
        </w:tc>
      </w:tr>
      <w:tr>
        <w:tc>
          <w:tcPr>
            <w:tcW w:type="dxa" w:w="176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b/>
                <w:bCs/>
                <w:sz w:val="19"/>
                <w:szCs w:val="19"/>
              </w:rPr>
              <w:t xml:space="preserve">2022</w:t>
            </w:r>
          </w:p>
        </w:tc>
        <w:tc>
          <w:tcPr>
            <w:tcW w:type="dxa" w:w="19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−$1M</w:t>
            </w:r>
          </w:p>
        </w:tc>
        <w:tc>
          <w:tcPr>
            <w:tcW w:type="dxa" w:w="23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$615M</w:t>
            </w:r>
          </w:p>
        </w:tc>
        <w:tc>
          <w:tcPr>
            <w:tcW w:type="dxa" w:w="19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99%</w:t>
            </w:r>
          </w:p>
        </w:tc>
        <w:tc>
          <w:tcPr>
            <w:tcW w:type="dxa" w:w="15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w:t>
            </w:r>
          </w:p>
        </w:tc>
      </w:tr>
      <w:tr>
        <w:tc>
          <w:tcPr>
            <w:tcW w:type="dxa" w:w="1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b/>
                <w:bCs/>
                <w:sz w:val="19"/>
                <w:szCs w:val="19"/>
              </w:rPr>
              <w:t xml:space="preserve">2023</w:t>
            </w:r>
          </w:p>
        </w:tc>
        <w:tc>
          <w:tcPr>
            <w:tcW w:type="dxa" w:w="19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−$21M</w:t>
            </w:r>
          </w:p>
        </w:tc>
        <w:tc>
          <w:tcPr>
            <w:tcW w:type="dxa" w:w="23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$602M</w:t>
            </w:r>
          </w:p>
        </w:tc>
        <w:tc>
          <w:tcPr>
            <w:tcW w:type="dxa" w:w="19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103%</w:t>
            </w:r>
          </w:p>
        </w:tc>
        <w:tc>
          <w:tcPr>
            <w:tcW w:type="dxa" w:w="1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w:t>
            </w:r>
          </w:p>
        </w:tc>
      </w:tr>
      <w:tr>
        <w:tc>
          <w:tcPr>
            <w:tcW w:type="dxa" w:w="176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b/>
                <w:bCs/>
                <w:sz w:val="19"/>
                <w:szCs w:val="19"/>
              </w:rPr>
              <w:t xml:space="preserve">2024</w:t>
            </w:r>
          </w:p>
        </w:tc>
        <w:tc>
          <w:tcPr>
            <w:tcW w:type="dxa" w:w="19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−$52M</w:t>
            </w:r>
          </w:p>
        </w:tc>
        <w:tc>
          <w:tcPr>
            <w:tcW w:type="dxa" w:w="23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$560M</w:t>
            </w:r>
          </w:p>
        </w:tc>
        <w:tc>
          <w:tcPr>
            <w:tcW w:type="dxa" w:w="19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109%</w:t>
            </w:r>
          </w:p>
        </w:tc>
        <w:tc>
          <w:tcPr>
            <w:tcW w:type="dxa" w:w="15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73.0%</w:t>
            </w:r>
          </w:p>
        </w:tc>
      </w:tr>
      <w:tr>
        <w:tc>
          <w:tcPr>
            <w:tcW w:type="dxa" w:w="1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b/>
                <w:bCs/>
                <w:sz w:val="19"/>
                <w:szCs w:val="19"/>
              </w:rPr>
              <w:t xml:space="preserve">2025</w:t>
            </w:r>
          </w:p>
        </w:tc>
        <w:tc>
          <w:tcPr>
            <w:tcW w:type="dxa" w:w="19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−$71M</w:t>
            </w:r>
          </w:p>
        </w:tc>
        <w:tc>
          <w:tcPr>
            <w:tcW w:type="dxa" w:w="23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$531M</w:t>
            </w:r>
          </w:p>
        </w:tc>
        <w:tc>
          <w:tcPr>
            <w:tcW w:type="dxa" w:w="19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116%</w:t>
            </w:r>
          </w:p>
        </w:tc>
        <w:tc>
          <w:tcPr>
            <w:tcW w:type="dxa" w:w="1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67.3%</w:t>
            </w:r>
          </w:p>
        </w:tc>
      </w:tr>
    </w:tbl>
    <w:p>
      <w:pPr>
        <w:spacing w:after="80"/>
      </w:pPr>
    </w:p>
    <w:p>
      <w:pPr>
        <w:spacing w:after="120" w:line="276"/>
      </w:pPr>
      <w:r>
        <w:t xml:space="preserve">So why are we still A, and still stable, while losing money at an accelerating pace? Because AM Best reads the losses as new-business strain from a deliberate growth strategy. Statutory accounting expenses acquisition costs immediately, so record Medicare Supplement sales, with premium up 13% in 2025 and 11% compounded over five years, produce up-front losses on business expected to be profitable over its life. AM Best expects the strain to diminish and the group to return to profitability in the medium term, and has kept both operating performance at Adequate and the outlook stable on that basis. Our own plan puts that return to profitability in 2029.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8" w:sz="18"/>
              <w:left w:val="single" w:color="EEF3F8" w:sz="4"/>
              <w:bottom w:val="single" w:color="EEF3F8" w:sz="4"/>
              <w:right w:val="single" w:color="EEF3F8" w:sz="4"/>
            </w:tcBorders>
            <w:shd w:fill="EEF3F8" w:val="clear"/>
            <w:tcMar>
              <w:top w:type="dxa" w:w="140"/>
              <w:left w:type="dxa" w:w="200"/>
              <w:bottom w:type="dxa" w:w="140"/>
              <w:right w:type="dxa" w:w="200"/>
            </w:tcMar>
          </w:tcPr>
          <w:p>
            <w:pPr>
              <w:spacing w:after="80"/>
            </w:pPr>
            <w:r>
              <w:rPr>
                <w:b/>
                <w:bCs/>
                <w:color w:val="0B1C2C"/>
              </w:rPr>
              <w:t xml:space="preserve">The sentence that frames the rest of this document</w:t>
            </w:r>
          </w:p>
          <w:p>
            <w:pPr>
              <w:spacing w:after="60" w:line="268"/>
            </w:pPr>
            <w:r>
              <w:rPr>
                <w:color w:val="0B1C2C"/>
              </w:rPr>
              <w:t xml:space="preserve">We are A (Excellent) and stable while running our largest losses on record. AM Best is giving us credit for a growth bet it expects to mature into profit by the medium term, which our plan dates to 2029. Their published rating drivers say so directly: negative action if operating losses exceed projections, negative action if the balance sheet deteriorates significantly, and a positive action only if we deliver profitable premium growth and margin expansion, which they call unlikely. Protecting the rating means keeping that growth bet on plan, and 2029 is the date the plan has to hit. [1]</w:t>
            </w:r>
          </w:p>
        </w:tc>
      </w:tr>
    </w:tbl>
    <w:p>
      <w:pPr>
        <w:pStyle w:val="Heading1"/>
        <w:spacing w:after="140" w:before="300"/>
      </w:pPr>
      <w:r>
        <w:t xml:space="preserve">6.  The line that matters: staying above B++</w:t>
      </w:r>
    </w:p>
    <w:p>
      <w:pPr>
        <w:spacing w:after="120" w:line="276"/>
      </w:pPr>
      <w:r>
        <w:t xml:space="preserve">Our objective is to hold the rating, so the useful question is how far we could fall before it costs us, and where that line sits. On the scale we are at A, which is ICR “a.” One notch down is A-. Below A- is B++. For our purposes A- still carries weight, so the line we are defending is the drop below A- into B++.</w:t>
      </w:r>
    </w:p>
    <w:p>
      <w:pPr>
        <w:spacing w:after="120" w:line="276"/>
      </w:pPr>
      <w:r>
        <w:t xml:space="preserve">How much would crossing it actually cost us? Given our channels, less in some places than the industry assumes, and more in others. In our Medicare Supplement and supplemental-health agent channels, the rating is rarely the gate, because the product is standardized and guaranty-backed and agents place business on price, commission, and service. Several established carriers prove it. ManhattanLife sells Medicare Supplement and supplemental health through the same independent marketing organizations and agent channels we use, rated B++, and its long-standing Western United Life subsidiary is a popular, competitively priced Medigap carrier rated B+. [12] Both compete actively below A-. A rating below A- is not disqualifying in this space.</w:t>
      </w:r>
    </w:p>
    <w:p>
      <w:pPr>
        <w:spacing w:after="120" w:line="276"/>
      </w:pPr>
      <w:r>
        <w:t xml:space="preserve">Where a drop below A- would genuinely hurt us is preneed and reinsurance, and here we should be precise rather than reassuring. The leading preneed carriers cluster at the strong end of the scale: National Guardian Life is rated A, and Homesteaders and Funeral Directors Life are both A-. [11] That cohort sits at A and A-, which means a slip from A to A- does not push us out of the preferred group, but it does move us to the bottom of it, alongside Homesteaders and FDLIC rather than above them. A further slip into B++ would drop us below the cohort entirely, and funeral-home programs — which place obligations that run for decades and prefer financially strong, stable carriers — would notice. So A- is workable in preneed, but it is not costless: it spends our position within the tier. On the reinsurance side, our counterparties price our rating into the economics of business we assume and cede, so a downgrade raises our cost of doing that business. The value of our A, and the cost of falling below A-, is concentrated in those two places.</w:t>
      </w:r>
    </w:p>
    <w:p>
      <w:pPr>
        <w:spacing w:after="120" w:line="276"/>
      </w:pPr>
      <w:r>
        <w:t xml:space="preserve">One timing point belongs here, because we are in the market now. A downgrade is normally preceded by an outlook change from stable to negative (Section 8). A move to a negative outlook </w:t>
      </w:r>
      <w:r>
        <w:rPr>
          <w:i/>
          <w:iCs/>
        </w:rPr>
        <w:t xml:space="preserve">during</w:t>
      </w:r>
      <w:r>
        <w:t xml:space="preserve"> a surplus-note placement is itself a near-term cost — it widens the spread we pay and can narrow the buyer pool — well before any letter changes. That is a concrete reason to keep the cushion comfortably inside Strongest while the raise is live, not a reason to treat the cushion as loose.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8" w:sz="18"/>
              <w:left w:val="single" w:color="EEF3F8" w:sz="4"/>
              <w:bottom w:val="single" w:color="EEF3F8" w:sz="4"/>
              <w:right w:val="single" w:color="EEF3F8" w:sz="4"/>
            </w:tcBorders>
            <w:shd w:fill="EEF3F8" w:val="clear"/>
            <w:tcMar>
              <w:top w:type="dxa" w:w="140"/>
              <w:left w:type="dxa" w:w="200"/>
              <w:bottom w:type="dxa" w:w="140"/>
              <w:right w:type="dxa" w:w="200"/>
            </w:tcMar>
          </w:tcPr>
          <w:p>
            <w:pPr>
              <w:spacing w:after="80"/>
            </w:pPr>
            <w:r>
              <w:rPr>
                <w:b/>
                <w:bCs/>
                <w:color w:val="0B1C2C"/>
              </w:rPr>
              <w:t xml:space="preserve">The objective, stated plainly</w:t>
            </w:r>
          </w:p>
          <w:p>
            <w:pPr>
              <w:spacing w:after="60" w:line="268"/>
            </w:pPr>
            <w:r>
              <w:rPr>
                <w:color w:val="0B1C2C"/>
              </w:rPr>
              <w:t xml:space="preserve">We are not trying to climb. A- would be workable across our channels, and several of the preneed carriers we compete with sit there. What it costs us is our margin for error and our standing within the preneed tier. Dropping below A-, into B++, is what would actually sting, and it would sting most in preneed, in raising capital, and in reinsurance. None of that is the end of the world, but B++ is the line worth protecting.</w:t>
            </w:r>
          </w:p>
        </w:tc>
      </w:tr>
    </w:tbl>
    <w:p>
      <w:pPr>
        <w:pStyle w:val="Heading1"/>
        <w:spacing w:after="140" w:before="300"/>
      </w:pPr>
      <w:r>
        <w:t xml:space="preserve">7.  Can our balance sheet strength slip from Strongest?</w:t>
      </w:r>
    </w:p>
    <w:p>
      <w:pPr>
        <w:spacing w:after="120" w:line="276"/>
      </w:pPr>
      <w:r>
        <w:t xml:space="preserve">Start here, because balance sheet is the block people instinctively worry about, and it is the one we can assess most cleanly. A drop out of Strongest is not a realistic near-term risk.</w:t>
      </w:r>
    </w:p>
    <w:p>
      <w:pPr>
        <w:spacing w:after="120" w:line="276"/>
      </w:pPr>
      <w:r>
        <w:t xml:space="preserve">Our BCAR score is 67.3% at the 1-in-250-year stress, against the 25% needed to hold the strongest tier. Because the BCAR score is itself the share of capital still standing after the stress, that 67.3% is our spare-capital margin at that severity, and it clears the 25% bar by roughly 42 points. [1] That is a wide margin even with the losses we are running. The trend deserves attention: BCAR has come down from 73.0% at year-end 2024 to 67.3% at year-end 2025, about six points in a single year as losses draw down surplus. [1][2] Even so, the cushion is deep, and here is the strongest version of the argument. AM Best builds our projected future losses into its own view, and it still expects us to remain Strongest. [1] In other words, the people who set the rating already know we plan to keep losing money for a while, and they have concluded our balance sheet stays in the top category through it. Balance sheet is the most secure of our four blocks, and it will not be what moves the rating.</w:t>
      </w:r>
    </w:p>
    <w:p>
      <w:pPr>
        <w:spacing w:after="120" w:line="276"/>
      </w:pPr>
      <w:r>
        <w:t xml:space="preserve">Two points keep this honest. First, the cushion is not spare capital sitting idle. It is the runway that funds the new-business strain, and we are consuming it on purpose as we grow. The safe posture is to keep our capital comfortably inside Strongest through the loss years with margin for adverse deviation, which today it clearly is, rather than to treat the cushion as available to redeploy. Second, balance-sheet strength is broader than the capital cushion, and our asset side moved fast in the wrong direction this year. Our higher-risk-asset leverage rose to about 40% of capital and surplus in 2025 from 29% in 2024, with a high allocation to NAIC Class 2 bonds. [1] That is not gentle drift; it is a one-year step. And part of the rise is mechanical: the denominator, capital and surplus, is shrinking, so the ratio climbs even where the dollar exposure does not. None of it threatens the Strongest assessment today, but it is exactly the kind of move that softens balance-sheet </w:t>
      </w:r>
      <w:r>
        <w:rPr>
          <w:i/>
          <w:iCs/>
        </w:rPr>
        <w:t xml:space="preserve">quality</w:t>
      </w:r>
      <w:r>
        <w:t xml:space="preserve"> — the factor that sits beside BCAR — if left unmanaged.</w:t>
      </w:r>
    </w:p>
    <w:p>
      <w:pPr>
        <w:spacing w:after="120" w:line="276"/>
      </w:pPr>
      <w:r>
        <w:t xml:space="preserve">Two things cut in opposite directions here, and they are not the same risk. A good share of our bonds are underwater on a rate basis, held at amortized cost but worth less in the market today, and AM Best's stress test docks our capital for part of that. As those bonds season toward maturity their price pulls back toward par, the unrealized loss fades, and that drag on BCAR eases on its own. It is a slow tailwind given our long average maturities, and it only helps for bonds that are money-good rather than credit-impaired, but it is a real, gentle offset. What it does not offset is the separate, deliberate decision to hold more Class 2 paper. That is an allocation choice, not a rate artifact, and it does not self-cure as bonds season. For contrast, Physicians Mutual — the peer that walked our exact road and came out at A+ (Section 8) — did it on a conservative, highly liquid, predominantly investment-grade portfolio with no material alternative or real-estate exposure. [8] That is the asset posture that pairs cleanly with a Strongest balance sheet through a loss phase. We are moving the other way, and it is worth watching.</w:t>
      </w:r>
    </w:p>
    <w:p>
      <w:pPr>
        <w:spacing w:after="120" w:line="276"/>
      </w:pPr>
      <w:r>
        <w:t xml:space="preserve">One forward-looking note, since we are in the market to raise capital through a surplus note. A surplus note would add directly to our capital and improve the cushion, which helps fund the growth strain. AM Best treats surplus notes as lower-quality capital than retained earnings, because they are subordinated obligations that must eventually be repaid with regulatory approval and carry interest. So a surplus note strengthens the quantity of our capital while modestly softening the capital-quality factor AM Best weighs. In modest size it is a reasonable tool to support the Strongest assessment through the loss years, and the cost and terms we are offered on it will themselves depend on our rating, which is one more reason the A matters.</w:t>
      </w:r>
    </w:p>
    <w:p>
      <w:pPr>
        <w:pStyle w:val="Heading2"/>
        <w:spacing w:after="100" w:before="200"/>
      </w:pPr>
      <w:r>
        <w:t xml:space="preserve">How far could our capital actually fall?</w:t>
      </w:r>
    </w:p>
    <w:p>
      <w:pPr>
        <w:spacing w:after="120" w:line="276"/>
      </w:pPr>
      <w:r>
        <w:t xml:space="preserve">It helps to put a number on the downside, and to be careful about what the number assumes. Globe Life, the peer from Section 2, runs about 316% on the CAL basis against our roughly 650%, and AM Best assesses its balance sheet as Strong, two tiers below our Strongest. [6][9] So Globe Life shows us roughly where a Strong assessment sits. If our own capital fell to that level — less than half what we hold today — our balance sheet would most likely be assessed Strong as well. A Strong balance sheet carries a baseline of a- or bbb+, which is A- or B++. On the balance-sheet block alone, then, even that severe a decline would most likely cost us about one notch, to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8" w:sz="18"/>
              <w:left w:val="single" w:color="EEF3F8" w:sz="4"/>
              <w:bottom w:val="single" w:color="EEF3F8" w:sz="4"/>
              <w:right w:val="single" w:color="EEF3F8" w:sz="4"/>
            </w:tcBorders>
            <w:shd w:fill="EEF3F8" w:val="clear"/>
            <w:tcMar>
              <w:top w:type="dxa" w:w="140"/>
              <w:left w:type="dxa" w:w="200"/>
              <w:bottom w:type="dxa" w:w="140"/>
              <w:right w:type="dxa" w:w="200"/>
            </w:tcMar>
          </w:tcPr>
          <w:p>
            <w:pPr>
              <w:spacing w:after="80"/>
            </w:pPr>
            <w:r>
              <w:rPr>
                <w:b/>
                <w:bCs/>
                <w:color w:val="0B1C2C"/>
              </w:rPr>
              <w:t xml:space="preserve">Where the comforting version breaks down</w:t>
            </w:r>
          </w:p>
          <w:p>
            <w:pPr>
              <w:spacing w:after="60" w:line="268"/>
            </w:pPr>
            <w:r>
              <w:rPr>
                <w:color w:val="0B1C2C"/>
              </w:rPr>
              <w:t xml:space="preserve">That “one notch” number only holds if capital falls while every other block stays put. In the real world it would not. A loss deep enough to halve our capital would almost certainly be driven by operating performance running far worse than plan — which means that block drops at the same time, and the two declines compound. Globe Life keeps its A on a Strong balance sheet precisely because its operating performance is very strong; ours, in that scenario, would be the opposite. So read the one notch as the floor of the damage in the benign, deliberate case, not the expected outcome of a real capital decline. The honest headline still holds — we have enormous room, and capital is very unlikely to be the thing that pushes us below the cliff — but the thing that would push capital that far is the same thing this document keeps pointing at: operating performance.</w:t>
            </w:r>
          </w:p>
        </w:tc>
      </w:tr>
    </w:tbl>
    <w:p>
      <w:pPr>
        <w:spacing w:after="120" w:line="276"/>
      </w:pPr>
      <w:r>
        <w:t xml:space="preserve">The conclusion is the useful part: our downgrade risk is not coming from the balance sheet on its own. It comes from the block that would drag the balance sheet down with it.</w:t>
      </w:r>
    </w:p>
    <w:p>
      <w:pPr>
        <w:pStyle w:val="Heading1"/>
        <w:spacing w:after="140" w:before="300"/>
      </w:pPr>
      <w:r>
        <w:t xml:space="preserve">8.  The real risk: operating performance and the growth bet</w:t>
      </w:r>
    </w:p>
    <w:p>
      <w:pPr>
        <w:spacing w:after="120" w:line="276"/>
      </w:pPr>
      <w:r>
        <w:t xml:space="preserve">This is where the rating actually lives. Operating performance is assessed Adequate, the no-change state, and AM Best is holding it there despite three years of losses because it is crediting the maturation story. That makes it the block most likely to move, and the move that matters is downward.</w:t>
      </w:r>
    </w:p>
    <w:p>
      <w:pPr>
        <w:spacing w:after="120" w:line="276"/>
      </w:pPr>
      <w:r>
        <w:t xml:space="preserve">The mechanism is straightforward. AM Best is working from a projection: losses that peak and then recede as the Medicare Supplement block seasons and margins expand, with the group back to profitability in 2029. As long as results track that plan, operating performance stays Adequate and we stay A. Their published trigger is specific: negative action if operating losses exceed projections. [1] The risk is our results running worse or longer than the plan AM Best is underwriting, rather than some abstract margin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8" w:sz="18"/>
              <w:left w:val="single" w:color="EEF3F8" w:sz="4"/>
              <w:bottom w:val="single" w:color="EEF3F8" w:sz="4"/>
              <w:right w:val="single" w:color="EEF3F8" w:sz="4"/>
            </w:tcBorders>
            <w:shd w:fill="EEF3F8" w:val="clear"/>
            <w:tcMar>
              <w:top w:type="dxa" w:w="140"/>
              <w:left w:type="dxa" w:w="200"/>
              <w:bottom w:type="dxa" w:w="140"/>
              <w:right w:type="dxa" w:w="200"/>
            </w:tcMar>
          </w:tcPr>
          <w:p>
            <w:pPr>
              <w:spacing w:after="80"/>
            </w:pPr>
            <w:r>
              <w:rPr>
                <w:b/>
                <w:bCs/>
                <w:color w:val="0B1C2C"/>
              </w:rPr>
              <w:t xml:space="preserve">The number that tells us whether the thesis is holding</w:t>
            </w:r>
          </w:p>
          <w:p>
            <w:pPr>
              <w:spacing w:after="60" w:line="268"/>
            </w:pPr>
            <w:r>
              <w:rPr>
                <w:color w:val="0B1C2C"/>
              </w:rPr>
              <w:t xml:space="preserve">The A&amp;H combined ratio is the tell. It reached 116% in 2025, climbing every year from 95% in 2021. The plan needs that line to peak and turn back toward a profitable level on the way to 2029. So the falsification test is concrete: if the combined ratio keeps climbing past its planned peak, or the block does not begin converting to profit on the 2029 schedule, the maturation thesis is breaking — and that is the signal to act, not to re-explain. We should be reporting actual-versus-planned combined ratio and the path to 2029 to the ELT on a regular cadence, because that comparison is the rating, restated in one number. [1]</w:t>
            </w:r>
          </w:p>
        </w:tc>
      </w:tr>
    </w:tbl>
    <w:p>
      <w:pPr>
        <w:spacing w:after="120" w:line="276"/>
      </w:pPr>
      <w:r>
        <w:t xml:space="preserve">There is a live, encouraging proof that this exact road can be walked successfully, and it is the most useful comparison in the document. Physicians Mutual is an Omaha-based senior-market carrier with the same Neutral business profile we have, and it took the same kind of Medicare Supplement new-business strain we are taking now: through the first half of 2025 its earnings declined, driven primarily by statutory strain from new Medicare Supplement sales. [8] AM Best did exactly what it is doing to us — it credited the strain as the cost of profitable growth, watched the corrective measures management put in place, and waited for the turn. The turn came. In November 2025 AM Best upgraded Physicians Mutual from A to A+, citing strong operating performance and continued favorable balance-sheet metrics. [8] That is the template for our own thesis: same niche, same strain, same AM Best patience, and an upgrade on the other side when the numbers turned.</w:t>
      </w:r>
    </w:p>
    <w:p>
      <w:pPr>
        <w:spacing w:after="120" w:line="276"/>
      </w:pPr>
      <w:r>
        <w:t xml:space="preserve">Two honest qualifiers on the comparison, because the point is to learn from it, not to lean on it. Physicians Mutual made the turn on a </w:t>
      </w:r>
      <w:r>
        <w:rPr>
          <w:i/>
          <w:iCs/>
        </w:rPr>
        <w:t xml:space="preserve">conservative</w:t>
      </w:r>
      <w:r>
        <w:t xml:space="preserve"> investment portfolio, and AM Best notes it carries </w:t>
      </w:r>
      <w:r>
        <w:rPr>
          <w:i/>
          <w:iCs/>
        </w:rPr>
        <w:t xml:space="preserve">excess</w:t>
      </w:r>
      <w:r>
        <w:t xml:space="preserve"> capital — so much that the agency says the excess </w:t>
      </w:r>
      <w:r>
        <w:rPr>
          <w:i/>
          <w:iCs/>
        </w:rPr>
        <w:t xml:space="preserve">depresses</w:t>
      </w:r>
      <w:r>
        <w:t xml:space="preserve"> its return ratios. [8] In other words, it walked the loss phase with more balance-sheet margin than we hold, and a lower-risk asset mix than we are drifting toward (Section 7). The road is walkable; Physicians Mutual proves it. But they walked it with a bigger cushion and a steadier asset posture, which is a reason to protect ours, not to spend it.</w:t>
      </w:r>
    </w:p>
    <w:p>
      <w:pPr>
        <w:spacing w:after="120" w:line="276"/>
      </w:pPr>
      <w:r>
        <w:t xml:space="preserve">The reassuring feature of our own risk is that it is gradual and telegraphed. A downgrade from A on operating performance is almost always preceded by an outlook change from stable to negative, which usually gives a year or more of warning. Our outlook is stable today. The discipline is to keep our losses on the track we gave AM Best, hold pricing and underwriting discipline, show the margins starting to turn toward 2029, and treat any move of our outlook to negative as the warning it is and act on it. Section 9 covers the one category of risk that does not come with that year of warning, and why it is not on our list.</w:t>
      </w:r>
    </w:p>
    <w:p>
      <w:pPr>
        <w:pStyle w:val="Heading1"/>
        <w:spacing w:after="140" w:before="300"/>
      </w:pPr>
      <w:r>
        <w:t xml:space="preserve">9.  ERM: it stays Appropriate, so the risk is execution</w:t>
      </w:r>
    </w:p>
    <w:p>
      <w:pPr>
        <w:spacing w:after="120" w:line="276"/>
      </w:pPr>
      <w:r>
        <w:t xml:space="preserve">ERM is assessed Appropriate, and it should stay there. For a company of our profile it is unlikely to move us up and unlikely to move us down as a score. The right way to hold it is simple: keep doing the blocking and tackling that earns Appropriate, and do not let the assessment slip.</w:t>
      </w:r>
    </w:p>
    <w:p>
      <w:pPr>
        <w:spacing w:after="120" w:line="276"/>
      </w:pPr>
      <w:r>
        <w:t xml:space="preserve">The real risk on the risk side is not the ERM letter. It is failing to execute the risk strategy and letting a preventable event break the company. When a carrier is downgraded over risk management, what actually happens is that a risk failure shows up in the financials. A reinsurance treaty or counterparty goes bad, a reserve proves inadequate, an investment decision turns into a loss, and the damage lands on operating performance or capital, which is what AM Best downgrades. Active ERM is how we keep that from happening. The ERM score is just the label on how well we do it.</w:t>
      </w:r>
    </w:p>
    <w:p>
      <w:pPr>
        <w:pStyle w:val="Heading2"/>
        <w:spacing w:after="100" w:before="200"/>
      </w:pPr>
      <w:r>
        <w:t xml:space="preserve">This is the risk that skips the warning shot — and why it is not ours</w:t>
      </w:r>
    </w:p>
    <w:p>
      <w:pPr>
        <w:spacing w:after="120" w:line="276"/>
      </w:pPr>
      <w:r>
        <w:t xml:space="preserve">Section 8 promised a year of warning before a downgrade. That promise holds for the gradual erosion of operating performance, which AM Best signals through an outlook change. It does not hold for a discrete event, which can trigger an immediate under-review action with no gentle lead time. It is worth naming exactly what those events are, because they are the only way we lose the warning shot — and once named, it is clear they are not our exposures:</w:t>
      </w:r>
    </w:p>
    <w:p>
      <w:pPr>
        <w:pStyle w:val="ListParagraph"/>
        <w:numPr>
          <w:ilvl w:val="0"/>
          <w:numId w:val="2"/>
        </w:numPr>
        <w:spacing w:after="100" w:line="276"/>
      </w:pPr>
      <w:r>
        <w:rPr>
          <w:b/>
          <w:bCs/>
        </w:rPr>
        <w:t xml:space="preserve">Inability to produce timely audited financials, or a governance and controls breakdown. </w:t>
      </w:r>
      <w:r>
        <w:t xml:space="preserve">We file complete, audited statutory statements on schedule and are not under any listing or filing pressure.</w:t>
      </w:r>
    </w:p>
    <w:p>
      <w:pPr>
        <w:pStyle w:val="ListParagraph"/>
        <w:numPr>
          <w:ilvl w:val="0"/>
          <w:numId w:val="2"/>
        </w:numPr>
        <w:spacing w:after="100" w:line="276"/>
      </w:pPr>
      <w:r>
        <w:rPr>
          <w:b/>
          <w:bCs/>
        </w:rPr>
        <w:t xml:space="preserve">A sudden, large reserve strengthening or adverse development. </w:t>
      </w:r>
      <w:r>
        <w:t xml:space="preserve">Our Medicare Supplement book is short-tail health business with stable, well-understood reserving; we do not carry the long-tail liability lines (commercial auto and the like) where surprise development blows a hole in capital.</w:t>
      </w:r>
    </w:p>
    <w:p>
      <w:pPr>
        <w:pStyle w:val="ListParagraph"/>
        <w:numPr>
          <w:ilvl w:val="0"/>
          <w:numId w:val="2"/>
        </w:numPr>
        <w:spacing w:after="100" w:line="276"/>
      </w:pPr>
      <w:r>
        <w:rPr>
          <w:b/>
          <w:bCs/>
        </w:rPr>
        <w:t xml:space="preserve">Failure or default of a material reinsurance counterparty. </w:t>
      </w:r>
      <w:r>
        <w:t xml:space="preserve">Our largest single cession is the GenRe quota share, at roughly 10% of the full book, with a strong counterparty and inside our risk appetite. No single counterparty is large enough to break us.</w:t>
      </w:r>
    </w:p>
    <w:p>
      <w:pPr>
        <w:pStyle w:val="ListParagraph"/>
        <w:numPr>
          <w:ilvl w:val="0"/>
          <w:numId w:val="2"/>
        </w:numPr>
        <w:spacing w:after="100" w:line="276"/>
      </w:pPr>
      <w:r>
        <w:rPr>
          <w:b/>
          <w:bCs/>
        </w:rPr>
        <w:t xml:space="preserve">Fraud or a material-weakness finding. </w:t>
      </w:r>
      <w:r>
        <w:t xml:space="preserve">Not a feature of our control environment.</w:t>
      </w:r>
    </w:p>
    <w:p>
      <w:pPr>
        <w:spacing w:after="120" w:line="276"/>
      </w:pPr>
      <w:r>
        <w:t xml:space="preserve">None of those is present in our profile. That is the point of the list: because we avoid every path that bypasses the warning, the warning will come. A move of our outlook to negative is the signal, and acting on it is the job.</w:t>
      </w:r>
    </w:p>
    <w:p>
      <w:pPr>
        <w:pStyle w:val="Heading2"/>
        <w:spacing w:after="100" w:before="200"/>
      </w:pPr>
      <w:r>
        <w:t xml:space="preserve">The live cautionary tale, and how it contrasts with us</w:t>
      </w:r>
    </w:p>
    <w:p>
      <w:pPr>
        <w:spacing w:after="120" w:line="276"/>
      </w:pPr>
      <w:r>
        <w:t xml:space="preserve">Our own peer set has the lesson in real time. In April 2026 AM Best downgraded the Atlantic American group's property-casualty member, American Southern, to A- from A, moving its balance sheet to Strong from Very Strong after reserve strengthening and adverse development in commercial auto liability drained its risk-adjusted capital — with management signaling more reserve strengthening to come. AM Best also flagged that the group's largest account was a significant concentration that lacked the structural reinsurance and retrospective protections present on its other accounts. [10] Then, in June 2026, AM Best placed the Bankers Fidelity life group under review with negative implications for a separate reason entirely: the parent, Atlantic American, was unable to file its Form 10-K and 10-Q, which cost it NASDAQ compliance and cut off AM Best's visibility into its financials. [10]</w:t>
      </w:r>
    </w:p>
    <w:p>
      <w:pPr>
        <w:spacing w:after="120" w:line="276"/>
      </w:pPr>
      <w:r>
        <w:t xml:space="preserve">Both are execution failures that surfaced as capital and governance problems and drove rating action. Neither began as an ERM score quietly dropping. And the contrast with us is exact on the two points that mattered: their hit came through a long-tail reserve line we do not write, and through a concentrated account that lacked reinsurance protection — where our largest counterparty is a 10% cession that has it. The cautionary tale is real, and it is also a list of things that are not on our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8" w:sz="18"/>
              <w:left w:val="single" w:color="EEF3F8" w:sz="4"/>
              <w:bottom w:val="single" w:color="EEF3F8" w:sz="4"/>
              <w:right w:val="single" w:color="EEF3F8" w:sz="4"/>
            </w:tcBorders>
            <w:shd w:fill="EEF3F8" w:val="clear"/>
            <w:tcMar>
              <w:top w:type="dxa" w:w="140"/>
              <w:left w:type="dxa" w:w="200"/>
              <w:bottom w:type="dxa" w:w="140"/>
              <w:right w:type="dxa" w:w="200"/>
            </w:tcMar>
          </w:tcPr>
          <w:p>
            <w:pPr>
              <w:spacing w:after="80"/>
            </w:pPr>
            <w:r>
              <w:rPr>
                <w:b/>
                <w:bCs/>
                <w:color w:val="0B1C2C"/>
              </w:rPr>
              <w:t xml:space="preserve">Our ERM job, in one line</w:t>
            </w:r>
          </w:p>
          <w:p>
            <w:pPr>
              <w:spacing w:after="60" w:line="268"/>
            </w:pPr>
            <w:r>
              <w:rPr>
                <w:color w:val="0B1C2C"/>
              </w:rPr>
              <w:t xml:space="preserve">Keep the assessment at Appropriate, and execute the risk strategy well enough that nothing breaks us — especially through our reinsurance arrangements and our investment portfolio, where a single bad decision could do more damage to the rating than years of new-business strain. We avoid the four events above, so we keep the warning shot.</w:t>
            </w:r>
          </w:p>
        </w:tc>
      </w:tr>
    </w:tbl>
    <w:p>
      <w:pPr>
        <w:pStyle w:val="Heading1"/>
        <w:spacing w:after="140" w:before="300"/>
      </w:pPr>
      <w:r>
        <w:t xml:space="preserve">10.  Business profile and the diversification question</w:t>
      </w:r>
    </w:p>
    <w:p>
      <w:pPr>
        <w:spacing w:after="120" w:line="276"/>
      </w:pPr>
      <w:r>
        <w:t xml:space="preserve">Business profile is assessed Neutral, and it is our ceiling. It is the reason a well-capitalized group like ours sits at A, and it is the slowest block to change.</w:t>
      </w:r>
    </w:p>
    <w:p>
      <w:pPr>
        <w:spacing w:after="120" w:line="276"/>
      </w:pPr>
      <w:r>
        <w:t xml:space="preserve">We are diversified across Medicare Supplement, preneed, hospital indemnity, short-term care, and some life and annuity blocks, and AM Best counts that. Diversification across different products and different risk types is what the business-profile assessment rewards. Medicare Supplement is health and morbidity risk, preneed is long-tailed mortality risk, and the other lines add further distinct exposures, so the credit is real and it helps. [1]</w:t>
      </w:r>
    </w:p>
    <w:p>
      <w:pPr>
        <w:spacing w:after="120" w:line="276"/>
      </w:pPr>
      <w:r>
        <w:t xml:space="preserve">The catch is that all of it sits inside the senior market. That credit helps hold us at Neutral, but it does not lift us higher, because the whole book still rides the same customer and the same market. Two peers make the ceiling concrete. Physicians Mutual is also assessed Neutral, for the same reason — it is an excellent senior-market carrier that stays inside the niche. [8] Mutual of Omaha, by contrast, is assessed Favorable, a notch better, because it broke out of the niche: leading positions across Medicare Supplement and a top-ten presence in group benefits, pension risk transfer, indexed universal life, traditional life, and reverse mortgage lending. [7] That is what a better-than-Neutral business profile actually looks like, and it is the gap between us and the A+ peers. Stay inside the senior niche, however many products we add, and we stay at Neutral.</w:t>
      </w:r>
    </w:p>
    <w:p>
      <w:pPr>
        <w:pStyle w:val="Heading1"/>
        <w:spacing w:after="140" w:before="300"/>
      </w:pPr>
      <w:r>
        <w:t xml:space="preserve">11.  What the peers tell us</w:t>
      </w:r>
    </w:p>
    <w:p>
      <w:pPr>
        <w:spacing w:after="120" w:line="276"/>
      </w:pPr>
      <w:r>
        <w:t xml:space="preserve">Lined up together, the peers say one thing in chorus: capital sets your resilience, but operating performance and franchise set your rating. [6][7][8][9][10][12]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2500"/>
        <w:gridCol w:w="4510"/>
      </w:tblGrid>
      <w:tr>
        <w:trPr>
          <w:tblHeader/>
        </w:trPr>
        <w:tc>
          <w:tcPr>
            <w:tcW w:type="dxa" w:w="235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Carrier</w:t>
            </w:r>
          </w:p>
        </w:tc>
        <w:tc>
          <w:tcPr>
            <w:tcW w:type="dxa" w:w="25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AM Best FSR</w:t>
            </w:r>
          </w:p>
        </w:tc>
        <w:tc>
          <w:tcPr>
            <w:tcW w:type="dxa" w:w="451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pPr>
            <w:r>
              <w:rPr>
                <w:b/>
                <w:bCs/>
                <w:color w:val="FFFFFF"/>
                <w:sz w:val="19"/>
                <w:szCs w:val="19"/>
              </w:rPr>
              <w:t xml:space="preserve">What it tells us</w:t>
            </w:r>
          </w:p>
        </w:tc>
      </w:tr>
      <w:tr>
        <w:tc>
          <w:tcPr>
            <w:tcW w:type="dxa" w:w="23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b/>
                <w:bCs/>
                <w:sz w:val="19"/>
                <w:szCs w:val="19"/>
              </w:rPr>
              <w:t xml:space="preserve">Mutual of Omaha</w:t>
            </w:r>
          </w:p>
        </w:tc>
        <w:tc>
          <w:tcPr>
            <w:tcW w:type="dxa" w:w="2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A+ (Superior)</w:t>
            </w:r>
          </w:p>
        </w:tc>
        <w:tc>
          <w:tcPr>
            <w:tcW w:type="dxa" w:w="45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Scale, diversification beyond the senior niche, and profitability earn the notch above us — not capital. Lower RBC than us, one balance-sheet tier below us, rated higher.</w:t>
            </w:r>
          </w:p>
        </w:tc>
      </w:tr>
      <w:tr>
        <w:tc>
          <w:tcPr>
            <w:tcW w:type="dxa" w:w="235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b/>
                <w:bCs/>
                <w:sz w:val="19"/>
                <w:szCs w:val="19"/>
              </w:rPr>
              <w:t xml:space="preserve">Physicians Mutual</w:t>
            </w:r>
          </w:p>
        </w:tc>
        <w:tc>
          <w:tcPr>
            <w:tcW w:type="dxa" w:w="25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A+ (Superior)</w:t>
            </w:r>
          </w:p>
        </w:tc>
        <w:tc>
          <w:tcPr>
            <w:tcW w:type="dxa" w:w="451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The mirror of our path: same niche, same Med Sup strain, upgraded A→A+ in Nov 2025 when earnings turned. Strongest balance sheet, held on a conservative portfolio and excess capital.</w:t>
            </w:r>
          </w:p>
        </w:tc>
      </w:tr>
      <w:tr>
        <w:tc>
          <w:tcPr>
            <w:tcW w:type="dxa" w:w="23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b/>
                <w:bCs/>
                <w:sz w:val="19"/>
                <w:szCs w:val="19"/>
              </w:rPr>
              <w:t xml:space="preserve">Globe Life</w:t>
            </w:r>
          </w:p>
        </w:tc>
        <w:tc>
          <w:tcPr>
            <w:tcW w:type="dxa" w:w="2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A (Excellent)</w:t>
            </w:r>
          </w:p>
        </w:tc>
        <w:tc>
          <w:tcPr>
            <w:tcW w:type="dxa" w:w="45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Same A as us on a weaker (Strong) balance sheet and ~316% RBC, carried entirely by very strong earnings.</w:t>
            </w:r>
          </w:p>
        </w:tc>
      </w:tr>
      <w:tr>
        <w:tc>
          <w:tcPr>
            <w:tcW w:type="dxa" w:w="235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b/>
                <w:bCs/>
                <w:sz w:val="19"/>
                <w:szCs w:val="19"/>
              </w:rPr>
              <w:t xml:space="preserve">Wellabe</w:t>
            </w:r>
          </w:p>
        </w:tc>
        <w:tc>
          <w:tcPr>
            <w:tcW w:type="dxa" w:w="25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A (Excellent)</w:t>
            </w:r>
          </w:p>
        </w:tc>
        <w:tc>
          <w:tcPr>
            <w:tcW w:type="dxa" w:w="451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Strongest balance sheet, held at A by Adequate earnings during the growth-loss phase.</w:t>
            </w:r>
          </w:p>
        </w:tc>
      </w:tr>
      <w:tr>
        <w:tc>
          <w:tcPr>
            <w:tcW w:type="dxa" w:w="23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b/>
                <w:bCs/>
                <w:sz w:val="19"/>
                <w:szCs w:val="19"/>
              </w:rPr>
              <w:t xml:space="preserve">Bankers Fidelity / Atlantic American</w:t>
            </w:r>
          </w:p>
        </w:tc>
        <w:tc>
          <w:tcPr>
            <w:tcW w:type="dxa" w:w="2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A- , under review</w:t>
            </w:r>
          </w:p>
        </w:tc>
        <w:tc>
          <w:tcPr>
            <w:tcW w:type="dxa" w:w="45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pPr>
            <w:r>
              <w:rPr>
                <w:sz w:val="19"/>
                <w:szCs w:val="19"/>
              </w:rPr>
              <w:t xml:space="preserve">The execution-risk case: reserve and reporting failures, not a quietly drifting ratio.</w:t>
            </w:r>
          </w:p>
        </w:tc>
      </w:tr>
      <w:tr>
        <w:tc>
          <w:tcPr>
            <w:tcW w:type="dxa" w:w="235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b/>
                <w:bCs/>
                <w:sz w:val="19"/>
                <w:szCs w:val="19"/>
              </w:rPr>
              <w:t xml:space="preserve">ManhattanLife (Western United B+)</w:t>
            </w:r>
          </w:p>
        </w:tc>
        <w:tc>
          <w:tcPr>
            <w:tcW w:type="dxa" w:w="250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B++ (Good)</w:t>
            </w:r>
          </w:p>
        </w:tc>
        <w:tc>
          <w:tcPr>
            <w:tcW w:type="dxa" w:w="4510"/>
            <w:tcBorders>
              <w:top w:val="single" w:color="C9D2DC" w:sz="1"/>
              <w:left w:val="single" w:color="C9D2DC" w:sz="1"/>
              <w:bottom w:val="single" w:color="C9D2DC" w:sz="1"/>
              <w:right w:val="single" w:color="C9D2DC" w:sz="1"/>
            </w:tcBorders>
            <w:shd w:fill="F4F7FA" w:val="clear"/>
            <w:tcMar>
              <w:top w:type="dxa" w:w="60"/>
              <w:left w:type="dxa" w:w="110"/>
              <w:bottom w:type="dxa" w:w="60"/>
              <w:right w:type="dxa" w:w="110"/>
            </w:tcMar>
            <w:vAlign w:val="center"/>
          </w:tcPr>
          <w:p>
            <w:pPr>
              <w:spacing w:after="0"/>
            </w:pPr>
            <w:r>
              <w:rPr>
                <w:sz w:val="19"/>
                <w:szCs w:val="19"/>
              </w:rPr>
              <w:t xml:space="preserve">Sells in our agent channels below A- — proof the rating's value is not basic shelf access.</w:t>
            </w:r>
          </w:p>
        </w:tc>
      </w:tr>
    </w:tbl>
    <w:p>
      <w:pPr>
        <w:spacing w:after="80"/>
      </w:pPr>
    </w:p>
    <w:p>
      <w:pPr>
        <w:pStyle w:val="Heading2"/>
        <w:spacing w:after="100" w:before="200"/>
      </w:pPr>
      <w:r>
        <w:t xml:space="preserve">Why is Physicians Mutual A+ when we are A?</w:t>
      </w:r>
    </w:p>
    <w:p>
      <w:pPr>
        <w:spacing w:after="120" w:line="276"/>
      </w:pPr>
      <w:r>
        <w:t xml:space="preserve">Because its earnings turned and ours have not yet. Physicians Mutual carries roughly $1.2 billion in capital and surplus on $4.3 billion in assets, against our $531 million on $3.1 billion — so it is about 2.3 times our size on capital and 1.4 times on assets, with a strong direct brand and a long record of profitable results across Medicare Supplement, dental, and life. [8] Crucially, it took the same Medicare Supplement strain we are taking, and AM Best upgraded it A→A+ in November 2025 once the corrective measures worked and operating performance came through. [8] From the same Strongest balance-sheet baseline, its now-strong operating performance and larger franchise notch it up. We sit at the baseline because our operating performance is currently held at Adequate by the growth losses. The gap is earnings and scale, not capital — and Physicians Mutual is the proof that closing the earnings gap is what moves the letter.</w:t>
      </w:r>
    </w:p>
    <w:p>
      <w:pPr>
        <w:pStyle w:val="Heading2"/>
        <w:spacing w:after="100" w:before="200"/>
      </w:pPr>
      <w:r>
        <w:t xml:space="preserve">Why is Bankers Fidelity under pressure?</w:t>
      </w:r>
    </w:p>
    <w:p>
      <w:pPr>
        <w:spacing w:after="120" w:line="276"/>
      </w:pPr>
      <w:r>
        <w:t xml:space="preserve">For the reasons in Section 9, made concrete. As of June 2026 the Bankers Fidelity group is A- and under review with negative implications because its parent could not file its financial statements, and its property-casualty sibling was downgraded in April 2026 on commercial-auto reserve problems and a concentrated, under-protected largest account. [10] This is reserve, concentration, and reporting execution failure, not a capital ratio that quietly drifted, and it is the clearest current illustration of how downgrades actually happen on the risk side.</w:t>
      </w:r>
    </w:p>
    <w:p>
      <w:pPr>
        <w:pStyle w:val="Heading2"/>
        <w:spacing w:after="100" w:before="200"/>
      </w:pPr>
      <w:r>
        <w:t xml:space="preserve">How does ManhattanLife sell in our channels at B++?</w:t>
      </w:r>
    </w:p>
    <w:p>
      <w:pPr>
        <w:spacing w:after="120" w:line="276"/>
      </w:pPr>
      <w:r>
        <w:t xml:space="preserve">Because in independent-agent Medicare Supplement and supplemental health the rating is not the gate. ManhattanLife competes in the same marketing organizations and agent channels we use at B++, and its Western United Life subsidiary does the same at B+. [12] That is the clearest evidence that the commercial value of our own rating sits in preneed, reinsurance, and franchise strength rather than in basic agent shelf access.</w:t>
      </w:r>
    </w:p>
    <w:p>
      <w:pPr>
        <w:pStyle w:val="Heading1"/>
        <w:spacing w:after="140" w:before="300"/>
      </w:pPr>
      <w:r>
        <w:t xml:space="preserve">12.  Summary</w:t>
      </w:r>
    </w:p>
    <w:p>
      <w:pPr>
        <w:pStyle w:val="ListParagraph"/>
        <w:numPr>
          <w:ilvl w:val="0"/>
          <w:numId w:val="2"/>
        </w:numPr>
        <w:spacing w:after="100" w:line="276"/>
      </w:pPr>
      <w:r>
        <w:rPr>
          <w:b/>
          <w:bCs/>
        </w:rPr>
        <w:t xml:space="preserve">We are A because AM Best believes our growth will pay off. </w:t>
      </w:r>
      <w:r>
        <w:t xml:space="preserve">We are deliberately losing money to write a lot of new business, and they are betting, with us, that it turns profitable as it ages. Our plan dates that turn to 2029. We hold the rating by making the bet come true and keeping the losses on the path we promised.</w:t>
      </w:r>
    </w:p>
    <w:p>
      <w:pPr>
        <w:pStyle w:val="ListParagraph"/>
        <w:numPr>
          <w:ilvl w:val="0"/>
          <w:numId w:val="2"/>
        </w:numPr>
        <w:spacing w:after="100" w:line="276"/>
      </w:pPr>
      <w:r>
        <w:rPr>
          <w:b/>
          <w:bCs/>
        </w:rPr>
        <w:t xml:space="preserve">Operating performance decides our rating. </w:t>
      </w:r>
      <w:r>
        <w:t xml:space="preserve">It is the most likely block to move, and the move that matters is down to A- if losses exceed projections or the Medicare Supplement block does not turn on the 2029 schedule. The A&amp;H combined ratio is the single number that tells us whether the thesis is holding; actual-versus-planned, reported on a cadence, is rating work. Physicians Mutual shows the turn is achievable — same niche, same strain, upgraded when its numbers turned.</w:t>
      </w:r>
    </w:p>
    <w:p>
      <w:pPr>
        <w:pStyle w:val="ListParagraph"/>
        <w:numPr>
          <w:ilvl w:val="0"/>
          <w:numId w:val="2"/>
        </w:numPr>
        <w:spacing w:after="100" w:line="276"/>
      </w:pPr>
      <w:r>
        <w:rPr>
          <w:b/>
          <w:bCs/>
        </w:rPr>
        <w:t xml:space="preserve">Our balance sheet is the most secure block and will not be the trigger on its own. </w:t>
      </w:r>
      <w:r>
        <w:t xml:space="preserve">Our BCAR cushion sits far inside Strongest, and AM Best expects it to stay there even with our projected losses. But the cushion is funding the growth strain, the asset side moved the wrong way this year, and a capital decline deep enough to threaten the tier would be driven by an operating-performance collapse that drops two blocks at once. Keep it comfortably inside Strongest; do not treat it as idle surplus.</w:t>
      </w:r>
    </w:p>
    <w:p>
      <w:pPr>
        <w:pStyle w:val="ListParagraph"/>
        <w:numPr>
          <w:ilvl w:val="0"/>
          <w:numId w:val="2"/>
        </w:numPr>
        <w:spacing w:after="100" w:line="276"/>
      </w:pPr>
      <w:r>
        <w:rPr>
          <w:b/>
          <w:bCs/>
        </w:rPr>
        <w:t xml:space="preserve">ERM stays Appropriate, so the risk is execution. </w:t>
      </w:r>
      <w:r>
        <w:t xml:space="preserve">A failed reinsurance treaty, an investment mistake, or a controls breakdown that hits capital or earnings is the real danger. Those are also the only events that skip the warning shot — and we avoid all of them, so the warning will come. Bankers Fidelity is the live cautionary tale, and the contrast with us is exact.</w:t>
      </w:r>
    </w:p>
    <w:p>
      <w:pPr>
        <w:pStyle w:val="ListParagraph"/>
        <w:numPr>
          <w:ilvl w:val="0"/>
          <w:numId w:val="2"/>
        </w:numPr>
        <w:spacing w:after="100" w:line="276"/>
      </w:pPr>
      <w:r>
        <w:rPr>
          <w:b/>
          <w:bCs/>
        </w:rPr>
        <w:t xml:space="preserve">The line to defend is B++, not A-. </w:t>
      </w:r>
      <w:r>
        <w:t xml:space="preserve">A- would be workable in our channels and mostly costs us our cushion and our standing within the preneed tier. Below A- is where it hurts, most of all in preneed, capital raises, and reinsurance.</w:t>
      </w:r>
    </w:p>
    <w:p>
      <w:pPr>
        <w:pStyle w:val="ListParagraph"/>
        <w:numPr>
          <w:ilvl w:val="0"/>
          <w:numId w:val="2"/>
        </w:numPr>
        <w:spacing w:after="100" w:line="276"/>
      </w:pPr>
      <w:r>
        <w:rPr>
          <w:b/>
          <w:bCs/>
        </w:rPr>
        <w:t xml:space="preserve">On capital deployment, the room is real but conditional — not free. </w:t>
      </w:r>
      <w:r>
        <w:t xml:space="preserve">Our BCAR headroom and AM Best's own forward run give us room to deploy capital modestly and on-plan while holding Strongest today. But the peer evidence is clear-eyed: lower capital tends to move the balance-sheet tier down (Globe at Strong, Mutual of Omaha at Very Strong), and those carriers keep their rating only because earnings carry them — the block we are currently weak on. So the room to give capital back is widest once operating performance turns, and narrowest now, while it is the cushion funding the strain. Deploy deliberately and on plan; the case for running leaner strengthens as the 2029 turn arrives, not before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8" w:sz="18"/>
              <w:left w:val="single" w:color="EEF3F8" w:sz="4"/>
              <w:bottom w:val="single" w:color="EEF3F8" w:sz="4"/>
              <w:right w:val="single" w:color="EEF3F8" w:sz="4"/>
            </w:tcBorders>
            <w:shd w:fill="EEF3F8" w:val="clear"/>
            <w:tcMar>
              <w:top w:type="dxa" w:w="140"/>
              <w:left w:type="dxa" w:w="200"/>
              <w:bottom w:type="dxa" w:w="140"/>
              <w:right w:type="dxa" w:w="200"/>
            </w:tcMar>
          </w:tcPr>
          <w:p>
            <w:pPr>
              <w:spacing w:after="80"/>
            </w:pPr>
            <w:r>
              <w:rPr>
                <w:b/>
                <w:bCs/>
                <w:color w:val="0B1C2C"/>
              </w:rPr>
              <w:t xml:space="preserve">The bottom line</w:t>
            </w:r>
          </w:p>
          <w:p>
            <w:pPr>
              <w:spacing w:after="60" w:line="268"/>
            </w:pPr>
            <w:r>
              <w:rPr>
                <w:color w:val="0B1C2C"/>
              </w:rPr>
              <w:t xml:space="preserve">We are not trying to reach A+. We are trying to stay A through a deliberate, loss-heavy growth phase, and to never drop below A-. The things that protect the rating are the same things that prove the growth bet: results that track the plan to 2029, a balance sheet kept firmly in Strongest, and a risk program executed well enough that nothing breaks us. Capital is our margin of safety through that phase — real, deep, and best deployed on plan rather than spent ahead of the earnings turn that justifies it.</w:t>
            </w:r>
          </w:p>
        </w:tc>
      </w:tr>
    </w:tbl>
    <w:p>
      <w:pPr>
        <w:pStyle w:val="Heading1"/>
        <w:spacing w:after="140" w:before="300"/>
      </w:pPr>
      <w:r>
        <w:t xml:space="preserve">Sources</w:t>
      </w:r>
    </w:p>
    <w:p>
      <w:pPr>
        <w:spacing w:after="120" w:line="276"/>
      </w:pPr>
      <w:r>
        <w:rPr>
          <w:color w:val="5A6470"/>
          <w:sz w:val="19"/>
          <w:szCs w:val="19"/>
        </w:rPr>
        <w:t xml:space="preserve">Rating opinions, assessment descriptors, and financial figures for Wellabe are drawn from the AM Best credit reports prepared for the company. Competitor ratings and capital figures are from the cited public disclosures and AM Best rating communications. Figures are stated as of the most recent data available at the time of writing.</w:t>
      </w:r>
    </w:p>
    <w:p>
      <w:pPr>
        <w:spacing w:after="80" w:line="264"/>
      </w:pPr>
      <w:r>
        <w:rPr>
          <w:b/>
          <w:bCs/>
          <w:color w:val="0B1C2C"/>
          <w:sz w:val="19"/>
          <w:szCs w:val="19"/>
        </w:rPr>
        <w:t xml:space="preserve">[1]  </w:t>
      </w:r>
      <w:r>
        <w:rPr>
          <w:color w:val="5A6470"/>
          <w:sz w:val="19"/>
          <w:szCs w:val="19"/>
        </w:rPr>
        <w:t xml:space="preserve">AM Best, Best’s Credit Report: Wellabe Group (AMB #070369), effective May 8, 2026 (FSR, assessment descriptors, BCAR scores, five-year financials, rating drivers, outlook, asset-leverage figures).</w:t>
      </w:r>
    </w:p>
    <w:p>
      <w:pPr>
        <w:spacing w:after="80" w:line="264"/>
      </w:pPr>
      <w:r>
        <w:rPr>
          <w:b/>
          <w:bCs/>
          <w:color w:val="0B1C2C"/>
          <w:sz w:val="19"/>
          <w:szCs w:val="19"/>
        </w:rPr>
        <w:t xml:space="preserve">[2]  </w:t>
      </w:r>
      <w:r>
        <w:rPr>
          <w:color w:val="5A6470"/>
          <w:sz w:val="19"/>
          <w:szCs w:val="19"/>
        </w:rPr>
        <w:t xml:space="preserve">AM Best, Best’s Credit Report: Wellabe Group (AMB #070369), effective April 19, 2024 (prior-period BCAR).</w:t>
      </w:r>
    </w:p>
    <w:p>
      <w:pPr>
        <w:spacing w:after="80" w:line="264"/>
      </w:pPr>
      <w:r>
        <w:rPr>
          <w:b/>
          <w:bCs/>
          <w:color w:val="0B1C2C"/>
          <w:sz w:val="19"/>
          <w:szCs w:val="19"/>
        </w:rPr>
        <w:t xml:space="preserve">[3]  </w:t>
      </w:r>
      <w:r>
        <w:rPr>
          <w:color w:val="5A6470"/>
          <w:sz w:val="19"/>
          <w:szCs w:val="19"/>
        </w:rPr>
        <w:t xml:space="preserve">AM Best, Best’s Credit Rating Methodology (rating process: balance-sheet baseline, building blocks, and notching).</w:t>
      </w:r>
    </w:p>
    <w:p>
      <w:pPr>
        <w:spacing w:after="80" w:line="264"/>
      </w:pPr>
      <w:r>
        <w:rPr>
          <w:b/>
          <w:bCs/>
          <w:color w:val="0B1C2C"/>
          <w:sz w:val="19"/>
          <w:szCs w:val="19"/>
        </w:rPr>
        <w:t xml:space="preserve">[4]  </w:t>
      </w:r>
      <w:r>
        <w:rPr>
          <w:color w:val="5A6470"/>
          <w:sz w:val="19"/>
          <w:szCs w:val="19"/>
        </w:rPr>
        <w:t xml:space="preserve">AM Best, Understanding BCAR for U.S. and Canadian Life/Health Insurers.</w:t>
      </w:r>
    </w:p>
    <w:p>
      <w:pPr>
        <w:spacing w:after="80" w:line="264"/>
      </w:pPr>
      <w:r>
        <w:rPr>
          <w:b/>
          <w:bCs/>
          <w:color w:val="0B1C2C"/>
          <w:sz w:val="19"/>
          <w:szCs w:val="19"/>
        </w:rPr>
        <w:t xml:space="preserve">[5]  </w:t>
      </w:r>
      <w:r>
        <w:rPr>
          <w:color w:val="5A6470"/>
          <w:sz w:val="19"/>
          <w:szCs w:val="19"/>
        </w:rPr>
        <w:t xml:space="preserve">Mutual of Omaha, Fixed Income Investor Presentation, Q3 2025 (financial strength rating; company action level RBC ratio).</w:t>
      </w:r>
    </w:p>
    <w:p>
      <w:pPr>
        <w:spacing w:after="80" w:line="264"/>
      </w:pPr>
      <w:r>
        <w:rPr>
          <w:b/>
          <w:bCs/>
          <w:color w:val="0B1C2C"/>
          <w:sz w:val="19"/>
          <w:szCs w:val="19"/>
        </w:rPr>
        <w:t xml:space="preserve">[6]  </w:t>
      </w:r>
      <w:r>
        <w:rPr>
          <w:color w:val="5A6470"/>
          <w:sz w:val="19"/>
          <w:szCs w:val="19"/>
        </w:rPr>
        <w:t xml:space="preserve">Globe Life Inc., Q2 2025 earnings call and FY2024 Form 10-K (consolidated Company Action Level RBC ratio of 316% at year-end 2024; 300%–320% target).</w:t>
      </w:r>
    </w:p>
    <w:p>
      <w:pPr>
        <w:spacing w:after="80" w:line="264"/>
      </w:pPr>
      <w:r>
        <w:rPr>
          <w:b/>
          <w:bCs/>
          <w:color w:val="0B1C2C"/>
          <w:sz w:val="19"/>
          <w:szCs w:val="19"/>
        </w:rPr>
        <w:t xml:space="preserve">[7]  </w:t>
      </w:r>
      <w:r>
        <w:rPr>
          <w:color w:val="5A6470"/>
          <w:sz w:val="19"/>
          <w:szCs w:val="19"/>
        </w:rPr>
        <w:t xml:space="preserve">AM Best, affirmation of the credit ratings of Mutual of Omaha Insurance Company and its subsidiaries, A+ (Superior), April 2, 2026 (overall balance sheet assessed Very Strong; risk-adjusted capitalization Strongest on BCAR; favorable business profile; leading Medicare Supplement writer with top-ten positions across multiple lines).</w:t>
      </w:r>
    </w:p>
    <w:p>
      <w:pPr>
        <w:spacing w:after="80" w:line="264"/>
      </w:pPr>
      <w:r>
        <w:rPr>
          <w:b/>
          <w:bCs/>
          <w:color w:val="0B1C2C"/>
          <w:sz w:val="19"/>
          <w:szCs w:val="19"/>
        </w:rPr>
        <w:t xml:space="preserve">[8]  </w:t>
      </w:r>
      <w:r>
        <w:rPr>
          <w:color w:val="5A6470"/>
          <w:sz w:val="19"/>
          <w:szCs w:val="19"/>
        </w:rPr>
        <w:t xml:space="preserve">AM Best, upgrade of the credit ratings of Physicians Mutual Group members to A+ (Superior) from A (Excellent), November 13, 2025 (balance sheet assessed Strongest; operating performance Strong; neutral business profile; statutory strain from new Medicare Supplement sales; conservative, predominantly investment-grade portfolio; excess capital depressing return ratios).</w:t>
      </w:r>
    </w:p>
    <w:p>
      <w:pPr>
        <w:spacing w:after="80" w:line="264"/>
      </w:pPr>
      <w:r>
        <w:rPr>
          <w:b/>
          <w:bCs/>
          <w:color w:val="0B1C2C"/>
          <w:sz w:val="19"/>
          <w:szCs w:val="19"/>
        </w:rPr>
        <w:t xml:space="preserve">[9]  </w:t>
      </w:r>
      <w:r>
        <w:rPr>
          <w:color w:val="5A6470"/>
          <w:sz w:val="19"/>
          <w:szCs w:val="19"/>
        </w:rPr>
        <w:t xml:space="preserve">AM Best, press release affirming the credit ratings of Globe Life Inc. and its subsidiaries, A (Excellent), November 12, 2025 (balance-sheet strength assessed Strong; very strong operating performance).</w:t>
      </w:r>
    </w:p>
    <w:p>
      <w:pPr>
        <w:spacing w:after="80" w:line="264"/>
      </w:pPr>
      <w:r>
        <w:rPr>
          <w:b/>
          <w:bCs/>
          <w:color w:val="0B1C2C"/>
          <w:sz w:val="19"/>
          <w:szCs w:val="19"/>
        </w:rPr>
        <w:t xml:space="preserve">[10]  </w:t>
      </w:r>
      <w:r>
        <w:rPr>
          <w:color w:val="5A6470"/>
          <w:sz w:val="19"/>
          <w:szCs w:val="19"/>
        </w:rPr>
        <w:t xml:space="preserve">AM Best, rating communications on Atlantic American Corporation and its subsidiaries: downgrade of American Southern Group to A- on balance-sheet revision to Strong from Very Strong, driven by commercial-auto reserve strengthening and adverse development and a concentrated largest account lacking structural reinsurance protections, April 22, 2026; Bankers Fidelity Life Insurance Group placed under review with negative implications after the parent was unable to file its Form 10-K and 10-Q, June 17, 2026.</w:t>
      </w:r>
    </w:p>
    <w:p>
      <w:pPr>
        <w:spacing w:after="80" w:line="264"/>
      </w:pPr>
      <w:r>
        <w:rPr>
          <w:b/>
          <w:bCs/>
          <w:color w:val="0B1C2C"/>
          <w:sz w:val="19"/>
          <w:szCs w:val="19"/>
        </w:rPr>
        <w:t xml:space="preserve">[11]  </w:t>
      </w:r>
      <w:r>
        <w:rPr>
          <w:color w:val="5A6470"/>
          <w:sz w:val="19"/>
          <w:szCs w:val="19"/>
        </w:rPr>
        <w:t xml:space="preserve">AM Best, affirmation of National Guardian Life Insurance Company, A (Excellent), effective July 18, 2025; affirmation of Homesteaders Life Company, A- (Excellent), effective May 2025; affirmation of Funeral Directors Life Insurance Company, A- (Excellent), 2025.</w:t>
      </w:r>
    </w:p>
    <w:p>
      <w:pPr>
        <w:spacing w:after="80" w:line="264"/>
      </w:pPr>
      <w:r>
        <w:rPr>
          <w:b/>
          <w:bCs/>
          <w:color w:val="0B1C2C"/>
          <w:sz w:val="19"/>
          <w:szCs w:val="19"/>
        </w:rPr>
        <w:t xml:space="preserve">[12]  </w:t>
      </w:r>
      <w:r>
        <w:rPr>
          <w:color w:val="5A6470"/>
          <w:sz w:val="19"/>
          <w:szCs w:val="19"/>
        </w:rPr>
        <w:t xml:space="preserve">AM Best financial strength ratings of ManhattanLife Insurance Company (B++) and Western United Life Assurance Company (B+); Texas Department of Insurance Medicare Supplement carrier listing.</w:t>
      </w:r>
    </w:p>
    <w:sectPr>
      <w:headerReference w:type="default" r:id="rId7"/>
      <w:footerReference w:type="default" r:id="rId8"/>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C" w:sz="4" w:space="4"/>
      </w:pBdr>
      <w:tabs>
        <w:tab w:val="right" w:pos="9360"/>
      </w:tabs>
      <w:spacing w:before="0"/>
    </w:pPr>
    <w:r>
      <w:rPr>
        <w:color w:val="5A6470"/>
        <w:sz w:val="16"/>
        <w:szCs w:val="16"/>
      </w:rPr>
      <w:t xml:space="preserve">AM Best and Financial Strength Ratings — ELT Field Guide</w:t>
    </w:r>
    <w:r>
      <w:rPr>
        <w:color w:val="5A6470"/>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tabs>
        <w:tab w:val="right" w:pos="9360"/>
      </w:tabs>
      <w:spacing w:after="0"/>
    </w:pPr>
    <w:r>
      <w:rPr>
        <w:color w:val="5A6470"/>
        <w:sz w:val="16"/>
        <w:szCs w:val="16"/>
      </w:rPr>
      <w:t xml:space="preserve">Office of the Chief Actuary</w:t>
    </w:r>
    <w:r>
      <w:rPr>
        <w:color w:val="5A6470"/>
        <w:sz w:val="16"/>
        <w:szCs w:val="16"/>
      </w:rPr>
      <w:t xml:space="preserve">	Internal,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Calibri" w:cs="Calibri" w:eastAsia="Calibri" w:hAnsi="Calibri"/>
      <w:b/>
      <w:bCs/>
      <w:color w:val="0B1C2C"/>
      <w:sz w:val="26"/>
      <w:szCs w:val="26"/>
    </w:rPr>
  </w:style>
  <w:style w:type="paragraph" w:styleId="Heading2">
    <w:name w:val="Heading 2"/>
    <w:basedOn w:val="Normal"/>
    <w:next w:val="Normal"/>
    <w:qFormat/>
    <w:pPr>
      <w:keepNext/>
      <w:spacing w:after="100" w:before="200"/>
      <w:outlineLvl w:val="1"/>
    </w:pPr>
    <w:rPr>
      <w:rFonts w:ascii="Calibri" w:cs="Calibri" w:eastAsia="Calibri" w:hAnsi="Calibri"/>
      <w:b/>
      <w:bCs/>
      <w:color w:val="2E5A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2026-06-26T01:17:57.091Z</dcterms:created>
  <dcterms:modified xsi:type="dcterms:W3CDTF">2026-06-26T01:17:57.091Z</dcterms:modified>
</cp:coreProperties>
</file>

<file path=docProps/custom.xml><?xml version="1.0" encoding="utf-8"?>
<Properties xmlns="http://schemas.openxmlformats.org/officeDocument/2006/custom-properties" xmlns:vt="http://schemas.openxmlformats.org/officeDocument/2006/docPropsVTypes"/>
</file>