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10"/>
    <w:p>
      <w:pPr>
        <w:jc w:val="center"/>
      </w:pPr>
      <w:r>
        <w:rPr>
          <w:b/>
          <w:color w:val="1A237E"/>
          <w:sz w:val="40"/>
        </w:rPr>
        <w:t>Rapport d'analyse de mortalité d'expérience</w:t>
      </w:r>
    </w:p>
    <w:p>
      <w:pPr>
        <w:jc w:val="center"/>
      </w:pPr>
      <w:r>
        <w:rPr>
          <w:color w:val="424242"/>
          <w:sz w:val="26"/>
        </w:rPr>
        <w:t>Portefeuille : portefeuille_test_1000.csv</w:t>
      </w:r>
    </w:p>
    <w:p>
      <w:pPr>
        <w:jc w:val="center"/>
      </w:pPr>
      <w:r>
        <w:rPr>
          <w:i/>
          <w:sz w:val="22"/>
        </w:rPr>
        <w:t>Date de génération : 20/03/2026</w:t>
      </w:r>
    </w:p>
    <w:p/>
    <w:p>
      <w:r>
        <w:br w:type="page"/>
      </w:r>
    </w:p>
    <w:p>
      <w:pPr>
        <w:pStyle w:val="Titre1"/>
      </w:pPr>
      <w:r>
        <w:t>Introduction</w:t>
      </w:r>
    </w:p>
    <w:p>
      <w:r>
        <w:t>Le présent rapport présente les résultats de l'analyse de mortalité d'expérience réalisée sur le portefeuille de contrats décrit ci-dessus. L'analyse suit la méthodologie standard en sept étapes : chargement des données, contrôle qualité, calcul des expositions et taux bruts, lissage Whittaker-Henderson, visualisation, calcul du SMR et export des résultats.</w:t>
      </w:r>
    </w:p>
    <w:p>
      <w:pPr>
        <w:pStyle w:val="Titre2"/>
      </w:pPr>
      <w:r>
        <w:t>1. Chargement</w:t>
      </w:r>
    </w:p>
    <w:p>
      <w:r>
        <w:t>Dans le cadre de notre analyse de mortalité d'expérience, nous avons chargé un ensemble de données synthétiques calibrées selon les tables de mortalité TH 00-02. Ce processus a permis d'intégrer un total de 50 000 contrats, parmi lesquels nous avons enregistré 2 404 décès. Parallèlement, un nombre significatif de 47 596 résiliations ou fins de contrat a été observé, ce qui soulève des questions quant à la stabilité et à la pérennité de notre portefeuille.</w:t>
      </w:r>
    </w:p>
    <w:p>
      <w:r>
        <w:t>Les données se concentrent exclusivement sur des assurés de sexe masculin, ce qui pourrait influencer les résultats en raison des différences de mortalité observées entre les sexes. La période d'observation s'étend jusqu'au 31 décembre 2023, offrant ainsi une vue d'ensemble des événements jusqu'à la fin de l'année. Il est également important de noter que la majorité des causes de sortie des contrats sont classées sous la catégorie "autre", ce qui pourrait nécessiter une investigation plus approfondie pour mieux comprendre les raisons sous-jacentes de ces résiliations et décès.</w:t>
      </w:r>
    </w:p>
    <w:p>
      <w:r>
        <w:t>En analysant ces résultats, il est essentiel de prendre en compte la proportion relativement élevée de résiliations par rapport aux décès. Cela pourrait indiquer une tendance à la sortie anticipée des assurés, potentiellement liée à des facteurs économiques ou à des changements dans les comportements d'assurance. Une telle dynamique mérite une attention particulière, car elle pourrait avoir des implications significatives sur la gestion des risques et la tarification future des contrats.</w:t>
      </w:r>
    </w:p>
    <w:p>
      <w:pPr>
        <w:pStyle w:val="Titre2"/>
      </w:pPr>
      <w:r>
        <w:t>2. Contrôle qualité</w:t>
      </w:r>
    </w:p>
    <w:p>
      <w:r>
        <w:t>Dans le cadre de notre analyse de mortalité d'expérience, un contrôle qualité rigoureux a été effectué sur un ensemble initial de 50 000 lignes de données. À l'issue de cette vérification, seulement 10 lignes ont été jugées non conformes et ont été supprimées, ce qui nous a permis de conserver un total de 49 990 lignes pour notre étude. L'analyse s'est concentrée sur la population masculine, et les données démographiques des individus inclus révèlent un âge moyen de 53,5 ans, avec une dispersion modérée, comme en témoigne un écart-type de 9,6 ans. Les âges des participants varient de 35 à 75,9 ans, ce qui indique une représentation d'une tranche d'âge significative.</w:t>
      </w:r>
    </w:p>
    <w:p>
      <w:r>
        <w:t>Concernant la durée d'observation, les résultats montrent que la moyenne est de 6,58 années, avec un écart-type de 3,80 ans. Cela signifie que la plupart des individus ont été suivis pendant une période raisonnable, bien que certains aient été observés pendant une durée minimale de zéro an, ce qui pourrait indiquer des cas de sortie prématurée ou d'absence de données. Les quartiles révèlent que 25 % des individus ont été observés pendant moins de 3,26 ans, tandis que 25 % ont été suivis pendant plus de 9,49 ans, soulignant une variabilité dans la durée d'observation.</w:t>
      </w:r>
    </w:p>
    <w:p>
      <w:r>
        <w:t>Enfin, en ce qui concerne les causes de sortie, la majorité des individus, soit 47 588, ont été classés sous la catégorie "autre", tandis que 2 402 décès ont été enregistrés. Cette répartition suggère qu'une part significative des données pourrait nécessiter une clarification ou une catégorisation plus précise pour mieux comprendre les raisons de sortie des individus de l'étude. L'analyse de ces causes de sortie sera essentielle pour interpréter les résultats de mortalité et pour affiner nos conclusions sur la population étudiée.</w:t>
      </w:r>
    </w:p>
    <w:p>
      <w:pPr>
        <w:pStyle w:val="Titre2"/>
      </w:pPr>
      <w:r>
        <w:t>3. Expositions</w:t>
      </w:r>
    </w:p>
    <w:p>
      <w:r>
        <w:t>Dans le cadre de notre analyse de mortalité, nous avons examiné une population dont les âges s'étendent de 20 à 90 ans. Au total, nous avons enregistré une exposition de 306 267 années-personnes, ce qui représente le nombre total d'années vécues par les membres de cette population pendant la période d'étude. Au cours de cette période, nous avons constaté un total de 2 200 décès. Il est important de noter que certaines tranches d'âge n'ont pas été prises en compte dans notre analyse, avec 16 âges sans données disponibles et 17 âges pour lesquels l'espérance de vie (E_x) est inférieure à 10 ans, ce qui pourrait indiquer des anomalies ou des lacunes dans les données.</w:t>
      </w:r>
    </w:p>
    <w:p>
      <w:r>
        <w:t>L'examen des données par tranche d'âge révèle que pour les jeunes adultes, de 20 à 34 ans, il n'y a eu aucun décès enregistré. Cela se traduit par une espérance de vie de zéro pour ces âges, ce qui pourrait être le résultat d'une absence de données ou d'une population particulièrement saine dans cette tranche d'âge. Cette situation soulève des questions sur la représentativité des données et sur la nécessité d'explorer plus en profondeur les raisons pour lesquelles ces âges sont dépourvus d'informations. En revanche, l'absence de décès dans ces groupes d'âge pourrait également indiquer une tendance positive en matière de santé et de longévité au sein de la population étudiée, mais cela doit être interprété avec prudence, compte tenu des lacunes dans les données.</w:t>
      </w:r>
    </w:p>
    <w:p>
      <w:r>
        <w:t>Dans l'ensemble, ces résultats mettent en lumière des aspects significatifs de la mortalité au sein de la population analysée, tout en soulignant l'importance d'une collecte de données exhaustive et précise pour une évaluation actuarielle fiable. Une attention particulière devra être portée aux âges sans données et à ceux présentant une espérance de vie anormalement basse, afin de garantir que notre analyse soit aussi complète et représentative que possible.</w:t>
      </w:r>
    </w:p>
    <w:p>
      <w:pPr>
        <w:pStyle w:val="Titre2"/>
      </w:pPr>
      <w:r>
        <w:t>4. Lissage WH</w:t>
      </w:r>
    </w:p>
    <w:p>
      <w:r>
        <w:t>Dans le cadre de notre analyse de mortalité, nous avons appliqué un lissage de type WH avec un paramètre lambda fixé à 100 sur un échantillon de 53 âges. Ce processus vise à atténuer les fluctuations des taux de mortalité bruts afin d'obtenir des estimations plus stables et représentatives. Les résultats montrent que, pour les âges inférieurs à 40 ans, les taux de mortalité lissés (q_x_lisse) sont généralement inférieurs aux taux bruts (q_x_brut), ce qui est attendu dans un contexte de lissage. Par exemple, à l'âge de 36 ans, le taux brut est de 0,001592 alors que le taux lissé est de 0,001451, indiquant une réduction des variations extrêmes.</w:t>
      </w:r>
    </w:p>
    <w:p>
      <w:r>
        <w:t>Cependant, une attention particulière doit être portée aux âges supérieurs à 40 ans, où nous avons observé des anomalies significatives. En effet, sur cette tranche d'âge, 15 valeurs présentent des comportements non monotones, ce qui signifie que les taux de mortalité lissés ne suivent pas une tendance croissante ou décroissante comme on pourrait s'y attendre. Cela soulève des préoccupations quant à la robustesse du lissage appliqué, car certaines inversions dans les taux lissés pourraient indiquer que le paramètre lambda utilisé est insuffisant. Pour remédier à cette situation, il serait judicieux d'augmenter la valeur de lambda afin de mieux contrôler les fluctuations et d'obtenir des estimations plus fiables pour ces âges critiques.</w:t>
      </w:r>
    </w:p>
    <w:p>
      <w:pPr>
        <w:pStyle w:val="Titre2"/>
      </w:pPr>
      <w:r>
        <w:t>5. Visualisation</w:t>
      </w:r>
    </w:p>
    <w:p>
      <w:r>
        <w:t>Dans le cadre de notre analyse de mortalité, nous avons généré plusieurs graphiques qui illustrent les tendances et les variations des taux de mortalité au sein de notre population d'étude. Les données recueillies s'étendent sur une tranche d'âge allant de 35 à 89 ans, ce qui nous permet d'examiner de manière approfondie les comportements de mortalité dans cette fourchette d'âge. L'âge minimum observé dans notre échantillon est de 35 ans, tandis que l'âge maximum atteint 89 ans, ce qui témoigne d'une diversité significative dans les âges des individus analysés.</w:t>
      </w:r>
    </w:p>
    <w:p>
      <w:r>
        <w:t>Un point notable de cette analyse est l'âge moyen, qui a été lissé à 53 ans. Ce lissage permet de mieux visualiser les tendances sous-jacentes en éliminant les fluctuations aléatoires qui pourraient obscurcir les résultats. En observant les graphiques, nous pouvons identifier des variations dans les taux de mortalité qui pourraient être liées à des facteurs spécifiques, tels que des conditions de santé ou des événements socio-économiques. Il est essentiel de prêter attention à ces tendances, car elles peuvent influencer nos prévisions et nos stratégies de gestion des risques.</w:t>
      </w:r>
    </w:p>
    <w:p>
      <w:r>
        <w:t>Enfin, il convient de signaler qu'aucune anomalie majeure n'a été détectée dans les données visualisées. Les courbes de mortalité semblent suivre des schémas attendus, sans pics ou creux inattendus qui pourraient indiquer des erreurs dans la collecte des données ou des événements extraordinaires. Cela renforce la crédibilité de notre analyse et nous permet de nous appuyer sur ces résultats pour orienter nos décisions futures.</w:t>
      </w:r>
    </w:p>
    <w:p>
      <w:pPr>
        <w:jc w:val="center"/>
      </w:pPr>
      <w:r>
        <w:drawing>
          <wp:inline xmlns:a="http://schemas.openxmlformats.org/drawingml/2006/main" xmlns:pic="http://schemas.openxmlformats.org/drawingml/2006/picture">
            <wp:extent cx="5029200" cy="1774160"/>
            <wp:docPr id="1" name="Picture 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29200" cy="1774160"/>
                    </a:xfrm>
                    <a:prstGeom prst="rect"/>
                  </pic:spPr>
                </pic:pic>
              </a:graphicData>
            </a:graphic>
          </wp:inline>
        </w:drawing>
      </w:r>
    </w:p>
    <w:p>
      <w:pPr>
        <w:pStyle w:val="Titre2"/>
      </w:pPr>
      <w:r>
        <w:t>6. SMR</w:t>
      </w:r>
    </w:p>
    <w:p>
      <w:r>
        <w:t>Dans le cadre de notre analyse de mortalité, nous avons observé un total de 2 200 décès, alors que le nombre de décès attendus, basé sur les tables de mortalité de référence TH 00-02, s'élevait à 3 665,4. Cela nous permet de calculer un rapport de mortalité standardisé (SMR) global de 0,6002. Ce chiffre indique que le portefeuille présente une mortalité significativement inférieure à celle de la population de référence, ce qui suggère une sélection favorable en matière de risque. L'intervalle de confiance à 95 % pour ce SMR, qui s'étend de 0,5751 à 0,6253, renforce cette conclusion en montrant que nous pouvons être confiants dans la robustesse de cette estimation.</w:t>
      </w:r>
    </w:p>
    <w:p>
      <w:r>
        <w:t>En examinant les résultats par tranche d'âge, nous constatons des variations notables dans les SMR. Pour les individus âgés de 30 à 39 ans, le SMR est de 0,546, ce qui indique une mortalité inférieure aux attentes, avec 6 décès observés contre 11 attendus. Dans la tranche des 40 à 49 ans, le SMR s'élève à 0,786, ce qui reste favorable mais montre une mortalité plus proche des attentes. En revanche, les tranches d'âge supérieures affichent des SMR encore plus bas, notamment pour les 80 à 89 ans, où le SMR chute à 0,328, avec seulement 91 décès observés contre 277,4 attendus. Ce dernier résultat pourrait signaler une anomalie, suggérant soit une surreprésentation de la sélection favorable dans cette tranche d'âge, soit des facteurs spécifiques à cette population qui méritent d'être explorés plus en profondeur.</w:t>
      </w:r>
    </w:p>
    <w:p>
      <w:r>
        <w:t>Dans l'ensemble, les résultats indiquent que le portefeuille étudié présente une mortalité inférieure à celle prévue par les tables de référence, ce qui est un signe positif pour la gestion des risques. Toutefois, il est essentiel de surveiller de près les tranches d'âge les plus âgées, où les écarts par rapport aux attentes sont particulièrement marqués.</w:t>
      </w:r>
    </w:p>
    <w:p>
      <w:pPr>
        <w:pStyle w:val="Titre1"/>
      </w:pPr>
      <w:r>
        <w:t>Synthèse et conclusion</w:t>
      </w:r>
    </w:p>
    <w:p>
      <w:r>
        <w:t>(Synthèse non disponible.)</w:t>
      </w:r>
    </w:p>
    <w:sectPr w:rsidR="008429B2" w:rsidSect="00EC5C12">
      <w:pgSz w:w="11906" w:h="16838" w:code="9"/>
      <w:pgMar w:top="1588" w:right="1418" w:bottom="1418" w:left="1418" w:header="1304"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25D18" w14:textId="77777777" w:rsidR="00A22E6D" w:rsidRDefault="00A22E6D">
      <w:r>
        <w:separator/>
      </w:r>
    </w:p>
  </w:endnote>
  <w:endnote w:type="continuationSeparator" w:id="0">
    <w:p w14:paraId="184DD1CD" w14:textId="77777777" w:rsidR="00A22E6D" w:rsidRDefault="00A22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Gras">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3DDB" w14:textId="77777777" w:rsidR="0058486D" w:rsidRDefault="0058486D">
    <w:pPr>
      <w:rPr>
        <w:i/>
        <w:sz w:val="16"/>
      </w:rPr>
    </w:pPr>
    <w:r>
      <w:rPr>
        <w:i/>
        <w:sz w:val="16"/>
      </w:rPr>
      <w:t xml:space="preserve"> - </w:t>
    </w:r>
    <w:r>
      <w:rPr>
        <w:i/>
        <w:sz w:val="16"/>
      </w:rPr>
      <w:tab/>
    </w:r>
    <w:r>
      <w:rPr>
        <w:b/>
        <w:i/>
        <w:sz w:val="20"/>
      </w:rPr>
      <w:t>PROJET</w:t>
    </w:r>
    <w:r>
      <w:rPr>
        <w:i/>
        <w:sz w:val="16"/>
      </w:rPr>
      <w:tab/>
      <w:t xml:space="preserve">WINTER &amp; Associés - Page </w:t>
    </w:r>
    <w:r>
      <w:rPr>
        <w:i/>
        <w:sz w:val="16"/>
      </w:rPr>
      <w:fldChar w:fldCharType="begin"/>
    </w:r>
    <w:r>
      <w:rPr>
        <w:i/>
        <w:sz w:val="16"/>
      </w:rPr>
      <w:instrText xml:space="preserve"> PAGE </w:instrText>
    </w:r>
    <w:r>
      <w:rPr>
        <w:i/>
        <w:sz w:val="16"/>
      </w:rPr>
      <w:fldChar w:fldCharType="separate"/>
    </w:r>
    <w:r>
      <w:rPr>
        <w:i/>
        <w:noProof/>
        <w:sz w:val="16"/>
      </w:rPr>
      <w:t>2</w:t>
    </w:r>
    <w:r>
      <w:rPr>
        <w:i/>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A577" w14:textId="77777777" w:rsidR="0058486D" w:rsidRDefault="0058486D" w:rsidP="00184325">
    <w:pPr>
      <w:pStyle w:val="Pieddepage"/>
    </w:pPr>
    <w:r>
      <w:t xml:space="preserve">15/05/2012 – AF8796-TD3 </w:t>
    </w:r>
    <w:r>
      <w:tab/>
    </w:r>
    <w:r>
      <w:rPr>
        <w:b/>
        <w:sz w:val="20"/>
      </w:rPr>
      <w:t>CONFIDENTIEL</w:t>
    </w:r>
    <w:r>
      <w:tab/>
      <w:t xml:space="preserve">WINTER &amp; Associés - Page </w:t>
    </w:r>
    <w:r>
      <w:fldChar w:fldCharType="begin"/>
    </w:r>
    <w:r>
      <w:instrText xml:space="preserve"> PAGE </w:instrText>
    </w:r>
    <w:r>
      <w:fldChar w:fldCharType="separate"/>
    </w:r>
    <w:r w:rsidR="00A37E41">
      <w:rPr>
        <w:noProof/>
      </w:rPr>
      <w:t>3</w:t>
    </w:r>
    <w:r>
      <w:fldChar w:fldCharType="end"/>
    </w:r>
    <w:r>
      <w:t>/</w:t>
    </w:r>
    <w:fldSimple w:instr=" NUMPAGES ">
      <w:r w:rsidR="00A37E41">
        <w:rPr>
          <w:noProof/>
        </w:rPr>
        <w:t>14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6A37" w14:textId="77777777" w:rsidR="0058486D" w:rsidRDefault="0058486D">
    <w:pPr>
      <w:rPr>
        <w:i/>
        <w:sz w:val="16"/>
      </w:rPr>
    </w:pPr>
    <w:r>
      <w:rPr>
        <w:i/>
        <w:sz w:val="16"/>
      </w:rPr>
      <w:t xml:space="preserve"> - </w:t>
    </w:r>
    <w:r>
      <w:rPr>
        <w:i/>
        <w:sz w:val="16"/>
      </w:rPr>
      <w:tab/>
    </w:r>
    <w:r>
      <w:rPr>
        <w:b/>
        <w:i/>
        <w:sz w:val="20"/>
      </w:rPr>
      <w:t>PROJET</w:t>
    </w:r>
    <w:r>
      <w:rPr>
        <w:i/>
        <w:sz w:val="16"/>
      </w:rPr>
      <w:tab/>
      <w:t xml:space="preserve">WINTER &amp; Associés - Page </w:t>
    </w:r>
    <w:r>
      <w:rPr>
        <w:i/>
        <w:sz w:val="16"/>
      </w:rPr>
      <w:fldChar w:fldCharType="begin"/>
    </w:r>
    <w:r>
      <w:rPr>
        <w:i/>
        <w:sz w:val="16"/>
      </w:rPr>
      <w:instrText xml:space="preserve"> PAGE </w:instrText>
    </w:r>
    <w:r>
      <w:rPr>
        <w:i/>
        <w:sz w:val="16"/>
      </w:rPr>
      <w:fldChar w:fldCharType="separate"/>
    </w:r>
    <w:r>
      <w:rPr>
        <w:i/>
        <w:noProof/>
        <w:sz w:val="16"/>
      </w:rPr>
      <w:t>2</w:t>
    </w:r>
    <w:r>
      <w:rPr>
        <w:i/>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40110" w14:textId="77777777" w:rsidR="00A22E6D" w:rsidRDefault="00A22E6D">
      <w:r>
        <w:separator/>
      </w:r>
    </w:p>
  </w:footnote>
  <w:footnote w:type="continuationSeparator" w:id="0">
    <w:p w14:paraId="4937D5F8" w14:textId="77777777" w:rsidR="00A22E6D" w:rsidRDefault="00A22E6D">
      <w:r>
        <w:continuationSeparator/>
      </w:r>
    </w:p>
  </w:footnote>
  <w:footnote w:id="1">
    <w:p w14:paraId="756ACCD9" w14:textId="77777777" w:rsidR="0058486D" w:rsidRDefault="0058486D" w:rsidP="004A6E78">
      <w:pPr>
        <w:pStyle w:val="Notedebasdepage"/>
        <w:jc w:val="both"/>
      </w:pPr>
      <w:r w:rsidRPr="008E3569">
        <w:rPr>
          <w:vertAlign w:val="superscript"/>
        </w:rPr>
        <w:footnoteRef/>
      </w:r>
      <w:r>
        <w:t xml:space="preserve"> Il est précisé que le tarif ne fait pas l’objet de contraintes de certification de la table, qui ne concerne que le provisionnement des risques en cas de décès.</w:t>
      </w:r>
    </w:p>
  </w:footnote>
  <w:footnote w:id="2">
    <w:p w14:paraId="1D418CCE" w14:textId="77777777" w:rsidR="0058486D" w:rsidRDefault="0058486D">
      <w:pPr>
        <w:pStyle w:val="Notedebasdepage"/>
      </w:pPr>
      <w:r>
        <w:rPr>
          <w:rStyle w:val="Appelnotedebasdep"/>
        </w:rPr>
        <w:footnoteRef/>
      </w:r>
      <w:r>
        <w:t xml:space="preserve"> Une sortie est considérée comme un décès dès lors que la variable Statut prend la modalité « sinistré » et que ce décès intervient durant la période d’observation.</w:t>
      </w:r>
    </w:p>
  </w:footnote>
  <w:footnote w:id="3">
    <w:p w14:paraId="76C38AEE" w14:textId="77777777" w:rsidR="007A354E" w:rsidRDefault="007A354E" w:rsidP="007A354E">
      <w:pPr>
        <w:pStyle w:val="Notedebasdepage"/>
        <w:jc w:val="both"/>
      </w:pPr>
      <w:r>
        <w:rPr>
          <w:rStyle w:val="Appelnotedebasdep"/>
        </w:rPr>
        <w:footnoteRef/>
      </w:r>
      <w:r>
        <w:t xml:space="preserve"> La convention de calcul pour les arrondis d’âges dans le calcul de l’exposition a changé depuis, ce qui explique une part significative de l’écart.</w:t>
      </w:r>
    </w:p>
  </w:footnote>
  <w:footnote w:id="4">
    <w:p w14:paraId="46B5D355" w14:textId="77777777" w:rsidR="0058486D" w:rsidRDefault="0058486D">
      <w:pPr>
        <w:pStyle w:val="Notedebasdepage"/>
      </w:pPr>
      <w:r>
        <w:rPr>
          <w:rStyle w:val="Appelnotedebasdep"/>
        </w:rPr>
        <w:footnoteRef/>
      </w:r>
      <w:r>
        <w:t xml:space="preserve"> Le choix de la règle d’arrondi avec 365 ou 365,25 impacte d’environ 0,5 % les résultats obtenus.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F6A8" w14:textId="77777777" w:rsidR="0058486D" w:rsidRDefault="00851511">
    <w:pPr>
      <w:pStyle w:val="En-tte"/>
    </w:pPr>
    <w:r>
      <w:rPr>
        <w:noProof/>
        <w:lang w:eastAsia="fr-FR"/>
      </w:rPr>
      <w:drawing>
        <wp:anchor distT="0" distB="0" distL="114300" distR="114300" simplePos="0" relativeHeight="251658240" behindDoc="0" locked="0" layoutInCell="1" allowOverlap="1" wp14:anchorId="513B548F" wp14:editId="6C27E5DC">
          <wp:simplePos x="0" y="0"/>
          <wp:positionH relativeFrom="column">
            <wp:posOffset>1943100</wp:posOffset>
          </wp:positionH>
          <wp:positionV relativeFrom="paragraph">
            <wp:posOffset>-593725</wp:posOffset>
          </wp:positionV>
          <wp:extent cx="1915795" cy="840105"/>
          <wp:effectExtent l="0" t="0" r="0" b="0"/>
          <wp:wrapTopAndBottom/>
          <wp:docPr id="858811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5795" cy="840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8BCB" w14:textId="77777777" w:rsidR="0058486D" w:rsidRDefault="00851511">
    <w:r>
      <w:rPr>
        <w:noProof/>
        <w:sz w:val="20"/>
      </w:rPr>
      <w:drawing>
        <wp:anchor distT="0" distB="0" distL="114300" distR="114300" simplePos="0" relativeHeight="251657216" behindDoc="0" locked="0" layoutInCell="1" allowOverlap="1" wp14:anchorId="51AA290C" wp14:editId="07F5A294">
          <wp:simplePos x="0" y="0"/>
          <wp:positionH relativeFrom="column">
            <wp:posOffset>27305</wp:posOffset>
          </wp:positionH>
          <wp:positionV relativeFrom="paragraph">
            <wp:posOffset>-405765</wp:posOffset>
          </wp:positionV>
          <wp:extent cx="1056005" cy="462915"/>
          <wp:effectExtent l="0" t="0" r="0" b="0"/>
          <wp:wrapTopAndBottom/>
          <wp:docPr id="34655064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6005" cy="4629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732"/>
    <w:multiLevelType w:val="hybridMultilevel"/>
    <w:tmpl w:val="4CDCF30C"/>
    <w:lvl w:ilvl="0" w:tplc="B53A10AC">
      <w:start w:val="1"/>
      <w:numFmt w:val="bullet"/>
      <w:pStyle w:val="Puce1"/>
      <w:lvlText w:val="–"/>
      <w:lvlJc w:val="left"/>
      <w:pPr>
        <w:ind w:left="1287" w:hanging="360"/>
      </w:pPr>
      <w:rPr>
        <w:rFonts w:ascii="Courier New" w:hAnsi="Courier New"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05485976"/>
    <w:multiLevelType w:val="multilevel"/>
    <w:tmpl w:val="A174759E"/>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8227BB"/>
    <w:multiLevelType w:val="hybridMultilevel"/>
    <w:tmpl w:val="F606D88E"/>
    <w:lvl w:ilvl="0" w:tplc="533811EA">
      <w:start w:val="1"/>
      <w:numFmt w:val="bullet"/>
      <w:pStyle w:val="Listepuces"/>
      <w:lvlText w:val="−"/>
      <w:lvlJc w:val="left"/>
      <w:pPr>
        <w:ind w:left="927" w:hanging="360"/>
      </w:pPr>
      <w:rPr>
        <w:rFonts w:ascii="Times New Roman"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34FA1EB2"/>
    <w:multiLevelType w:val="hybridMultilevel"/>
    <w:tmpl w:val="933609C2"/>
    <w:lvl w:ilvl="0" w:tplc="040C0001">
      <w:start w:val="1"/>
      <w:numFmt w:val="bullet"/>
      <w:pStyle w:val="Titre1Proposition"/>
      <w:lvlText w:val=""/>
      <w:lvlJc w:val="left"/>
      <w:pPr>
        <w:ind w:left="720" w:hanging="360"/>
      </w:pPr>
      <w:rPr>
        <w:rFonts w:ascii="Wingdings"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805C2F"/>
    <w:multiLevelType w:val="multilevel"/>
    <w:tmpl w:val="45A664D4"/>
    <w:styleLink w:val="Stylelistetitr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307445F"/>
    <w:multiLevelType w:val="multilevel"/>
    <w:tmpl w:val="FA2AAA1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400596546">
    <w:abstractNumId w:val="2"/>
  </w:num>
  <w:num w:numId="2" w16cid:durableId="2110000525">
    <w:abstractNumId w:val="4"/>
  </w:num>
  <w:num w:numId="3" w16cid:durableId="2104254497">
    <w:abstractNumId w:val="3"/>
  </w:num>
  <w:num w:numId="4" w16cid:durableId="755975184">
    <w:abstractNumId w:val="1"/>
  </w:num>
  <w:num w:numId="5" w16cid:durableId="1871722284">
    <w:abstractNumId w:val="0"/>
  </w:num>
  <w:num w:numId="6" w16cid:durableId="1065303713">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attachedTemplate r:id="rId1"/>
  <w:defaultTabStop w:val="567"/>
  <w:hyphenationZone w:val="425"/>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BF"/>
    <w:rsid w:val="000011C0"/>
    <w:rsid w:val="00003F23"/>
    <w:rsid w:val="0000559A"/>
    <w:rsid w:val="00006DDF"/>
    <w:rsid w:val="000079B9"/>
    <w:rsid w:val="00010C99"/>
    <w:rsid w:val="000170FC"/>
    <w:rsid w:val="00021990"/>
    <w:rsid w:val="00024B07"/>
    <w:rsid w:val="00037954"/>
    <w:rsid w:val="00040F61"/>
    <w:rsid w:val="00061080"/>
    <w:rsid w:val="00063699"/>
    <w:rsid w:val="00087D5F"/>
    <w:rsid w:val="00092227"/>
    <w:rsid w:val="000B523F"/>
    <w:rsid w:val="000B668F"/>
    <w:rsid w:val="000C193B"/>
    <w:rsid w:val="000C4817"/>
    <w:rsid w:val="000D2ED1"/>
    <w:rsid w:val="000D70FD"/>
    <w:rsid w:val="000E0F79"/>
    <w:rsid w:val="000E76FF"/>
    <w:rsid w:val="000F46BF"/>
    <w:rsid w:val="00123236"/>
    <w:rsid w:val="00136457"/>
    <w:rsid w:val="0015087F"/>
    <w:rsid w:val="0015523D"/>
    <w:rsid w:val="00175D84"/>
    <w:rsid w:val="00177B9D"/>
    <w:rsid w:val="0018051A"/>
    <w:rsid w:val="00180E66"/>
    <w:rsid w:val="00184325"/>
    <w:rsid w:val="0018565E"/>
    <w:rsid w:val="00191DAE"/>
    <w:rsid w:val="00194DF0"/>
    <w:rsid w:val="001A634B"/>
    <w:rsid w:val="001C6311"/>
    <w:rsid w:val="001E6D23"/>
    <w:rsid w:val="001F0104"/>
    <w:rsid w:val="001F5539"/>
    <w:rsid w:val="00200C13"/>
    <w:rsid w:val="00205CFC"/>
    <w:rsid w:val="00211ADD"/>
    <w:rsid w:val="00224979"/>
    <w:rsid w:val="00232A3B"/>
    <w:rsid w:val="0023468F"/>
    <w:rsid w:val="00234F5D"/>
    <w:rsid w:val="00240ED8"/>
    <w:rsid w:val="002432EF"/>
    <w:rsid w:val="00263D9F"/>
    <w:rsid w:val="002662C3"/>
    <w:rsid w:val="0027010E"/>
    <w:rsid w:val="00291FA1"/>
    <w:rsid w:val="002920C7"/>
    <w:rsid w:val="00297FC6"/>
    <w:rsid w:val="002A5755"/>
    <w:rsid w:val="002B5545"/>
    <w:rsid w:val="002B579F"/>
    <w:rsid w:val="002C30B5"/>
    <w:rsid w:val="002E78ED"/>
    <w:rsid w:val="002F04E3"/>
    <w:rsid w:val="002F48CE"/>
    <w:rsid w:val="002F4FCC"/>
    <w:rsid w:val="00302D94"/>
    <w:rsid w:val="003143F0"/>
    <w:rsid w:val="00314703"/>
    <w:rsid w:val="00324292"/>
    <w:rsid w:val="00333DCE"/>
    <w:rsid w:val="00341885"/>
    <w:rsid w:val="00346754"/>
    <w:rsid w:val="00375CA6"/>
    <w:rsid w:val="003A24BB"/>
    <w:rsid w:val="003D35CC"/>
    <w:rsid w:val="003D78E3"/>
    <w:rsid w:val="003E4089"/>
    <w:rsid w:val="003E7816"/>
    <w:rsid w:val="003F6545"/>
    <w:rsid w:val="0041792A"/>
    <w:rsid w:val="004246AE"/>
    <w:rsid w:val="004250E9"/>
    <w:rsid w:val="00434359"/>
    <w:rsid w:val="0044451D"/>
    <w:rsid w:val="00444A50"/>
    <w:rsid w:val="0046066F"/>
    <w:rsid w:val="00463038"/>
    <w:rsid w:val="0047379F"/>
    <w:rsid w:val="00491C6C"/>
    <w:rsid w:val="0049620F"/>
    <w:rsid w:val="004A6E78"/>
    <w:rsid w:val="004D2258"/>
    <w:rsid w:val="004D6DB5"/>
    <w:rsid w:val="004E3523"/>
    <w:rsid w:val="004E3A65"/>
    <w:rsid w:val="005058FB"/>
    <w:rsid w:val="00514C66"/>
    <w:rsid w:val="00526985"/>
    <w:rsid w:val="0053407E"/>
    <w:rsid w:val="005416EF"/>
    <w:rsid w:val="00542E98"/>
    <w:rsid w:val="0058486D"/>
    <w:rsid w:val="005860D1"/>
    <w:rsid w:val="0059088E"/>
    <w:rsid w:val="005A4ED8"/>
    <w:rsid w:val="005E6326"/>
    <w:rsid w:val="005F6B07"/>
    <w:rsid w:val="006428B9"/>
    <w:rsid w:val="006629E3"/>
    <w:rsid w:val="00671074"/>
    <w:rsid w:val="00682BA8"/>
    <w:rsid w:val="00685013"/>
    <w:rsid w:val="006926B3"/>
    <w:rsid w:val="006B387A"/>
    <w:rsid w:val="006B4C96"/>
    <w:rsid w:val="006C010D"/>
    <w:rsid w:val="006C0263"/>
    <w:rsid w:val="006C4D83"/>
    <w:rsid w:val="006D1920"/>
    <w:rsid w:val="006E49BE"/>
    <w:rsid w:val="006E7DFF"/>
    <w:rsid w:val="006F4CB0"/>
    <w:rsid w:val="00704D3C"/>
    <w:rsid w:val="00712B86"/>
    <w:rsid w:val="00715660"/>
    <w:rsid w:val="00720791"/>
    <w:rsid w:val="007217C9"/>
    <w:rsid w:val="00724575"/>
    <w:rsid w:val="00731C2C"/>
    <w:rsid w:val="00731D7C"/>
    <w:rsid w:val="00735B7E"/>
    <w:rsid w:val="00743106"/>
    <w:rsid w:val="00750E31"/>
    <w:rsid w:val="00751BAC"/>
    <w:rsid w:val="00752194"/>
    <w:rsid w:val="00763547"/>
    <w:rsid w:val="0077657B"/>
    <w:rsid w:val="00792480"/>
    <w:rsid w:val="00794313"/>
    <w:rsid w:val="007945E9"/>
    <w:rsid w:val="007A354E"/>
    <w:rsid w:val="007B5599"/>
    <w:rsid w:val="007D208E"/>
    <w:rsid w:val="007D7D98"/>
    <w:rsid w:val="007F7BC7"/>
    <w:rsid w:val="007F7E59"/>
    <w:rsid w:val="008115DB"/>
    <w:rsid w:val="0081398A"/>
    <w:rsid w:val="00831E3D"/>
    <w:rsid w:val="008340C2"/>
    <w:rsid w:val="008429B2"/>
    <w:rsid w:val="008514C5"/>
    <w:rsid w:val="00851511"/>
    <w:rsid w:val="00851BF0"/>
    <w:rsid w:val="00854B58"/>
    <w:rsid w:val="00857598"/>
    <w:rsid w:val="00864A45"/>
    <w:rsid w:val="00872177"/>
    <w:rsid w:val="00877B91"/>
    <w:rsid w:val="008813D0"/>
    <w:rsid w:val="008901FB"/>
    <w:rsid w:val="00893588"/>
    <w:rsid w:val="00894C9F"/>
    <w:rsid w:val="00895DC8"/>
    <w:rsid w:val="008B1CC8"/>
    <w:rsid w:val="008B3E88"/>
    <w:rsid w:val="008C28E0"/>
    <w:rsid w:val="008C7BE2"/>
    <w:rsid w:val="008D537C"/>
    <w:rsid w:val="008E3569"/>
    <w:rsid w:val="0090099A"/>
    <w:rsid w:val="009010F3"/>
    <w:rsid w:val="009031E9"/>
    <w:rsid w:val="00904DBB"/>
    <w:rsid w:val="009268A1"/>
    <w:rsid w:val="00943953"/>
    <w:rsid w:val="00952910"/>
    <w:rsid w:val="00954443"/>
    <w:rsid w:val="00957B6C"/>
    <w:rsid w:val="009629A9"/>
    <w:rsid w:val="00972B1C"/>
    <w:rsid w:val="00985B64"/>
    <w:rsid w:val="00992AB0"/>
    <w:rsid w:val="00996D22"/>
    <w:rsid w:val="009A4DBD"/>
    <w:rsid w:val="009A631B"/>
    <w:rsid w:val="009B3629"/>
    <w:rsid w:val="009D0FE4"/>
    <w:rsid w:val="009D5EA4"/>
    <w:rsid w:val="009E6CE6"/>
    <w:rsid w:val="00A02FD3"/>
    <w:rsid w:val="00A22E6D"/>
    <w:rsid w:val="00A37E41"/>
    <w:rsid w:val="00A42065"/>
    <w:rsid w:val="00A4437C"/>
    <w:rsid w:val="00A44C09"/>
    <w:rsid w:val="00A51FDF"/>
    <w:rsid w:val="00A547D7"/>
    <w:rsid w:val="00A62418"/>
    <w:rsid w:val="00A65E17"/>
    <w:rsid w:val="00A7370B"/>
    <w:rsid w:val="00A80FF6"/>
    <w:rsid w:val="00A91E74"/>
    <w:rsid w:val="00A91F3E"/>
    <w:rsid w:val="00A96912"/>
    <w:rsid w:val="00AA07AE"/>
    <w:rsid w:val="00AA64B2"/>
    <w:rsid w:val="00AE203D"/>
    <w:rsid w:val="00AF1049"/>
    <w:rsid w:val="00AF2B14"/>
    <w:rsid w:val="00AF631F"/>
    <w:rsid w:val="00B1295A"/>
    <w:rsid w:val="00B16C6E"/>
    <w:rsid w:val="00B30551"/>
    <w:rsid w:val="00B30632"/>
    <w:rsid w:val="00B371FF"/>
    <w:rsid w:val="00B421CD"/>
    <w:rsid w:val="00B54FCF"/>
    <w:rsid w:val="00B57759"/>
    <w:rsid w:val="00B72BD0"/>
    <w:rsid w:val="00B76237"/>
    <w:rsid w:val="00B77E89"/>
    <w:rsid w:val="00B81693"/>
    <w:rsid w:val="00B87E6F"/>
    <w:rsid w:val="00BA0E1E"/>
    <w:rsid w:val="00BA1729"/>
    <w:rsid w:val="00BB1E8A"/>
    <w:rsid w:val="00BC0647"/>
    <w:rsid w:val="00BD13EB"/>
    <w:rsid w:val="00BD3AFD"/>
    <w:rsid w:val="00BD5BD0"/>
    <w:rsid w:val="00BE11EC"/>
    <w:rsid w:val="00BF2540"/>
    <w:rsid w:val="00BF2927"/>
    <w:rsid w:val="00BF471B"/>
    <w:rsid w:val="00C006CC"/>
    <w:rsid w:val="00C04995"/>
    <w:rsid w:val="00C11575"/>
    <w:rsid w:val="00C12394"/>
    <w:rsid w:val="00C44D18"/>
    <w:rsid w:val="00C46030"/>
    <w:rsid w:val="00C52776"/>
    <w:rsid w:val="00C54197"/>
    <w:rsid w:val="00C568F4"/>
    <w:rsid w:val="00C61BB7"/>
    <w:rsid w:val="00C630D2"/>
    <w:rsid w:val="00C65DE3"/>
    <w:rsid w:val="00C71578"/>
    <w:rsid w:val="00C81F3E"/>
    <w:rsid w:val="00C820B8"/>
    <w:rsid w:val="00C97E4A"/>
    <w:rsid w:val="00CA4603"/>
    <w:rsid w:val="00CA6AE2"/>
    <w:rsid w:val="00CC40CD"/>
    <w:rsid w:val="00CD3C27"/>
    <w:rsid w:val="00CD6D8E"/>
    <w:rsid w:val="00CE1F5F"/>
    <w:rsid w:val="00CF3E4A"/>
    <w:rsid w:val="00D1544D"/>
    <w:rsid w:val="00D16140"/>
    <w:rsid w:val="00D267FA"/>
    <w:rsid w:val="00D33206"/>
    <w:rsid w:val="00DB40B2"/>
    <w:rsid w:val="00DD011B"/>
    <w:rsid w:val="00DD0FBF"/>
    <w:rsid w:val="00DD5429"/>
    <w:rsid w:val="00DD594C"/>
    <w:rsid w:val="00DE03FA"/>
    <w:rsid w:val="00E00C54"/>
    <w:rsid w:val="00E01B5E"/>
    <w:rsid w:val="00E04A51"/>
    <w:rsid w:val="00E05E2D"/>
    <w:rsid w:val="00E06C0B"/>
    <w:rsid w:val="00E11481"/>
    <w:rsid w:val="00E14CB7"/>
    <w:rsid w:val="00E1568E"/>
    <w:rsid w:val="00E20BB1"/>
    <w:rsid w:val="00E31EBF"/>
    <w:rsid w:val="00E33587"/>
    <w:rsid w:val="00E460CC"/>
    <w:rsid w:val="00E73B04"/>
    <w:rsid w:val="00E9413F"/>
    <w:rsid w:val="00EA45C9"/>
    <w:rsid w:val="00EB4C13"/>
    <w:rsid w:val="00EC4684"/>
    <w:rsid w:val="00EC5C12"/>
    <w:rsid w:val="00EC6821"/>
    <w:rsid w:val="00EE755C"/>
    <w:rsid w:val="00EF2286"/>
    <w:rsid w:val="00EF422E"/>
    <w:rsid w:val="00EF60AA"/>
    <w:rsid w:val="00EF74F0"/>
    <w:rsid w:val="00F26BA8"/>
    <w:rsid w:val="00F429E9"/>
    <w:rsid w:val="00F44BF0"/>
    <w:rsid w:val="00F509B8"/>
    <w:rsid w:val="00F50EE7"/>
    <w:rsid w:val="00F57487"/>
    <w:rsid w:val="00F61958"/>
    <w:rsid w:val="00F67FDC"/>
    <w:rsid w:val="00F77636"/>
    <w:rsid w:val="00F819F8"/>
    <w:rsid w:val="00F87C7F"/>
    <w:rsid w:val="00F91CCF"/>
    <w:rsid w:val="00FA3374"/>
    <w:rsid w:val="00FC3876"/>
    <w:rsid w:val="00FD0BE0"/>
    <w:rsid w:val="00FD15E7"/>
    <w:rsid w:val="00FE4E63"/>
    <w:rsid w:val="00FF05B2"/>
    <w:rsid w:val="00FF3F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44ECF8"/>
  <w15:chartTrackingRefBased/>
  <w15:docId w15:val="{8AC4DFA0-FDD6-0843-A143-4B543D8B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0" w:qFormat="1"/>
    <w:lsdException w:name="heading 3" w:uiPriority="6" w:qFormat="1"/>
    <w:lsdException w:name="heading 4" w:uiPriority="6" w:qFormat="1"/>
    <w:lsdException w:name="heading 5" w:uiPriority="0"/>
    <w:lsdException w:name="heading 6" w:uiPriority="0"/>
    <w:lsdException w:name="heading 7" w:uiPriority="0"/>
    <w:lsdException w:name="heading 8" w:uiPriority="0"/>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1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12" w:unhideWhenUsed="1"/>
    <w:lsdException w:name="TOC Heading" w:semiHidden="1" w:uiPriority="1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94313"/>
    <w:pPr>
      <w:spacing w:after="200" w:line="276" w:lineRule="auto"/>
    </w:pPr>
    <w:rPr>
      <w:rFonts w:eastAsia="Calibri"/>
      <w:sz w:val="24"/>
      <w:szCs w:val="24"/>
      <w:lang w:eastAsia="en-US"/>
    </w:rPr>
  </w:style>
  <w:style w:type="paragraph" w:styleId="Titre1">
    <w:name w:val="heading 1"/>
    <w:basedOn w:val="Normal"/>
    <w:next w:val="Corpsdetexte"/>
    <w:link w:val="Titre1Car"/>
    <w:uiPriority w:val="9"/>
    <w:qFormat/>
    <w:rsid w:val="007D7D98"/>
    <w:pPr>
      <w:keepNext/>
      <w:keepLines/>
      <w:numPr>
        <w:numId w:val="4"/>
      </w:numPr>
      <w:spacing w:before="120" w:after="240" w:line="240" w:lineRule="auto"/>
      <w:ind w:left="357" w:hanging="357"/>
      <w:outlineLvl w:val="0"/>
    </w:pPr>
    <w:rPr>
      <w:rFonts w:eastAsia="Times New Roman"/>
      <w:b/>
      <w:bCs/>
      <w:caps/>
      <w:sz w:val="28"/>
      <w:szCs w:val="28"/>
    </w:rPr>
  </w:style>
  <w:style w:type="paragraph" w:styleId="Titre2">
    <w:name w:val="heading 2"/>
    <w:basedOn w:val="Titre1"/>
    <w:next w:val="Corpsdetexte"/>
    <w:qFormat/>
    <w:rsid w:val="00B87E6F"/>
    <w:pPr>
      <w:numPr>
        <w:ilvl w:val="1"/>
      </w:numPr>
      <w:spacing w:after="120"/>
      <w:ind w:left="788" w:hanging="431"/>
      <w:outlineLvl w:val="1"/>
    </w:pPr>
    <w:rPr>
      <w:bCs w:val="0"/>
      <w:caps w:val="0"/>
      <w:smallCaps/>
      <w:sz w:val="26"/>
      <w:szCs w:val="26"/>
    </w:rPr>
  </w:style>
  <w:style w:type="paragraph" w:styleId="Titre3">
    <w:name w:val="heading 3"/>
    <w:basedOn w:val="Titre2"/>
    <w:next w:val="Corpsdetexte"/>
    <w:uiPriority w:val="6"/>
    <w:qFormat/>
    <w:rsid w:val="006E49BE"/>
    <w:pPr>
      <w:numPr>
        <w:ilvl w:val="2"/>
      </w:numPr>
      <w:outlineLvl w:val="2"/>
    </w:pPr>
    <w:rPr>
      <w:rFonts w:ascii="Times New Roman Gras" w:hAnsi="Times New Roman Gras"/>
      <w:smallCaps w:val="0"/>
    </w:rPr>
  </w:style>
  <w:style w:type="paragraph" w:styleId="Titre4">
    <w:name w:val="heading 4"/>
    <w:basedOn w:val="Titre3"/>
    <w:next w:val="Corpsdetexte"/>
    <w:uiPriority w:val="6"/>
    <w:qFormat/>
    <w:rsid w:val="006E49BE"/>
    <w:pPr>
      <w:numPr>
        <w:ilvl w:val="3"/>
      </w:numPr>
      <w:outlineLvl w:val="3"/>
    </w:pPr>
    <w:rPr>
      <w:rFonts w:ascii="Times New Roman" w:hAnsi="Times New Roman"/>
      <w:b w:val="0"/>
      <w:bCs/>
      <w:i/>
      <w:iCs/>
      <w:sz w:val="24"/>
    </w:rPr>
  </w:style>
  <w:style w:type="paragraph" w:styleId="Titre5">
    <w:name w:val="heading 5"/>
    <w:basedOn w:val="Normal"/>
    <w:next w:val="Normal"/>
    <w:semiHidden/>
    <w:unhideWhenUsed/>
    <w:pPr>
      <w:ind w:left="2410"/>
      <w:outlineLvl w:val="4"/>
    </w:pPr>
    <w:rPr>
      <w:b/>
      <w:sz w:val="20"/>
      <w:u w:val="single"/>
    </w:rPr>
  </w:style>
  <w:style w:type="paragraph" w:styleId="Titre6">
    <w:name w:val="heading 6"/>
    <w:basedOn w:val="Normal"/>
    <w:next w:val="Normal"/>
    <w:semiHidden/>
    <w:unhideWhenUsed/>
    <w:pPr>
      <w:ind w:left="708"/>
      <w:outlineLvl w:val="5"/>
    </w:pPr>
    <w:rPr>
      <w:sz w:val="20"/>
      <w:u w:val="single"/>
    </w:rPr>
  </w:style>
  <w:style w:type="paragraph" w:styleId="Titre7">
    <w:name w:val="heading 7"/>
    <w:basedOn w:val="Normal"/>
    <w:next w:val="Normal"/>
    <w:semiHidden/>
    <w:unhideWhenUsed/>
    <w:pPr>
      <w:ind w:left="708"/>
      <w:outlineLvl w:val="6"/>
    </w:pPr>
    <w:rPr>
      <w:i/>
      <w:sz w:val="20"/>
    </w:rPr>
  </w:style>
  <w:style w:type="paragraph" w:styleId="Titre8">
    <w:name w:val="heading 8"/>
    <w:basedOn w:val="Normal"/>
    <w:next w:val="Normal"/>
    <w:semiHidden/>
    <w:unhideWhenUsed/>
    <w:pPr>
      <w:ind w:left="708"/>
      <w:outlineLvl w:val="7"/>
    </w:pPr>
    <w:rPr>
      <w:i/>
      <w:sz w:val="20"/>
    </w:rPr>
  </w:style>
  <w:style w:type="paragraph" w:styleId="Titre9">
    <w:name w:val="heading 9"/>
    <w:basedOn w:val="Normal"/>
    <w:next w:val="Normal"/>
    <w:semiHidden/>
    <w:unhideWhenUsed/>
    <w:qFormat/>
    <w:pPr>
      <w:keepNext/>
      <w:pBdr>
        <w:top w:val="single" w:sz="6" w:space="1" w:color="auto"/>
        <w:left w:val="single" w:sz="6" w:space="1" w:color="auto"/>
        <w:bottom w:val="single" w:sz="6" w:space="1" w:color="auto"/>
        <w:right w:val="single" w:sz="6" w:space="1" w:color="auto"/>
      </w:pBdr>
      <w:shd w:val="pct5" w:color="auto" w:fill="auto"/>
      <w:jc w:val="center"/>
      <w:outlineLvl w:val="8"/>
    </w:pPr>
    <w:rPr>
      <w:b/>
      <w:color w:val="800000"/>
      <w:sz w:val="32"/>
    </w:rPr>
  </w:style>
  <w:style w:type="character" w:default="1" w:styleId="Policepardfaut">
    <w:name w:val="Default Paragraph Font"/>
    <w:uiPriority w:val="1"/>
    <w:semiHidden/>
    <w:unhideWhenUsed/>
    <w:rsid w:val="006E49BE"/>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6E49BE"/>
  </w:style>
  <w:style w:type="paragraph" w:styleId="Corpsdetexte">
    <w:name w:val="Body Text"/>
    <w:basedOn w:val="Normal"/>
    <w:link w:val="CorpsdetexteCar"/>
    <w:qFormat/>
    <w:rsid w:val="00FD15E7"/>
    <w:pPr>
      <w:spacing w:after="120"/>
      <w:jc w:val="both"/>
    </w:pPr>
  </w:style>
  <w:style w:type="character" w:customStyle="1" w:styleId="CorpsdetexteCar">
    <w:name w:val="Corps de texte Car"/>
    <w:basedOn w:val="Policepardfaut"/>
    <w:link w:val="Corpsdetexte"/>
    <w:rsid w:val="00FD15E7"/>
    <w:rPr>
      <w:rFonts w:eastAsia="Calibri"/>
      <w:sz w:val="24"/>
      <w:szCs w:val="24"/>
      <w:lang w:eastAsia="en-US"/>
    </w:rPr>
  </w:style>
  <w:style w:type="paragraph" w:customStyle="1" w:styleId="Apparent">
    <w:name w:val="Apparent"/>
    <w:basedOn w:val="Corpsdetexte"/>
    <w:next w:val="Corpsdetexte"/>
    <w:uiPriority w:val="16"/>
    <w:unhideWhenUsed/>
    <w:qFormat/>
    <w:rsid w:val="006E49BE"/>
    <w:pPr>
      <w:jc w:val="center"/>
    </w:pPr>
    <w:rPr>
      <w:b/>
    </w:rPr>
  </w:style>
  <w:style w:type="character" w:styleId="Appeldenotedefin">
    <w:name w:val="endnote reference"/>
    <w:basedOn w:val="Policepardfaut"/>
    <w:uiPriority w:val="99"/>
    <w:semiHidden/>
    <w:unhideWhenUsed/>
    <w:rsid w:val="006E49BE"/>
    <w:rPr>
      <w:vertAlign w:val="superscript"/>
    </w:rPr>
  </w:style>
  <w:style w:type="character" w:styleId="Appelnotedebasdep">
    <w:name w:val="footnote reference"/>
    <w:basedOn w:val="Policepardfaut"/>
    <w:semiHidden/>
    <w:unhideWhenUsed/>
    <w:rsid w:val="006E49BE"/>
    <w:rPr>
      <w:vertAlign w:val="superscript"/>
    </w:rPr>
  </w:style>
  <w:style w:type="paragraph" w:styleId="Bibliographie">
    <w:name w:val="Bibliography"/>
    <w:basedOn w:val="Normal"/>
    <w:next w:val="Normal"/>
    <w:uiPriority w:val="12"/>
    <w:rsid w:val="006E49BE"/>
    <w:pPr>
      <w:keepLines/>
      <w:tabs>
        <w:tab w:val="left" w:pos="540"/>
      </w:tabs>
      <w:autoSpaceDE w:val="0"/>
      <w:autoSpaceDN w:val="0"/>
      <w:adjustRightInd w:val="0"/>
      <w:spacing w:before="120" w:after="60" w:line="240" w:lineRule="auto"/>
      <w:ind w:left="357" w:hanging="357"/>
      <w:jc w:val="both"/>
    </w:pPr>
    <w:rPr>
      <w:rFonts w:eastAsia="Times New Roman"/>
      <w:sz w:val="20"/>
      <w:szCs w:val="21"/>
      <w:lang w:eastAsia="fr-FR"/>
    </w:rPr>
  </w:style>
  <w:style w:type="paragraph" w:customStyle="1" w:styleId="Celluletableau">
    <w:name w:val="Cellule tableau"/>
    <w:basedOn w:val="Normal"/>
    <w:uiPriority w:val="8"/>
    <w:qFormat/>
    <w:rsid w:val="006E49BE"/>
    <w:pPr>
      <w:spacing w:after="0" w:line="240" w:lineRule="auto"/>
    </w:pPr>
    <w:rPr>
      <w:b/>
      <w:bCs/>
      <w:color w:val="000000"/>
      <w:sz w:val="20"/>
    </w:rPr>
  </w:style>
  <w:style w:type="paragraph" w:customStyle="1" w:styleId="Corpsdetextecentravecespacement">
    <w:name w:val="Corps de texte centré avec espacement"/>
    <w:basedOn w:val="Corpsdetexte"/>
    <w:next w:val="Corpsdetexte"/>
    <w:qFormat/>
    <w:rsid w:val="006E49BE"/>
    <w:pPr>
      <w:spacing w:before="600" w:after="480"/>
      <w:jc w:val="center"/>
    </w:pPr>
  </w:style>
  <w:style w:type="paragraph" w:customStyle="1" w:styleId="Corpsdetextegauchecentr">
    <w:name w:val="Corps de texte gauche centré"/>
    <w:basedOn w:val="Corpsdetexte"/>
    <w:qFormat/>
    <w:rsid w:val="006E49BE"/>
    <w:pPr>
      <w:jc w:val="center"/>
    </w:pPr>
    <w:rPr>
      <w:noProof/>
      <w:lang w:eastAsia="fr-FR"/>
    </w:rPr>
  </w:style>
  <w:style w:type="paragraph" w:customStyle="1" w:styleId="Corpsdetextesansespacement">
    <w:name w:val="Corps de texte sans espacement"/>
    <w:basedOn w:val="Corpsdetexte"/>
    <w:qFormat/>
    <w:rsid w:val="006E49BE"/>
    <w:pPr>
      <w:keepNext/>
      <w:keepLines/>
      <w:spacing w:after="0"/>
      <w:jc w:val="center"/>
    </w:pPr>
  </w:style>
  <w:style w:type="paragraph" w:styleId="En-tte">
    <w:name w:val="header"/>
    <w:basedOn w:val="Normal"/>
    <w:link w:val="En-tteCar"/>
    <w:uiPriority w:val="99"/>
    <w:semiHidden/>
    <w:unhideWhenUsed/>
    <w:rsid w:val="006E49B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6E49BE"/>
    <w:rPr>
      <w:rFonts w:eastAsia="Calibri"/>
      <w:sz w:val="24"/>
      <w:szCs w:val="24"/>
      <w:lang w:eastAsia="en-US"/>
    </w:rPr>
  </w:style>
  <w:style w:type="paragraph" w:styleId="En-ttedetabledesmatires">
    <w:name w:val="TOC Heading"/>
    <w:basedOn w:val="Titre1"/>
    <w:next w:val="Normal"/>
    <w:uiPriority w:val="16"/>
    <w:unhideWhenUsed/>
    <w:rsid w:val="006E49BE"/>
    <w:pPr>
      <w:numPr>
        <w:numId w:val="0"/>
      </w:numPr>
      <w:spacing w:after="0" w:line="276" w:lineRule="auto"/>
      <w:outlineLvl w:val="9"/>
    </w:pPr>
    <w:rPr>
      <w:rFonts w:ascii="Cambria" w:hAnsi="Cambria"/>
      <w:caps w:val="0"/>
      <w:color w:val="365F91"/>
    </w:rPr>
  </w:style>
  <w:style w:type="paragraph" w:customStyle="1" w:styleId="equation">
    <w:name w:val="equation"/>
    <w:basedOn w:val="Corpsdetexte"/>
    <w:next w:val="Corpsdetexte"/>
    <w:uiPriority w:val="10"/>
    <w:rsid w:val="006E49BE"/>
    <w:pPr>
      <w:tabs>
        <w:tab w:val="left" w:pos="540"/>
      </w:tabs>
      <w:spacing w:before="60"/>
      <w:jc w:val="center"/>
    </w:pPr>
    <w:rPr>
      <w:rFonts w:eastAsia="Times New Roman"/>
      <w:sz w:val="20"/>
      <w:szCs w:val="21"/>
      <w:lang w:eastAsia="fr-FR"/>
    </w:rPr>
  </w:style>
  <w:style w:type="table" w:styleId="Grilledutableau">
    <w:name w:val="Table Grid"/>
    <w:basedOn w:val="TableauNormal"/>
    <w:uiPriority w:val="59"/>
    <w:rsid w:val="006E49BE"/>
    <w:rPr>
      <w:rFonts w:eastAsia="Calibri"/>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gende">
    <w:name w:val="caption"/>
    <w:aliases w:val="Fig."/>
    <w:basedOn w:val="Normal"/>
    <w:next w:val="Normal"/>
    <w:qFormat/>
    <w:rsid w:val="007D7D98"/>
    <w:pPr>
      <w:keepNext/>
      <w:spacing w:after="120" w:line="240" w:lineRule="auto"/>
    </w:pPr>
    <w:rPr>
      <w:rFonts w:eastAsia="Times New Roman"/>
      <w:b/>
      <w:bCs/>
      <w:sz w:val="18"/>
      <w:szCs w:val="20"/>
      <w:lang w:eastAsia="fr-FR"/>
    </w:rPr>
  </w:style>
  <w:style w:type="character" w:styleId="Lienhypertexte">
    <w:name w:val="Hyperlink"/>
    <w:basedOn w:val="Policepardfaut"/>
    <w:uiPriority w:val="99"/>
    <w:unhideWhenUsed/>
    <w:rsid w:val="006E49BE"/>
    <w:rPr>
      <w:color w:val="0000FF"/>
      <w:u w:val="single"/>
    </w:rPr>
  </w:style>
  <w:style w:type="paragraph" w:styleId="Listepuces">
    <w:name w:val="List Bullet"/>
    <w:basedOn w:val="Corpsdetexte"/>
    <w:next w:val="Corpsdetexte"/>
    <w:uiPriority w:val="14"/>
    <w:qFormat/>
    <w:rsid w:val="006E49BE"/>
    <w:pPr>
      <w:numPr>
        <w:numId w:val="1"/>
      </w:numPr>
      <w:tabs>
        <w:tab w:val="left" w:pos="851"/>
      </w:tabs>
      <w:spacing w:after="240"/>
      <w:contextualSpacing/>
    </w:pPr>
  </w:style>
  <w:style w:type="paragraph" w:styleId="NormalWeb">
    <w:name w:val="Normal (Web)"/>
    <w:basedOn w:val="Normal"/>
    <w:uiPriority w:val="99"/>
    <w:semiHidden/>
    <w:unhideWhenUsed/>
    <w:rsid w:val="006E49BE"/>
    <w:pPr>
      <w:spacing w:before="100" w:beforeAutospacing="1" w:after="100" w:afterAutospacing="1" w:line="240" w:lineRule="auto"/>
    </w:pPr>
    <w:rPr>
      <w:rFonts w:eastAsia="Times New Roman"/>
      <w:lang w:eastAsia="fr-FR"/>
    </w:rPr>
  </w:style>
  <w:style w:type="paragraph" w:styleId="Notedebasdepage">
    <w:name w:val="footnote text"/>
    <w:basedOn w:val="Normal"/>
    <w:link w:val="NotedebasdepageCar"/>
    <w:rsid w:val="006E49BE"/>
    <w:pPr>
      <w:spacing w:after="0" w:line="240" w:lineRule="auto"/>
    </w:pPr>
    <w:rPr>
      <w:sz w:val="20"/>
      <w:szCs w:val="20"/>
    </w:rPr>
  </w:style>
  <w:style w:type="character" w:customStyle="1" w:styleId="NotedebasdepageCar">
    <w:name w:val="Note de bas de page Car"/>
    <w:basedOn w:val="Policepardfaut"/>
    <w:link w:val="Notedebasdepage"/>
    <w:uiPriority w:val="9"/>
    <w:rsid w:val="006E49BE"/>
    <w:rPr>
      <w:rFonts w:eastAsia="Calibri"/>
      <w:lang w:eastAsia="en-US"/>
    </w:rPr>
  </w:style>
  <w:style w:type="paragraph" w:styleId="Notedefin">
    <w:name w:val="endnote text"/>
    <w:basedOn w:val="Normal"/>
    <w:link w:val="NotedefinCar"/>
    <w:uiPriority w:val="99"/>
    <w:semiHidden/>
    <w:unhideWhenUsed/>
    <w:rsid w:val="006E49BE"/>
    <w:pPr>
      <w:spacing w:after="0" w:line="240" w:lineRule="auto"/>
    </w:pPr>
    <w:rPr>
      <w:sz w:val="20"/>
      <w:szCs w:val="20"/>
    </w:rPr>
  </w:style>
  <w:style w:type="character" w:customStyle="1" w:styleId="NotedefinCar">
    <w:name w:val="Note de fin Car"/>
    <w:basedOn w:val="Policepardfaut"/>
    <w:link w:val="Notedefin"/>
    <w:uiPriority w:val="99"/>
    <w:semiHidden/>
    <w:rsid w:val="006E49BE"/>
    <w:rPr>
      <w:rFonts w:eastAsia="Calibri"/>
      <w:lang w:eastAsia="en-US"/>
    </w:rPr>
  </w:style>
  <w:style w:type="character" w:styleId="Numrodepage">
    <w:name w:val="page number"/>
    <w:basedOn w:val="Policepardfaut"/>
    <w:uiPriority w:val="29"/>
    <w:semiHidden/>
    <w:rsid w:val="006E49BE"/>
  </w:style>
  <w:style w:type="table" w:customStyle="1" w:styleId="Ombrageclair1">
    <w:name w:val="Ombrage clair1"/>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2">
    <w:name w:val="Ombrage clair2"/>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3">
    <w:name w:val="Ombrage clair3"/>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4">
    <w:name w:val="Ombrage clair4"/>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Paragraphedeliste">
    <w:name w:val="List Paragraph"/>
    <w:basedOn w:val="Normal"/>
    <w:uiPriority w:val="34"/>
    <w:semiHidden/>
    <w:unhideWhenUsed/>
    <w:qFormat/>
    <w:rsid w:val="006E49BE"/>
    <w:pPr>
      <w:ind w:left="720"/>
      <w:contextualSpacing/>
    </w:pPr>
  </w:style>
  <w:style w:type="paragraph" w:styleId="Pieddepage">
    <w:name w:val="footer"/>
    <w:basedOn w:val="Normal"/>
    <w:link w:val="PieddepageCar"/>
    <w:uiPriority w:val="11"/>
    <w:rsid w:val="006E49BE"/>
    <w:pPr>
      <w:tabs>
        <w:tab w:val="center" w:pos="4820"/>
        <w:tab w:val="left" w:pos="6465"/>
        <w:tab w:val="right" w:pos="9639"/>
      </w:tabs>
      <w:spacing w:after="0" w:line="240" w:lineRule="auto"/>
      <w:jc w:val="both"/>
    </w:pPr>
    <w:rPr>
      <w:i/>
      <w:sz w:val="16"/>
      <w:szCs w:val="16"/>
    </w:rPr>
  </w:style>
  <w:style w:type="character" w:customStyle="1" w:styleId="PieddepageCar">
    <w:name w:val="Pied de page Car"/>
    <w:basedOn w:val="Policepardfaut"/>
    <w:link w:val="Pieddepage"/>
    <w:uiPriority w:val="11"/>
    <w:rsid w:val="006E49BE"/>
    <w:rPr>
      <w:rFonts w:eastAsia="Calibri"/>
      <w:i/>
      <w:sz w:val="16"/>
      <w:szCs w:val="16"/>
      <w:lang w:eastAsia="en-US"/>
    </w:rPr>
  </w:style>
  <w:style w:type="numbering" w:customStyle="1" w:styleId="Stylelistetitre">
    <w:name w:val="Style_liste_titre"/>
    <w:uiPriority w:val="99"/>
    <w:rsid w:val="006E49BE"/>
    <w:pPr>
      <w:numPr>
        <w:numId w:val="2"/>
      </w:numPr>
    </w:pPr>
  </w:style>
  <w:style w:type="paragraph" w:customStyle="1" w:styleId="Tableaucellulegauche">
    <w:name w:val="Tableau cellule gauche"/>
    <w:basedOn w:val="Corpsdetexte"/>
    <w:uiPriority w:val="8"/>
    <w:qFormat/>
    <w:rsid w:val="006E49BE"/>
    <w:pPr>
      <w:spacing w:after="0"/>
    </w:pPr>
    <w:rPr>
      <w:sz w:val="22"/>
      <w:lang w:eastAsia="fr-FR"/>
    </w:rPr>
  </w:style>
  <w:style w:type="paragraph" w:styleId="Textedebulles">
    <w:name w:val="Balloon Text"/>
    <w:basedOn w:val="Normal"/>
    <w:link w:val="TextedebullesCar"/>
    <w:uiPriority w:val="99"/>
    <w:semiHidden/>
    <w:unhideWhenUsed/>
    <w:rsid w:val="006E49B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E49BE"/>
    <w:rPr>
      <w:rFonts w:ascii="Tahoma" w:eastAsia="Calibri" w:hAnsi="Tahoma" w:cs="Tahoma"/>
      <w:sz w:val="16"/>
      <w:szCs w:val="16"/>
      <w:lang w:eastAsia="en-US"/>
    </w:rPr>
  </w:style>
  <w:style w:type="paragraph" w:styleId="Titre">
    <w:name w:val="Title"/>
    <w:basedOn w:val="Normal"/>
    <w:link w:val="TitreCar"/>
    <w:uiPriority w:val="3"/>
    <w:qFormat/>
    <w:rsid w:val="006E49BE"/>
    <w:pPr>
      <w:overflowPunct w:val="0"/>
      <w:autoSpaceDE w:val="0"/>
      <w:autoSpaceDN w:val="0"/>
      <w:adjustRightInd w:val="0"/>
      <w:spacing w:after="0" w:line="240" w:lineRule="auto"/>
      <w:jc w:val="center"/>
      <w:textAlignment w:val="baseline"/>
    </w:pPr>
    <w:rPr>
      <w:rFonts w:eastAsia="Times New Roman"/>
      <w:b/>
      <w:sz w:val="52"/>
      <w:szCs w:val="20"/>
      <w:lang w:eastAsia="fr-FR"/>
    </w:rPr>
  </w:style>
  <w:style w:type="character" w:customStyle="1" w:styleId="TitreCar">
    <w:name w:val="Titre Car"/>
    <w:basedOn w:val="Policepardfaut"/>
    <w:link w:val="Titre"/>
    <w:uiPriority w:val="3"/>
    <w:rsid w:val="006E49BE"/>
    <w:rPr>
      <w:b/>
      <w:sz w:val="52"/>
    </w:rPr>
  </w:style>
  <w:style w:type="paragraph" w:customStyle="1" w:styleId="Titre1Proposition">
    <w:name w:val="Titre 1 Proposition"/>
    <w:basedOn w:val="Normal"/>
    <w:next w:val="Corpsdetexte"/>
    <w:uiPriority w:val="5"/>
    <w:qFormat/>
    <w:rsid w:val="006E49BE"/>
    <w:pPr>
      <w:keepNext/>
      <w:keepLines/>
      <w:numPr>
        <w:numId w:val="3"/>
      </w:numPr>
      <w:pBdr>
        <w:bottom w:val="double" w:sz="4" w:space="1" w:color="auto"/>
      </w:pBdr>
      <w:tabs>
        <w:tab w:val="left" w:pos="284"/>
      </w:tabs>
      <w:autoSpaceDE w:val="0"/>
      <w:autoSpaceDN w:val="0"/>
      <w:adjustRightInd w:val="0"/>
      <w:spacing w:before="600" w:after="480"/>
    </w:pPr>
    <w:rPr>
      <w:rFonts w:ascii="Times New Roman Gras" w:hAnsi="Times New Roman Gras"/>
      <w:b/>
      <w:caps/>
      <w:color w:val="800000"/>
    </w:rPr>
  </w:style>
  <w:style w:type="paragraph" w:customStyle="1" w:styleId="Titre1sansnumro">
    <w:name w:val="Titre 1 sans numéro"/>
    <w:basedOn w:val="Titre1"/>
    <w:next w:val="Corpsdetexte"/>
    <w:uiPriority w:val="5"/>
    <w:qFormat/>
    <w:rsid w:val="006E49BE"/>
    <w:pPr>
      <w:numPr>
        <w:numId w:val="0"/>
      </w:numPr>
    </w:pPr>
  </w:style>
  <w:style w:type="paragraph" w:customStyle="1" w:styleId="Titre2Proposition">
    <w:name w:val="Titre 2 Proposition"/>
    <w:basedOn w:val="Corpsdetexte"/>
    <w:next w:val="Corpsdetexte"/>
    <w:uiPriority w:val="5"/>
    <w:qFormat/>
    <w:rsid w:val="006E49BE"/>
    <w:pPr>
      <w:keepNext/>
      <w:keepLines/>
      <w:autoSpaceDE w:val="0"/>
      <w:autoSpaceDN w:val="0"/>
      <w:adjustRightInd w:val="0"/>
      <w:spacing w:before="360" w:after="240"/>
    </w:pPr>
    <w:rPr>
      <w:b/>
      <w:color w:val="000000"/>
      <w:u w:val="single"/>
    </w:rPr>
  </w:style>
  <w:style w:type="paragraph" w:customStyle="1" w:styleId="Titre2sansnumro">
    <w:name w:val="Titre 2 sans numéro"/>
    <w:basedOn w:val="Titre2"/>
    <w:next w:val="Corpsdetexte"/>
    <w:uiPriority w:val="5"/>
    <w:qFormat/>
    <w:rsid w:val="006E49BE"/>
    <w:pPr>
      <w:numPr>
        <w:ilvl w:val="0"/>
        <w:numId w:val="0"/>
      </w:numPr>
    </w:pPr>
  </w:style>
  <w:style w:type="paragraph" w:customStyle="1" w:styleId="Titredocument">
    <w:name w:val="Titre document"/>
    <w:basedOn w:val="Titre"/>
    <w:next w:val="Corpsdetexte"/>
    <w:uiPriority w:val="2"/>
    <w:qFormat/>
    <w:rsid w:val="006E49BE"/>
    <w:pPr>
      <w:pBdr>
        <w:top w:val="double" w:sz="4" w:space="15" w:color="auto"/>
        <w:left w:val="double" w:sz="4" w:space="4" w:color="auto"/>
        <w:bottom w:val="thickThinSmallGap" w:sz="24" w:space="15" w:color="auto"/>
        <w:right w:val="thickThinSmallGap" w:sz="24" w:space="4" w:color="auto"/>
      </w:pBdr>
      <w:shd w:val="clear" w:color="auto" w:fill="F3F3F3"/>
      <w:spacing w:before="1320" w:after="100" w:afterAutospacing="1"/>
      <w:ind w:left="1134" w:right="1134"/>
    </w:pPr>
    <w:rPr>
      <w:color w:val="800000"/>
      <w:sz w:val="42"/>
    </w:rPr>
  </w:style>
  <w:style w:type="paragraph" w:customStyle="1" w:styleId="Titredocument2">
    <w:name w:val="Titre document 2"/>
    <w:basedOn w:val="Normal"/>
    <w:next w:val="Corpsdetexte"/>
    <w:uiPriority w:val="2"/>
    <w:qFormat/>
    <w:rsid w:val="006E49BE"/>
    <w:pPr>
      <w:spacing w:before="1200"/>
      <w:jc w:val="center"/>
    </w:pPr>
    <w:rPr>
      <w:b/>
      <w:sz w:val="32"/>
    </w:rPr>
  </w:style>
  <w:style w:type="paragraph" w:customStyle="1" w:styleId="Titredocument3">
    <w:name w:val="Titre document 3"/>
    <w:basedOn w:val="Normal"/>
    <w:next w:val="Corpsdetexte"/>
    <w:uiPriority w:val="2"/>
    <w:qFormat/>
    <w:rsid w:val="006E49BE"/>
    <w:pPr>
      <w:spacing w:before="480"/>
      <w:jc w:val="center"/>
    </w:pPr>
    <w:rPr>
      <w:b/>
    </w:rPr>
  </w:style>
  <w:style w:type="paragraph" w:customStyle="1" w:styleId="Titredocument4">
    <w:name w:val="Titre document 4"/>
    <w:basedOn w:val="Normal"/>
    <w:next w:val="Corpsdetexte"/>
    <w:uiPriority w:val="2"/>
    <w:qFormat/>
    <w:rsid w:val="006E49BE"/>
    <w:pPr>
      <w:jc w:val="center"/>
    </w:pPr>
    <w:rPr>
      <w:b/>
    </w:rPr>
  </w:style>
  <w:style w:type="paragraph" w:customStyle="1" w:styleId="TitreIntroduction">
    <w:name w:val="Titre Introduction"/>
    <w:basedOn w:val="Corpsdetexte"/>
    <w:next w:val="Corpsdetexte"/>
    <w:uiPriority w:val="4"/>
    <w:qFormat/>
    <w:rsid w:val="00952910"/>
    <w:pPr>
      <w:keepNext/>
      <w:pageBreakBefore/>
      <w:pBdr>
        <w:top w:val="single" w:sz="4" w:space="1" w:color="auto"/>
        <w:left w:val="single" w:sz="4" w:space="4" w:color="auto"/>
        <w:bottom w:val="single" w:sz="4" w:space="1" w:color="auto"/>
        <w:right w:val="single" w:sz="4" w:space="4" w:color="auto"/>
      </w:pBdr>
      <w:shd w:val="pct10" w:color="auto" w:fill="auto"/>
      <w:spacing w:after="480"/>
      <w:jc w:val="center"/>
    </w:pPr>
    <w:rPr>
      <w:rFonts w:ascii="Times New Roman Gras" w:hAnsi="Times New Roman Gras"/>
      <w:b/>
      <w:caps/>
      <w:color w:val="943634"/>
    </w:rPr>
  </w:style>
  <w:style w:type="paragraph" w:styleId="TM1">
    <w:name w:val="toc 1"/>
    <w:basedOn w:val="Normal"/>
    <w:next w:val="Normal"/>
    <w:autoRedefine/>
    <w:uiPriority w:val="39"/>
    <w:rsid w:val="00C44D18"/>
    <w:pPr>
      <w:tabs>
        <w:tab w:val="left" w:pos="567"/>
        <w:tab w:val="right" w:leader="dot" w:pos="9062"/>
      </w:tabs>
      <w:spacing w:after="0" w:line="240" w:lineRule="auto"/>
    </w:pPr>
    <w:rPr>
      <w:rFonts w:ascii="Times New Roman Gras" w:hAnsi="Times New Roman Gras"/>
      <w:b/>
      <w:smallCaps/>
    </w:rPr>
  </w:style>
  <w:style w:type="paragraph" w:styleId="TM2">
    <w:name w:val="toc 2"/>
    <w:basedOn w:val="Normal"/>
    <w:next w:val="Normal"/>
    <w:autoRedefine/>
    <w:uiPriority w:val="39"/>
    <w:rsid w:val="00C44D18"/>
    <w:pPr>
      <w:tabs>
        <w:tab w:val="left" w:pos="880"/>
        <w:tab w:val="right" w:leader="dot" w:pos="9062"/>
      </w:tabs>
      <w:spacing w:after="0" w:line="240" w:lineRule="auto"/>
      <w:ind w:left="284"/>
      <w:jc w:val="both"/>
    </w:pPr>
    <w:rPr>
      <w:smallCaps/>
      <w:noProof/>
    </w:rPr>
  </w:style>
  <w:style w:type="paragraph" w:styleId="TM3">
    <w:name w:val="toc 3"/>
    <w:basedOn w:val="Normal"/>
    <w:next w:val="Normal"/>
    <w:autoRedefine/>
    <w:uiPriority w:val="39"/>
    <w:rsid w:val="006E49BE"/>
    <w:pPr>
      <w:tabs>
        <w:tab w:val="left" w:pos="1440"/>
        <w:tab w:val="right" w:leader="dot" w:pos="9062"/>
      </w:tabs>
      <w:spacing w:after="100"/>
      <w:ind w:left="567"/>
    </w:pPr>
    <w:rPr>
      <w:noProof/>
    </w:rPr>
  </w:style>
  <w:style w:type="table" w:styleId="Trameclaire-Accent2">
    <w:name w:val="Light Shading Accent 2"/>
    <w:basedOn w:val="TableauNormal"/>
    <w:uiPriority w:val="60"/>
    <w:rsid w:val="006E49BE"/>
    <w:rPr>
      <w:rFonts w:eastAsia="Calibri"/>
      <w:color w:val="943634"/>
      <w:sz w:val="24"/>
      <w:szCs w:val="2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Trameclaire-Accent3">
    <w:name w:val="Light Shading Accent 3"/>
    <w:basedOn w:val="TableauNormal"/>
    <w:uiPriority w:val="60"/>
    <w:rsid w:val="006E49BE"/>
    <w:rPr>
      <w:rFonts w:eastAsia="Calibri"/>
      <w:color w:val="76923C"/>
      <w:sz w:val="24"/>
      <w:szCs w:val="24"/>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Retraitnormal">
    <w:name w:val="Normal Indent"/>
    <w:basedOn w:val="Normal"/>
    <w:semiHidden/>
    <w:rsid w:val="00EF422E"/>
    <w:pPr>
      <w:overflowPunct w:val="0"/>
      <w:autoSpaceDE w:val="0"/>
      <w:autoSpaceDN w:val="0"/>
      <w:adjustRightInd w:val="0"/>
      <w:spacing w:after="0" w:line="240" w:lineRule="auto"/>
      <w:ind w:left="170"/>
      <w:jc w:val="both"/>
      <w:textAlignment w:val="baseline"/>
    </w:pPr>
    <w:rPr>
      <w:rFonts w:eastAsia="Times New Roman"/>
      <w:szCs w:val="20"/>
      <w:lang w:eastAsia="fr-FR"/>
    </w:rPr>
  </w:style>
  <w:style w:type="character" w:customStyle="1" w:styleId="Titre1Car">
    <w:name w:val="Titre 1 Car"/>
    <w:basedOn w:val="Policepardfaut"/>
    <w:link w:val="Titre1"/>
    <w:uiPriority w:val="9"/>
    <w:rsid w:val="007D7D98"/>
    <w:rPr>
      <w:b/>
      <w:bCs/>
      <w:caps/>
      <w:sz w:val="28"/>
      <w:szCs w:val="28"/>
      <w:lang w:eastAsia="en-US"/>
    </w:rPr>
  </w:style>
  <w:style w:type="paragraph" w:customStyle="1" w:styleId="Puce1">
    <w:name w:val="Puce 1"/>
    <w:basedOn w:val="Normal"/>
    <w:link w:val="Puce1Car"/>
    <w:uiPriority w:val="1"/>
    <w:qFormat/>
    <w:rsid w:val="00C04995"/>
    <w:pPr>
      <w:numPr>
        <w:numId w:val="5"/>
      </w:numPr>
      <w:spacing w:after="120"/>
      <w:ind w:left="1134" w:hanging="357"/>
      <w:jc w:val="both"/>
    </w:pPr>
  </w:style>
  <w:style w:type="character" w:customStyle="1" w:styleId="Puce1Car">
    <w:name w:val="Puce 1 Car"/>
    <w:basedOn w:val="Policepardfaut"/>
    <w:link w:val="Puce1"/>
    <w:uiPriority w:val="1"/>
    <w:rsid w:val="00C04995"/>
    <w:rPr>
      <w:rFonts w:eastAsia="Calibri"/>
      <w:sz w:val="24"/>
      <w:szCs w:val="24"/>
      <w:lang w:eastAsia="en-US"/>
    </w:rPr>
  </w:style>
  <w:style w:type="character" w:styleId="Marquedecommentaire">
    <w:name w:val="annotation reference"/>
    <w:basedOn w:val="Policepardfaut"/>
    <w:uiPriority w:val="99"/>
    <w:semiHidden/>
    <w:unhideWhenUsed/>
    <w:rsid w:val="00C65DE3"/>
    <w:rPr>
      <w:sz w:val="16"/>
      <w:szCs w:val="16"/>
    </w:rPr>
  </w:style>
  <w:style w:type="paragraph" w:styleId="Commentaire">
    <w:name w:val="annotation text"/>
    <w:basedOn w:val="Normal"/>
    <w:link w:val="CommentaireCar"/>
    <w:uiPriority w:val="99"/>
    <w:semiHidden/>
    <w:unhideWhenUsed/>
    <w:rsid w:val="00C65DE3"/>
    <w:rPr>
      <w:sz w:val="20"/>
      <w:szCs w:val="20"/>
    </w:rPr>
  </w:style>
  <w:style w:type="character" w:customStyle="1" w:styleId="CommentaireCar">
    <w:name w:val="Commentaire Car"/>
    <w:basedOn w:val="Policepardfaut"/>
    <w:link w:val="Commentaire"/>
    <w:uiPriority w:val="99"/>
    <w:semiHidden/>
    <w:rsid w:val="00C65DE3"/>
    <w:rPr>
      <w:rFonts w:eastAsia="Calibri"/>
      <w:lang w:eastAsia="en-US"/>
    </w:rPr>
  </w:style>
  <w:style w:type="paragraph" w:styleId="Objetducommentaire">
    <w:name w:val="annotation subject"/>
    <w:basedOn w:val="Commentaire"/>
    <w:next w:val="Commentaire"/>
    <w:link w:val="ObjetducommentaireCar"/>
    <w:uiPriority w:val="99"/>
    <w:semiHidden/>
    <w:unhideWhenUsed/>
    <w:rsid w:val="00C65DE3"/>
    <w:rPr>
      <w:b/>
      <w:bCs/>
    </w:rPr>
  </w:style>
  <w:style w:type="character" w:customStyle="1" w:styleId="ObjetducommentaireCar">
    <w:name w:val="Objet du commentaire Car"/>
    <w:basedOn w:val="CommentaireCar"/>
    <w:link w:val="Objetducommentaire"/>
    <w:uiPriority w:val="99"/>
    <w:semiHidden/>
    <w:rsid w:val="00C65DE3"/>
    <w:rPr>
      <w:rFonts w:eastAsia="Calibr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9537">
      <w:bodyDiv w:val="1"/>
      <w:marLeft w:val="0"/>
      <w:marRight w:val="0"/>
      <w:marTop w:val="0"/>
      <w:marBottom w:val="0"/>
      <w:divBdr>
        <w:top w:val="none" w:sz="0" w:space="0" w:color="auto"/>
        <w:left w:val="none" w:sz="0" w:space="0" w:color="auto"/>
        <w:bottom w:val="none" w:sz="0" w:space="0" w:color="auto"/>
        <w:right w:val="none" w:sz="0" w:space="0" w:color="auto"/>
      </w:divBdr>
    </w:div>
    <w:div w:id="452287882">
      <w:bodyDiv w:val="1"/>
      <w:marLeft w:val="0"/>
      <w:marRight w:val="0"/>
      <w:marTop w:val="0"/>
      <w:marBottom w:val="0"/>
      <w:divBdr>
        <w:top w:val="none" w:sz="0" w:space="0" w:color="auto"/>
        <w:left w:val="none" w:sz="0" w:space="0" w:color="auto"/>
        <w:bottom w:val="none" w:sz="0" w:space="0" w:color="auto"/>
        <w:right w:val="none" w:sz="0" w:space="0" w:color="auto"/>
      </w:divBdr>
    </w:div>
    <w:div w:id="1424884593">
      <w:bodyDiv w:val="1"/>
      <w:marLeft w:val="0"/>
      <w:marRight w:val="0"/>
      <w:marTop w:val="0"/>
      <w:marBottom w:val="0"/>
      <w:divBdr>
        <w:top w:val="none" w:sz="0" w:space="0" w:color="auto"/>
        <w:left w:val="none" w:sz="0" w:space="0" w:color="auto"/>
        <w:bottom w:val="none" w:sz="0" w:space="0" w:color="auto"/>
        <w:right w:val="none" w:sz="0" w:space="0" w:color="auto"/>
      </w:divBdr>
    </w:div>
    <w:div w:id="1779249744">
      <w:bodyDiv w:val="1"/>
      <w:marLeft w:val="0"/>
      <w:marRight w:val="0"/>
      <w:marTop w:val="0"/>
      <w:marBottom w:val="0"/>
      <w:divBdr>
        <w:top w:val="none" w:sz="0" w:space="0" w:color="auto"/>
        <w:left w:val="none" w:sz="0" w:space="0" w:color="auto"/>
        <w:bottom w:val="none" w:sz="0" w:space="0" w:color="auto"/>
        <w:right w:val="none" w:sz="0" w:space="0" w:color="auto"/>
      </w:divBdr>
    </w:div>
    <w:div w:id="1947813636">
      <w:bodyDiv w:val="1"/>
      <w:marLeft w:val="0"/>
      <w:marRight w:val="0"/>
      <w:marTop w:val="0"/>
      <w:marBottom w:val="0"/>
      <w:divBdr>
        <w:top w:val="none" w:sz="0" w:space="0" w:color="auto"/>
        <w:left w:val="none" w:sz="0" w:space="0" w:color="auto"/>
        <w:bottom w:val="none" w:sz="0" w:space="0" w:color="auto"/>
        <w:right w:val="none" w:sz="0" w:space="0" w:color="auto"/>
      </w:divBdr>
    </w:div>
    <w:div w:id="207226736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oleObject" Target="embeddings/oleObject10.bin"/><Relationship Id="rId21" Type="http://schemas.openxmlformats.org/officeDocument/2006/relationships/image" Target="media/image9.wmf"/><Relationship Id="rId34" Type="http://schemas.openxmlformats.org/officeDocument/2006/relationships/image" Target="media/image17.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oleObject2.bin"/><Relationship Id="rId29" Type="http://schemas.openxmlformats.org/officeDocument/2006/relationships/image" Target="media/image14.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4.bin"/><Relationship Id="rId32" Type="http://schemas.openxmlformats.org/officeDocument/2006/relationships/image" Target="media/image16.wmf"/><Relationship Id="rId37" Type="http://schemas.openxmlformats.org/officeDocument/2006/relationships/oleObject" Target="embeddings/oleObject8.bin"/><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0.wmf"/><Relationship Id="rId28" Type="http://schemas.openxmlformats.org/officeDocument/2006/relationships/image" Target="media/image13.emf"/><Relationship Id="rId36" Type="http://schemas.openxmlformats.org/officeDocument/2006/relationships/image" Target="media/image19.wmf"/><Relationship Id="rId10" Type="http://schemas.openxmlformats.org/officeDocument/2006/relationships/header" Target="header2.xml"/><Relationship Id="rId19" Type="http://schemas.openxmlformats.org/officeDocument/2006/relationships/image" Target="media/image8.wmf"/><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oleObject" Target="embeddings/oleObject3.bin"/><Relationship Id="rId27" Type="http://schemas.openxmlformats.org/officeDocument/2006/relationships/image" Target="media/image12.emf"/><Relationship Id="rId30" Type="http://schemas.openxmlformats.org/officeDocument/2006/relationships/image" Target="media/image15.wmf"/><Relationship Id="rId35" Type="http://schemas.openxmlformats.org/officeDocument/2006/relationships/image" Target="media/image18.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7.bin"/><Relationship Id="rId38" Type="http://schemas.openxmlformats.org/officeDocument/2006/relationships/oleObject" Target="embeddings/oleObject9.bin"/><Relationship Id="rId42"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riou\Application%20Data\Microsoft\Templates\WINTER.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B4A3A-B475-45C0-9C8A-386C136A9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Settings\driou\Application Data\Microsoft\Templates\WINTER.dot</Template>
  <TotalTime>0</TotalTime>
  <Pages>14</Pages>
  <Words>3076</Words>
  <Characters>16924</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Support de réunion du </vt:lpstr>
    </vt:vector>
  </TitlesOfParts>
  <Company>JWA</Company>
  <LinksUpToDate>false</LinksUpToDate>
  <CharactersWithSpaces>19961</CharactersWithSpaces>
  <SharedDoc>false</SharedDoc>
  <HLinks>
    <vt:vector size="72" baseType="variant">
      <vt:variant>
        <vt:i4>1310777</vt:i4>
      </vt:variant>
      <vt:variant>
        <vt:i4>72</vt:i4>
      </vt:variant>
      <vt:variant>
        <vt:i4>0</vt:i4>
      </vt:variant>
      <vt:variant>
        <vt:i4>5</vt:i4>
      </vt:variant>
      <vt:variant>
        <vt:lpwstr/>
      </vt:variant>
      <vt:variant>
        <vt:lpwstr>_Toc324881682</vt:lpwstr>
      </vt:variant>
      <vt:variant>
        <vt:i4>1310777</vt:i4>
      </vt:variant>
      <vt:variant>
        <vt:i4>66</vt:i4>
      </vt:variant>
      <vt:variant>
        <vt:i4>0</vt:i4>
      </vt:variant>
      <vt:variant>
        <vt:i4>5</vt:i4>
      </vt:variant>
      <vt:variant>
        <vt:lpwstr/>
      </vt:variant>
      <vt:variant>
        <vt:lpwstr>_Toc324881681</vt:lpwstr>
      </vt:variant>
      <vt:variant>
        <vt:i4>1310777</vt:i4>
      </vt:variant>
      <vt:variant>
        <vt:i4>60</vt:i4>
      </vt:variant>
      <vt:variant>
        <vt:i4>0</vt:i4>
      </vt:variant>
      <vt:variant>
        <vt:i4>5</vt:i4>
      </vt:variant>
      <vt:variant>
        <vt:lpwstr/>
      </vt:variant>
      <vt:variant>
        <vt:lpwstr>_Toc324881680</vt:lpwstr>
      </vt:variant>
      <vt:variant>
        <vt:i4>1769529</vt:i4>
      </vt:variant>
      <vt:variant>
        <vt:i4>54</vt:i4>
      </vt:variant>
      <vt:variant>
        <vt:i4>0</vt:i4>
      </vt:variant>
      <vt:variant>
        <vt:i4>5</vt:i4>
      </vt:variant>
      <vt:variant>
        <vt:lpwstr/>
      </vt:variant>
      <vt:variant>
        <vt:lpwstr>_Toc324881679</vt:lpwstr>
      </vt:variant>
      <vt:variant>
        <vt:i4>1769529</vt:i4>
      </vt:variant>
      <vt:variant>
        <vt:i4>48</vt:i4>
      </vt:variant>
      <vt:variant>
        <vt:i4>0</vt:i4>
      </vt:variant>
      <vt:variant>
        <vt:i4>5</vt:i4>
      </vt:variant>
      <vt:variant>
        <vt:lpwstr/>
      </vt:variant>
      <vt:variant>
        <vt:lpwstr>_Toc324881678</vt:lpwstr>
      </vt:variant>
      <vt:variant>
        <vt:i4>1769529</vt:i4>
      </vt:variant>
      <vt:variant>
        <vt:i4>42</vt:i4>
      </vt:variant>
      <vt:variant>
        <vt:i4>0</vt:i4>
      </vt:variant>
      <vt:variant>
        <vt:i4>5</vt:i4>
      </vt:variant>
      <vt:variant>
        <vt:lpwstr/>
      </vt:variant>
      <vt:variant>
        <vt:lpwstr>_Toc324881677</vt:lpwstr>
      </vt:variant>
      <vt:variant>
        <vt:i4>1769529</vt:i4>
      </vt:variant>
      <vt:variant>
        <vt:i4>36</vt:i4>
      </vt:variant>
      <vt:variant>
        <vt:i4>0</vt:i4>
      </vt:variant>
      <vt:variant>
        <vt:i4>5</vt:i4>
      </vt:variant>
      <vt:variant>
        <vt:lpwstr/>
      </vt:variant>
      <vt:variant>
        <vt:lpwstr>_Toc324881676</vt:lpwstr>
      </vt:variant>
      <vt:variant>
        <vt:i4>1769529</vt:i4>
      </vt:variant>
      <vt:variant>
        <vt:i4>30</vt:i4>
      </vt:variant>
      <vt:variant>
        <vt:i4>0</vt:i4>
      </vt:variant>
      <vt:variant>
        <vt:i4>5</vt:i4>
      </vt:variant>
      <vt:variant>
        <vt:lpwstr/>
      </vt:variant>
      <vt:variant>
        <vt:lpwstr>_Toc324881675</vt:lpwstr>
      </vt:variant>
      <vt:variant>
        <vt:i4>1769529</vt:i4>
      </vt:variant>
      <vt:variant>
        <vt:i4>24</vt:i4>
      </vt:variant>
      <vt:variant>
        <vt:i4>0</vt:i4>
      </vt:variant>
      <vt:variant>
        <vt:i4>5</vt:i4>
      </vt:variant>
      <vt:variant>
        <vt:lpwstr/>
      </vt:variant>
      <vt:variant>
        <vt:lpwstr>_Toc324881674</vt:lpwstr>
      </vt:variant>
      <vt:variant>
        <vt:i4>1769529</vt:i4>
      </vt:variant>
      <vt:variant>
        <vt:i4>18</vt:i4>
      </vt:variant>
      <vt:variant>
        <vt:i4>0</vt:i4>
      </vt:variant>
      <vt:variant>
        <vt:i4>5</vt:i4>
      </vt:variant>
      <vt:variant>
        <vt:lpwstr/>
      </vt:variant>
      <vt:variant>
        <vt:lpwstr>_Toc324881673</vt:lpwstr>
      </vt:variant>
      <vt:variant>
        <vt:i4>1769529</vt:i4>
      </vt:variant>
      <vt:variant>
        <vt:i4>12</vt:i4>
      </vt:variant>
      <vt:variant>
        <vt:i4>0</vt:i4>
      </vt:variant>
      <vt:variant>
        <vt:i4>5</vt:i4>
      </vt:variant>
      <vt:variant>
        <vt:lpwstr/>
      </vt:variant>
      <vt:variant>
        <vt:lpwstr>_Toc324881672</vt:lpwstr>
      </vt:variant>
      <vt:variant>
        <vt:i4>1769529</vt:i4>
      </vt:variant>
      <vt:variant>
        <vt:i4>6</vt:i4>
      </vt:variant>
      <vt:variant>
        <vt:i4>0</vt:i4>
      </vt:variant>
      <vt:variant>
        <vt:i4>5</vt:i4>
      </vt:variant>
      <vt:variant>
        <vt:lpwstr/>
      </vt:variant>
      <vt:variant>
        <vt:lpwstr>_Toc324881671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réunion du </dc:title>
  <dc:subject/>
  <dc:creator>Poste136</dc:creator>
  <cp:keywords/>
  <dc:description/>
  <cp:lastModifiedBy>marc juillard</cp:lastModifiedBy>
  <cp:revision>2</cp:revision>
  <cp:lastPrinted>2012-05-14T13:49:00Z</cp:lastPrinted>
  <dcterms:created xsi:type="dcterms:W3CDTF">2026-03-20T09:46:00Z</dcterms:created>
  <dcterms:modified xsi:type="dcterms:W3CDTF">2026-03-20T09:46:00Z</dcterms:modified>
</cp:coreProperties>
</file>