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281C08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br/>
              <w:t>– praca w projekcie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348F2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025EE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517EC" w:rsidP="00DE2D73">
            <w:pPr>
              <w:spacing w:before="120" w:after="120"/>
            </w:pPr>
            <w:r>
              <w:fldChar w:fldCharType="begin"/>
            </w:r>
            <w:r>
              <w:instrText xml:space="preserve"> REF _Ref427667032 \h </w:instrText>
            </w:r>
            <w:r>
              <w:fldChar w:fldCharType="separate"/>
            </w:r>
            <w:r>
              <w:rPr>
                <w:b/>
              </w:rPr>
              <w:t xml:space="preserve">Struktura wyboru - </w:t>
            </w:r>
            <w:proofErr w:type="spellStart"/>
            <w:r>
              <w:rPr>
                <w:b/>
              </w:rPr>
              <w:t>Case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517EC" w:rsidP="0081009D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_Ref427667032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1F1512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0517EC" w:rsidP="000517EC">
            <w:pPr>
              <w:spacing w:before="120" w:after="120"/>
            </w:pPr>
            <w:r>
              <w:fldChar w:fldCharType="begin"/>
            </w:r>
            <w:r>
              <w:instrText xml:space="preserve"> REF _Ref427667047 \h </w:instrText>
            </w:r>
            <w:r>
              <w:fldChar w:fldCharType="separate"/>
            </w:r>
            <w:r>
              <w:rPr>
                <w:b/>
              </w:rPr>
              <w:t>Praca w projekcie</w:t>
            </w:r>
            <w:r>
              <w:fldChar w:fldCharType="end"/>
            </w:r>
            <w:r w:rsidR="001348F2">
              <w:fldChar w:fldCharType="begin"/>
            </w:r>
            <w:r w:rsidR="00F750CA">
              <w:instrText xml:space="preserve"> REF _Ref427592898 \h </w:instrText>
            </w:r>
            <w:r w:rsidR="001348F2">
              <w:fldChar w:fldCharType="separate"/>
            </w:r>
            <w:r w:rsidR="001348F2"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0517EC" w:rsidP="001F1512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_Ref427667047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1F1512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F750CA" w:rsidP="001F1512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F750CA" w:rsidRPr="00397256" w:rsidRDefault="001348F2" w:rsidP="001F1512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3025EE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</w:p>
        </w:tc>
        <w:tc>
          <w:tcPr>
            <w:tcW w:w="1577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F750CA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81009D" w:rsidP="00DE2D73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E701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E701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F750CA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E701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E701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E7018F" w:rsidRPr="00323EE9">
              <w:rPr>
                <w:b/>
              </w:rPr>
              <w:t>PROGRAM ĆWICZENIA</w:t>
            </w:r>
            <w:r w:rsidR="00E701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F750C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1348F2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E7018F" w:rsidRPr="00CB3BFD">
              <w:rPr>
                <w:b/>
              </w:rPr>
              <w:t xml:space="preserve">PRZYKŁAD REALIZACJI ZADANIA </w:t>
            </w:r>
            <w:r w:rsidR="00E7018F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Default="001348F2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8A171B" w:rsidRPr="00397256" w:rsidRDefault="008A171B" w:rsidP="003D7040">
            <w:pPr>
              <w:spacing w:before="120" w:after="120"/>
            </w:pPr>
            <w:r>
              <w:lastRenderedPageBreak/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8A171B" w:rsidRPr="00397256" w:rsidRDefault="001348F2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E701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8A171B" w:rsidRPr="00397256" w:rsidRDefault="001348F2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Tr="00F750CA">
        <w:tc>
          <w:tcPr>
            <w:tcW w:w="732" w:type="dxa"/>
            <w:shd w:val="clear" w:color="auto" w:fill="E6E6E6"/>
          </w:tcPr>
          <w:p w:rsidR="008A171B" w:rsidRPr="00397256" w:rsidRDefault="008A171B" w:rsidP="003D7040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E6E6E6"/>
          </w:tcPr>
          <w:p w:rsidR="008A171B" w:rsidRPr="00397256" w:rsidRDefault="001348F2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E701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A171B" w:rsidRDefault="001348F2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F750CA">
              <w:rPr>
                <w:noProof/>
              </w:rPr>
              <w:t>14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356493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_Ref427661984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1F1120">
              <w:rPr>
                <w:sz w:val="20"/>
              </w:rPr>
              <w:t xml:space="preserve">Podstawowa wersja struktury </w:t>
            </w:r>
            <w:proofErr w:type="spellStart"/>
            <w:r w:rsidRPr="001F1120">
              <w:rPr>
                <w:sz w:val="20"/>
              </w:rPr>
              <w:t>Case</w:t>
            </w:r>
            <w:proofErr w:type="spellEnd"/>
            <w:r w:rsidRPr="001F1120">
              <w:rPr>
                <w:sz w:val="20"/>
              </w:rPr>
              <w:t xml:space="preserve"> z selektorem typu </w:t>
            </w:r>
            <w:proofErr w:type="spellStart"/>
            <w:r w:rsidRPr="001F1120">
              <w:rPr>
                <w:sz w:val="20"/>
              </w:rPr>
              <w:t>boolean</w:t>
            </w:r>
            <w:proofErr w:type="spellEnd"/>
            <w:r w:rsidRPr="001F112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56493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_Ref427661984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356493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_Ref427662849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1F1512">
              <w:rPr>
                <w:sz w:val="20"/>
              </w:rPr>
              <w:t xml:space="preserve">Struktura </w:t>
            </w:r>
            <w:proofErr w:type="spellStart"/>
            <w:r w:rsidRPr="001F1512">
              <w:rPr>
                <w:sz w:val="20"/>
              </w:rPr>
              <w:t>Case</w:t>
            </w:r>
            <w:proofErr w:type="spellEnd"/>
            <w:r w:rsidRPr="001F1512">
              <w:rPr>
                <w:sz w:val="20"/>
              </w:rPr>
              <w:t xml:space="preserve"> z selektorem typu </w:t>
            </w:r>
            <w:proofErr w:type="spellStart"/>
            <w:r w:rsidRPr="001F1512">
              <w:rPr>
                <w:sz w:val="20"/>
              </w:rPr>
              <w:t>integer</w:t>
            </w:r>
            <w:proofErr w:type="spellEnd"/>
            <w:r w:rsidRPr="001F1512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356493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_Ref427662849 \h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356493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_Ref427667098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C742A7">
              <w:rPr>
                <w:sz w:val="20"/>
              </w:rPr>
              <w:t xml:space="preserve">Przedziały zakresów </w:t>
            </w:r>
            <w:r>
              <w:rPr>
                <w:sz w:val="20"/>
              </w:rPr>
              <w:t xml:space="preserve">liczbowych dla struktury </w:t>
            </w:r>
            <w:proofErr w:type="spellStart"/>
            <w:r>
              <w:rPr>
                <w:sz w:val="20"/>
              </w:rPr>
              <w:t>Case</w:t>
            </w:r>
            <w:proofErr w:type="spellEnd"/>
            <w:r>
              <w:rPr>
                <w:sz w:val="20"/>
              </w:rPr>
              <w:t xml:space="preserve"> z warunkami z Rys. 2.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56493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_Ref427667098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356493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_Ref427664989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A220D7" w:rsidRPr="00187439">
              <w:rPr>
                <w:sz w:val="20"/>
              </w:rPr>
              <w:t xml:space="preserve">Struktura </w:t>
            </w:r>
            <w:proofErr w:type="spellStart"/>
            <w:r w:rsidR="00A220D7" w:rsidRPr="00187439">
              <w:rPr>
                <w:sz w:val="20"/>
              </w:rPr>
              <w:t>Case</w:t>
            </w:r>
            <w:proofErr w:type="spellEnd"/>
            <w:r w:rsidR="00A220D7" w:rsidRPr="00187439">
              <w:rPr>
                <w:sz w:val="20"/>
              </w:rPr>
              <w:t xml:space="preserve"> z selektorem </w:t>
            </w:r>
            <w:r w:rsidR="00A220D7">
              <w:rPr>
                <w:sz w:val="20"/>
              </w:rPr>
              <w:t xml:space="preserve">typu </w:t>
            </w:r>
            <w:proofErr w:type="spellStart"/>
            <w:r w:rsidR="00A220D7" w:rsidRPr="00187439">
              <w:rPr>
                <w:sz w:val="20"/>
              </w:rPr>
              <w:t>string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356493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_Ref427664989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356493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_Ref427666182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CB65BB">
              <w:rPr>
                <w:sz w:val="20"/>
              </w:rPr>
              <w:t xml:space="preserve">Struktura </w:t>
            </w:r>
            <w:proofErr w:type="spellStart"/>
            <w:r w:rsidRPr="00CB65BB">
              <w:rPr>
                <w:sz w:val="20"/>
              </w:rPr>
              <w:t>Case</w:t>
            </w:r>
            <w:proofErr w:type="spellEnd"/>
            <w:r w:rsidRPr="00CB65BB">
              <w:rPr>
                <w:sz w:val="20"/>
              </w:rPr>
              <w:t xml:space="preserve"> z selektorem typu </w:t>
            </w:r>
            <w:proofErr w:type="spellStart"/>
            <w:r w:rsidRPr="00CB65BB">
              <w:rPr>
                <w:sz w:val="20"/>
              </w:rPr>
              <w:t>enum</w:t>
            </w:r>
            <w:proofErr w:type="spellEnd"/>
            <w:r w:rsidRPr="00CB65B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56493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_Ref427666182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356493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_Ref427666962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0517EC">
              <w:rPr>
                <w:sz w:val="20"/>
              </w:rPr>
              <w:t xml:space="preserve">Węzeł </w:t>
            </w:r>
            <w:proofErr w:type="spellStart"/>
            <w:r w:rsidRPr="000517EC">
              <w:rPr>
                <w:sz w:val="20"/>
              </w:rPr>
              <w:t>Select</w:t>
            </w:r>
            <w:proofErr w:type="spellEnd"/>
            <w:r w:rsidRPr="000517EC">
              <w:rPr>
                <w:sz w:val="20"/>
              </w:rPr>
              <w:t xml:space="preserve"> – wygląd oraz opis w pomocy kontekstowej.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356493" w:rsidP="008A171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_Ref427666962 \h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C67038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</w:p>
    <w:p w:rsidR="009E60D4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9E60D4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667032"/>
      <w:r>
        <w:rPr>
          <w:b/>
        </w:rPr>
        <w:t xml:space="preserve">Struktura wyboru - </w:t>
      </w:r>
      <w:proofErr w:type="spellStart"/>
      <w:r>
        <w:rPr>
          <w:b/>
        </w:rPr>
        <w:t>Case</w:t>
      </w:r>
      <w:bookmarkEnd w:id="2"/>
      <w:proofErr w:type="spellEnd"/>
    </w:p>
    <w:p w:rsidR="001F1120" w:rsidRDefault="009E60D4" w:rsidP="009E60D4">
      <w:pPr>
        <w:spacing w:line="360" w:lineRule="auto"/>
        <w:ind w:firstLine="708"/>
        <w:jc w:val="both"/>
      </w:pPr>
      <w:r>
        <w:t xml:space="preserve">Struktura wyboru </w:t>
      </w:r>
      <w:proofErr w:type="spellStart"/>
      <w:r w:rsidRPr="001F1120">
        <w:rPr>
          <w:b/>
        </w:rPr>
        <w:t>Case</w:t>
      </w:r>
      <w:proofErr w:type="spellEnd"/>
      <w:r>
        <w:t xml:space="preserve"> służy do rozgałęzienia lub zróżnicowania wykonywanego kodu. Decyzja, który przypadek struktury ma zostać wykonany jest podejmowana na podstawie informacji wpływającej do selektora wyboru (</w:t>
      </w:r>
      <w:proofErr w:type="spellStart"/>
      <w:r w:rsidRPr="009E60D4">
        <w:rPr>
          <w:b/>
        </w:rPr>
        <w:t>Case</w:t>
      </w:r>
      <w:proofErr w:type="spellEnd"/>
      <w:r w:rsidRPr="009E60D4">
        <w:rPr>
          <w:b/>
        </w:rPr>
        <w:t xml:space="preserve"> </w:t>
      </w:r>
      <w:proofErr w:type="spellStart"/>
      <w:r w:rsidRPr="009E60D4">
        <w:rPr>
          <w:b/>
        </w:rPr>
        <w:t>Selector</w:t>
      </w:r>
      <w:proofErr w:type="spellEnd"/>
      <w:r>
        <w:t xml:space="preserve">). Domyślnym typem danych dla selektora jest typ </w:t>
      </w:r>
      <w:proofErr w:type="spellStart"/>
      <w:r w:rsidRPr="009A6C05">
        <w:rPr>
          <w:b/>
        </w:rPr>
        <w:t>boolean</w:t>
      </w:r>
      <w:proofErr w:type="spellEnd"/>
      <w:r>
        <w:t xml:space="preserve">, jednak może przyjmować także inne typy danych jak: </w:t>
      </w:r>
      <w:proofErr w:type="spellStart"/>
      <w:r w:rsidRPr="009A6C05">
        <w:rPr>
          <w:b/>
        </w:rPr>
        <w:t>intege</w:t>
      </w:r>
      <w:r w:rsidR="001F1120" w:rsidRPr="009A6C05">
        <w:rPr>
          <w:b/>
        </w:rPr>
        <w:t>r</w:t>
      </w:r>
      <w:proofErr w:type="spellEnd"/>
      <w:r w:rsidR="001F1120" w:rsidRPr="009A6C05">
        <w:rPr>
          <w:b/>
        </w:rPr>
        <w:t xml:space="preserve"> </w:t>
      </w:r>
      <w:r w:rsidR="001F1120">
        <w:t xml:space="preserve">(typ całkowity), </w:t>
      </w:r>
      <w:proofErr w:type="spellStart"/>
      <w:r w:rsidR="001F1120" w:rsidRPr="009A6C05">
        <w:rPr>
          <w:b/>
        </w:rPr>
        <w:t>string</w:t>
      </w:r>
      <w:proofErr w:type="spellEnd"/>
      <w:r w:rsidR="001F1120">
        <w:t xml:space="preserve">, </w:t>
      </w:r>
      <w:proofErr w:type="spellStart"/>
      <w:r w:rsidR="001F1120" w:rsidRPr="009A6C05">
        <w:rPr>
          <w:b/>
        </w:rPr>
        <w:t>enum</w:t>
      </w:r>
      <w:proofErr w:type="spellEnd"/>
      <w:r w:rsidR="001F1120">
        <w:t xml:space="preserve"> tych typów umożliwia rozgałęzienie programu na więcej niż dwa sposoby. Na </w:t>
      </w:r>
      <w:r w:rsidR="001F1120">
        <w:fldChar w:fldCharType="begin"/>
      </w:r>
      <w:r w:rsidR="001F1120">
        <w:instrText xml:space="preserve"> REF _Ref427661984 \r \h </w:instrText>
      </w:r>
      <w:r w:rsidR="001F1120">
        <w:fldChar w:fldCharType="separate"/>
      </w:r>
      <w:r w:rsidR="001F1120">
        <w:t>Rys. 1</w:t>
      </w:r>
      <w:r w:rsidR="001F1120">
        <w:fldChar w:fldCharType="end"/>
      </w:r>
      <w:r w:rsidR="001F1120">
        <w:t xml:space="preserve"> przedstawiono strukturę </w:t>
      </w:r>
      <w:proofErr w:type="spellStart"/>
      <w:r w:rsidR="001F1120" w:rsidRPr="001F1120">
        <w:rPr>
          <w:b/>
        </w:rPr>
        <w:t>Case</w:t>
      </w:r>
      <w:proofErr w:type="spellEnd"/>
      <w:r w:rsidR="001F1120">
        <w:t xml:space="preserve"> z selektorem typu </w:t>
      </w:r>
      <w:proofErr w:type="spellStart"/>
      <w:r w:rsidR="001F1120">
        <w:t>boolean</w:t>
      </w:r>
      <w:proofErr w:type="spellEnd"/>
      <w:r w:rsidR="001F1120">
        <w:t xml:space="preserve"> oraz </w:t>
      </w:r>
      <w:r w:rsidR="009A6C05">
        <w:t xml:space="preserve">z tunelami wejściowymi i wyjściowymi. W przypadku tuneli wyjściowych WSZYSTKIE warunki muszą wpisywać dane. Na </w:t>
      </w:r>
      <w:r w:rsidR="009A6C05">
        <w:fldChar w:fldCharType="begin"/>
      </w:r>
      <w:r w:rsidR="009A6C05">
        <w:instrText xml:space="preserve"> REF _Ref427661984 \r \h </w:instrText>
      </w:r>
      <w:r w:rsidR="009A6C05">
        <w:fldChar w:fldCharType="separate"/>
      </w:r>
      <w:r w:rsidR="009A6C05">
        <w:t>Rys. 1</w:t>
      </w:r>
      <w:r w:rsidR="009A6C05">
        <w:fldChar w:fldCharType="end"/>
      </w:r>
      <w:r w:rsidR="009A6C05">
        <w:t xml:space="preserve"> przedstawiono przykład tunelu wyjściowego z wypełnionymi (pomarańczowy</w:t>
      </w:r>
      <w:r w:rsidR="00EC65B7">
        <w:t>) oraz niewypełnionymi (biały z </w:t>
      </w:r>
      <w:r w:rsidR="009A6C05">
        <w:t>pomarańczową obwódką) warunkami.</w:t>
      </w:r>
    </w:p>
    <w:p w:rsidR="001F1120" w:rsidRDefault="001F1120" w:rsidP="001F11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65244" cy="1198531"/>
            <wp:effectExtent l="19050" t="0" r="6706" b="0"/>
            <wp:docPr id="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74" cy="119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0" w:rsidRPr="001F1120" w:rsidRDefault="001F1120" w:rsidP="001F1120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661984"/>
      <w:r w:rsidRPr="001F1120">
        <w:rPr>
          <w:sz w:val="20"/>
        </w:rPr>
        <w:t xml:space="preserve">Podstawowa wersja struktury </w:t>
      </w:r>
      <w:proofErr w:type="spellStart"/>
      <w:r w:rsidRPr="001F1120">
        <w:rPr>
          <w:sz w:val="20"/>
        </w:rPr>
        <w:t>Case</w:t>
      </w:r>
      <w:proofErr w:type="spellEnd"/>
      <w:r w:rsidRPr="001F1120">
        <w:rPr>
          <w:sz w:val="20"/>
        </w:rPr>
        <w:t xml:space="preserve"> z selektorem typu </w:t>
      </w:r>
      <w:proofErr w:type="spellStart"/>
      <w:r w:rsidRPr="001F1120">
        <w:rPr>
          <w:sz w:val="20"/>
        </w:rPr>
        <w:t>boolean</w:t>
      </w:r>
      <w:proofErr w:type="spellEnd"/>
      <w:r w:rsidRPr="001F1120">
        <w:rPr>
          <w:sz w:val="20"/>
        </w:rPr>
        <w:t>.</w:t>
      </w:r>
      <w:bookmarkEnd w:id="3"/>
    </w:p>
    <w:p w:rsidR="004B27EF" w:rsidRDefault="004B27EF" w:rsidP="00B644DA">
      <w:pPr>
        <w:spacing w:line="360" w:lineRule="auto"/>
        <w:ind w:firstLine="708"/>
        <w:jc w:val="both"/>
      </w:pPr>
    </w:p>
    <w:p w:rsidR="001F1512" w:rsidRDefault="001F1512" w:rsidP="00B644DA">
      <w:pPr>
        <w:spacing w:line="360" w:lineRule="auto"/>
        <w:ind w:firstLine="708"/>
        <w:jc w:val="both"/>
      </w:pPr>
      <w:r>
        <w:t xml:space="preserve">Przypadek użycia struktury </w:t>
      </w:r>
      <w:proofErr w:type="spellStart"/>
      <w:r>
        <w:t>Case</w:t>
      </w:r>
      <w:proofErr w:type="spellEnd"/>
      <w:r>
        <w:t xml:space="preserve"> z selektorem typu </w:t>
      </w:r>
      <w:proofErr w:type="spellStart"/>
      <w:r>
        <w:t>integer</w:t>
      </w:r>
      <w:proofErr w:type="spellEnd"/>
      <w:r>
        <w:t xml:space="preserve"> został przedstawiony na </w:t>
      </w:r>
      <w:r>
        <w:fldChar w:fldCharType="begin"/>
      </w:r>
      <w:r>
        <w:instrText xml:space="preserve"> REF _Ref427662849 \r \h </w:instrText>
      </w:r>
      <w:r>
        <w:fldChar w:fldCharType="separate"/>
      </w:r>
      <w:r>
        <w:t>Rys. 2</w:t>
      </w:r>
      <w:r>
        <w:fldChar w:fldCharType="end"/>
      </w:r>
      <w:r>
        <w:t xml:space="preserve">. Dla liczb całkowitych można tworzyć przypadki dla konkretnych wartości (0, 1), zamkniętych przedziałów wartości [2..10], oraz otwartych przedziałów wartości (-∞..-1]. </w:t>
      </w:r>
    </w:p>
    <w:p w:rsidR="001F1512" w:rsidRDefault="001F1512" w:rsidP="001F151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2" cy="1098903"/>
            <wp:effectExtent l="19050" t="0" r="7468" b="0"/>
            <wp:docPr id="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75" cy="11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12" w:rsidRPr="001F1512" w:rsidRDefault="001F1512" w:rsidP="001F151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27662849"/>
      <w:r w:rsidRPr="001F1512">
        <w:rPr>
          <w:sz w:val="20"/>
        </w:rPr>
        <w:t xml:space="preserve">Struktura </w:t>
      </w:r>
      <w:proofErr w:type="spellStart"/>
      <w:r w:rsidRPr="001F1512">
        <w:rPr>
          <w:sz w:val="20"/>
        </w:rPr>
        <w:t>Case</w:t>
      </w:r>
      <w:proofErr w:type="spellEnd"/>
      <w:r w:rsidRPr="001F1512">
        <w:rPr>
          <w:sz w:val="20"/>
        </w:rPr>
        <w:t xml:space="preserve"> z selektorem typu </w:t>
      </w:r>
      <w:proofErr w:type="spellStart"/>
      <w:r w:rsidRPr="001F1512">
        <w:rPr>
          <w:sz w:val="20"/>
        </w:rPr>
        <w:t>integer</w:t>
      </w:r>
      <w:proofErr w:type="spellEnd"/>
      <w:r w:rsidRPr="001F1512">
        <w:rPr>
          <w:sz w:val="20"/>
        </w:rPr>
        <w:t>.</w:t>
      </w:r>
      <w:bookmarkEnd w:id="4"/>
    </w:p>
    <w:p w:rsidR="00C742A7" w:rsidRDefault="00C742A7" w:rsidP="00B644DA">
      <w:pPr>
        <w:spacing w:line="360" w:lineRule="auto"/>
        <w:ind w:firstLine="708"/>
        <w:jc w:val="both"/>
      </w:pPr>
      <w:r>
        <w:lastRenderedPageBreak/>
        <w:t>Dla przypadków nieokreślonych wykonywany jest warunek oznaczony jako domyślny (</w:t>
      </w:r>
      <w:proofErr w:type="spellStart"/>
      <w:r w:rsidRPr="00C742A7">
        <w:rPr>
          <w:b/>
        </w:rPr>
        <w:t>Default</w:t>
      </w:r>
      <w:proofErr w:type="spellEnd"/>
      <w:r>
        <w:t xml:space="preserve">). Przypadki takie na </w:t>
      </w:r>
      <w:r>
        <w:fldChar w:fldCharType="begin"/>
      </w:r>
      <w:r>
        <w:instrText xml:space="preserve"> REF _Ref427662849 \r \h </w:instrText>
      </w:r>
      <w:r>
        <w:fldChar w:fldCharType="separate"/>
      </w:r>
      <w:r>
        <w:t>Rys. 2</w:t>
      </w:r>
      <w:r>
        <w:fldChar w:fldCharType="end"/>
      </w:r>
      <w:r>
        <w:t xml:space="preserve"> to zakres liczb powyżej 10. Zakresy liczbowe dla poszczególnych przypadków zostały przedstawione na</w:t>
      </w:r>
    </w:p>
    <w:p w:rsidR="00C742A7" w:rsidRDefault="00C742A7" w:rsidP="00C742A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84931" cy="616506"/>
            <wp:effectExtent l="19050" t="0" r="1219" b="0"/>
            <wp:docPr id="1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4" cy="61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2A7" w:rsidRPr="00C742A7" w:rsidRDefault="00C742A7" w:rsidP="00C742A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7098"/>
      <w:r w:rsidRPr="00C742A7">
        <w:rPr>
          <w:sz w:val="20"/>
        </w:rPr>
        <w:t xml:space="preserve">Przedziały zakresów </w:t>
      </w:r>
      <w:r>
        <w:rPr>
          <w:sz w:val="20"/>
        </w:rPr>
        <w:t xml:space="preserve">liczbowych dla struktury </w:t>
      </w:r>
      <w:proofErr w:type="spellStart"/>
      <w:r>
        <w:rPr>
          <w:sz w:val="20"/>
        </w:rPr>
        <w:t>Case</w:t>
      </w:r>
      <w:proofErr w:type="spellEnd"/>
      <w:r>
        <w:rPr>
          <w:sz w:val="20"/>
        </w:rPr>
        <w:t xml:space="preserve"> z warunkami z </w:t>
      </w:r>
      <w:r>
        <w:rPr>
          <w:sz w:val="20"/>
        </w:rPr>
        <w:fldChar w:fldCharType="begin"/>
      </w:r>
      <w:r>
        <w:rPr>
          <w:sz w:val="20"/>
        </w:rPr>
        <w:instrText xml:space="preserve"> REF _Ref427662849 \r \h </w:instrText>
      </w:r>
      <w:r>
        <w:rPr>
          <w:sz w:val="20"/>
        </w:rPr>
      </w:r>
      <w:r>
        <w:rPr>
          <w:sz w:val="20"/>
        </w:rPr>
        <w:fldChar w:fldCharType="separate"/>
      </w:r>
      <w:r>
        <w:rPr>
          <w:sz w:val="20"/>
        </w:rPr>
        <w:t>Rys. 2</w:t>
      </w:r>
      <w:r>
        <w:rPr>
          <w:sz w:val="20"/>
        </w:rPr>
        <w:fldChar w:fldCharType="end"/>
      </w:r>
      <w:r>
        <w:rPr>
          <w:sz w:val="20"/>
        </w:rPr>
        <w:t>.</w:t>
      </w:r>
      <w:bookmarkEnd w:id="5"/>
    </w:p>
    <w:p w:rsidR="00EC65B7" w:rsidRDefault="00EC65B7" w:rsidP="00C742A7">
      <w:pPr>
        <w:spacing w:line="360" w:lineRule="auto"/>
        <w:ind w:left="720"/>
        <w:jc w:val="both"/>
      </w:pPr>
    </w:p>
    <w:p w:rsidR="00187439" w:rsidRDefault="00187439" w:rsidP="00187439">
      <w:pPr>
        <w:spacing w:line="360" w:lineRule="auto"/>
        <w:ind w:firstLine="708"/>
        <w:jc w:val="both"/>
      </w:pPr>
      <w:r>
        <w:t>Przypadek użycia selektora tekstowego (</w:t>
      </w:r>
      <w:proofErr w:type="spellStart"/>
      <w:r w:rsidRPr="00187439">
        <w:rPr>
          <w:b/>
        </w:rPr>
        <w:t>string</w:t>
      </w:r>
      <w:proofErr w:type="spellEnd"/>
      <w:r>
        <w:t xml:space="preserve">) został przedstawiony na </w:t>
      </w:r>
      <w:r>
        <w:fldChar w:fldCharType="begin"/>
      </w:r>
      <w:r>
        <w:instrText xml:space="preserve"> REF _Ref427664989 \r \h </w:instrText>
      </w:r>
      <w:r>
        <w:fldChar w:fldCharType="separate"/>
      </w:r>
      <w:r>
        <w:t>Rys. 4</w:t>
      </w:r>
      <w:r>
        <w:fldChar w:fldCharType="end"/>
      </w:r>
      <w:r>
        <w:t xml:space="preserve">. </w:t>
      </w:r>
      <w:proofErr w:type="spellStart"/>
      <w:r>
        <w:t>LabVIEW</w:t>
      </w:r>
      <w:proofErr w:type="spellEnd"/>
      <w:r>
        <w:t xml:space="preserve"> rozróżnia wielkość liter więc przypadki „</w:t>
      </w:r>
      <w:r w:rsidRPr="00187439">
        <w:rPr>
          <w:i/>
        </w:rPr>
        <w:t>stan 0</w:t>
      </w:r>
      <w:r>
        <w:t>” oraz „</w:t>
      </w:r>
      <w:r w:rsidRPr="00187439">
        <w:rPr>
          <w:i/>
        </w:rPr>
        <w:t>Stan 0</w:t>
      </w:r>
      <w:r>
        <w:t xml:space="preserve">” to dwa różne stany. Należy zwrócić szczególną uwagę, jeżeli teksty podawane na selektor nie są zunifikowane (np. podawane przez użytkownika). </w:t>
      </w:r>
    </w:p>
    <w:p w:rsidR="00187439" w:rsidRDefault="00187439" w:rsidP="0018743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3" cy="1040704"/>
            <wp:effectExtent l="19050" t="0" r="7467" b="0"/>
            <wp:docPr id="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36" cy="10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9" w:rsidRPr="00187439" w:rsidRDefault="00187439" w:rsidP="00187439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27664989"/>
      <w:r w:rsidRPr="00187439">
        <w:rPr>
          <w:sz w:val="20"/>
        </w:rPr>
        <w:t xml:space="preserve">Struktura </w:t>
      </w:r>
      <w:proofErr w:type="spellStart"/>
      <w:r w:rsidRPr="00187439">
        <w:rPr>
          <w:sz w:val="20"/>
        </w:rPr>
        <w:t>Case</w:t>
      </w:r>
      <w:proofErr w:type="spellEnd"/>
      <w:r w:rsidRPr="00187439">
        <w:rPr>
          <w:sz w:val="20"/>
        </w:rPr>
        <w:t xml:space="preserve"> z selektorem </w:t>
      </w:r>
      <w:r>
        <w:rPr>
          <w:sz w:val="20"/>
        </w:rPr>
        <w:t xml:space="preserve">typu </w:t>
      </w:r>
      <w:proofErr w:type="spellStart"/>
      <w:r w:rsidRPr="00187439">
        <w:rPr>
          <w:sz w:val="20"/>
        </w:rPr>
        <w:t>string</w:t>
      </w:r>
      <w:bookmarkEnd w:id="6"/>
      <w:proofErr w:type="spellEnd"/>
      <w:r w:rsidR="00A220D7">
        <w:rPr>
          <w:sz w:val="20"/>
        </w:rPr>
        <w:t>.</w:t>
      </w:r>
    </w:p>
    <w:p w:rsidR="00C742A7" w:rsidRDefault="00C742A7" w:rsidP="00B644DA">
      <w:pPr>
        <w:spacing w:line="360" w:lineRule="auto"/>
        <w:ind w:firstLine="708"/>
        <w:jc w:val="both"/>
      </w:pPr>
    </w:p>
    <w:p w:rsidR="00CB65BB" w:rsidRDefault="00187439" w:rsidP="00B644DA">
      <w:pPr>
        <w:spacing w:line="360" w:lineRule="auto"/>
        <w:ind w:firstLine="708"/>
        <w:jc w:val="both"/>
      </w:pPr>
      <w:r>
        <w:t xml:space="preserve">Przypadek użycia selektora </w:t>
      </w:r>
      <w:proofErr w:type="spellStart"/>
      <w:r w:rsidRPr="00187439">
        <w:rPr>
          <w:b/>
        </w:rPr>
        <w:t>Enum</w:t>
      </w:r>
      <w:proofErr w:type="spellEnd"/>
      <w:r>
        <w:t xml:space="preserve">. Zmienna tego typu przypisuje kolejnym wartościom typu </w:t>
      </w:r>
      <w:proofErr w:type="spellStart"/>
      <w:r>
        <w:t>integer</w:t>
      </w:r>
      <w:proofErr w:type="spellEnd"/>
      <w:r>
        <w:t xml:space="preserve"> nazwy, jednak środowisko </w:t>
      </w:r>
      <w:proofErr w:type="spellStart"/>
      <w:r>
        <w:t>LabVIEW</w:t>
      </w:r>
      <w:proofErr w:type="spellEnd"/>
      <w:r>
        <w:t xml:space="preserve"> obsługuje go jako tryb numeryczny i umożliwia wykonywanie </w:t>
      </w:r>
      <w:r w:rsidR="00CB65BB">
        <w:t xml:space="preserve">operacji arytmetycznych. Na </w:t>
      </w:r>
      <w:r w:rsidR="00CB65BB">
        <w:fldChar w:fldCharType="begin"/>
      </w:r>
      <w:r w:rsidR="00CB65BB">
        <w:instrText xml:space="preserve"> REF _Ref427666182 \r \h </w:instrText>
      </w:r>
      <w:r w:rsidR="00CB65BB">
        <w:fldChar w:fldCharType="separate"/>
      </w:r>
      <w:r w:rsidR="00CB65BB">
        <w:t>Rys. 5</w:t>
      </w:r>
      <w:r w:rsidR="00CB65BB">
        <w:fldChar w:fldCharType="end"/>
      </w:r>
      <w:r w:rsidR="00CB65BB">
        <w:t xml:space="preserve"> przedstawiono strukturę </w:t>
      </w:r>
      <w:proofErr w:type="spellStart"/>
      <w:r w:rsidR="00CB65BB" w:rsidRPr="00CB65BB">
        <w:rPr>
          <w:b/>
        </w:rPr>
        <w:t>Case</w:t>
      </w:r>
      <w:proofErr w:type="spellEnd"/>
      <w:r w:rsidR="00CB65BB">
        <w:t xml:space="preserve"> z selektorem typu </w:t>
      </w:r>
      <w:proofErr w:type="spellStart"/>
      <w:r w:rsidR="00CB65BB">
        <w:t>enum</w:t>
      </w:r>
      <w:proofErr w:type="spellEnd"/>
      <w:r w:rsidR="00CB65BB">
        <w:t xml:space="preserve">, którego wartości także znajdują się na </w:t>
      </w:r>
      <w:proofErr w:type="spellStart"/>
      <w:r w:rsidR="00CB65BB">
        <w:t>ryunku</w:t>
      </w:r>
      <w:proofErr w:type="spellEnd"/>
      <w:r w:rsidR="00CB65BB">
        <w:t>.</w:t>
      </w:r>
    </w:p>
    <w:p w:rsidR="00CB65BB" w:rsidRDefault="00CB65BB" w:rsidP="00CB65B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84700" cy="1437385"/>
            <wp:effectExtent l="19050" t="0" r="0" b="0"/>
            <wp:docPr id="3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65" cy="14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5BB" w:rsidRPr="00CB65BB" w:rsidRDefault="00CB65BB" w:rsidP="00CB65B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666182"/>
      <w:r w:rsidRPr="00CB65BB">
        <w:rPr>
          <w:sz w:val="20"/>
        </w:rPr>
        <w:t xml:space="preserve">Struktura </w:t>
      </w:r>
      <w:proofErr w:type="spellStart"/>
      <w:r w:rsidRPr="00CB65BB">
        <w:rPr>
          <w:sz w:val="20"/>
        </w:rPr>
        <w:t>Case</w:t>
      </w:r>
      <w:proofErr w:type="spellEnd"/>
      <w:r w:rsidRPr="00CB65BB">
        <w:rPr>
          <w:sz w:val="20"/>
        </w:rPr>
        <w:t xml:space="preserve"> z selektorem typu </w:t>
      </w:r>
      <w:proofErr w:type="spellStart"/>
      <w:r w:rsidRPr="00CB65BB">
        <w:rPr>
          <w:sz w:val="20"/>
        </w:rPr>
        <w:t>enum</w:t>
      </w:r>
      <w:proofErr w:type="spellEnd"/>
      <w:r w:rsidRPr="00CB65BB">
        <w:rPr>
          <w:sz w:val="20"/>
        </w:rPr>
        <w:t>.</w:t>
      </w:r>
      <w:bookmarkEnd w:id="7"/>
    </w:p>
    <w:p w:rsidR="00187439" w:rsidRDefault="00187439" w:rsidP="00CB65BB">
      <w:pPr>
        <w:spacing w:line="360" w:lineRule="auto"/>
        <w:ind w:left="720"/>
        <w:jc w:val="both"/>
      </w:pPr>
    </w:p>
    <w:p w:rsidR="000517EC" w:rsidRDefault="00CB65BB" w:rsidP="000517EC">
      <w:pPr>
        <w:spacing w:line="360" w:lineRule="auto"/>
        <w:ind w:firstLine="708"/>
        <w:jc w:val="both"/>
      </w:pPr>
      <w:r>
        <w:t xml:space="preserve">Tunele wyjściowe muszą mieć wprowadzone dane we wszystkich przypadkach. </w:t>
      </w:r>
      <w:r w:rsidR="000517EC">
        <w:t xml:space="preserve">Jednak istnieje opcja na tunelu wyjściowym PPM </w:t>
      </w:r>
      <w:r w:rsidR="000517EC">
        <w:sym w:font="Wingdings" w:char="F0E0"/>
      </w:r>
      <w:r>
        <w:t xml:space="preserve"> </w:t>
      </w:r>
      <w:proofErr w:type="spellStart"/>
      <w:r w:rsidR="000517EC" w:rsidRPr="00CB65BB">
        <w:rPr>
          <w:b/>
        </w:rPr>
        <w:t>Use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Default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>
        <w:rPr>
          <w:b/>
        </w:rPr>
        <w:t>I</w:t>
      </w:r>
      <w:r w:rsidR="000517EC" w:rsidRPr="00CB65BB">
        <w:rPr>
          <w:b/>
        </w:rPr>
        <w:t>f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Unwired</w:t>
      </w:r>
      <w:proofErr w:type="spellEnd"/>
      <w:r w:rsidR="000517EC">
        <w:t xml:space="preserve">, </w:t>
      </w:r>
      <w:r>
        <w:t xml:space="preserve">która wypełnia wartościami domyślnymi przypadki, nieobsłużone. W przypadku zmiennych liczbowych </w:t>
      </w:r>
      <w:r>
        <w:lastRenderedPageBreak/>
        <w:t xml:space="preserve">wartością domyślną jest 0. Nie jest to opcja zalecana, powoduje </w:t>
      </w:r>
      <w:r w:rsidR="000517EC">
        <w:t>zmniejszenie czytelności kodu. Może także powodować niespodziewane błędy, domyślną wartością dla referencji do pliku jest pusta referencja.</w:t>
      </w:r>
    </w:p>
    <w:p w:rsidR="000517EC" w:rsidRDefault="000517EC" w:rsidP="000517EC">
      <w:pPr>
        <w:spacing w:line="360" w:lineRule="auto"/>
        <w:ind w:firstLine="708"/>
        <w:jc w:val="both"/>
      </w:pPr>
      <w:r>
        <w:t xml:space="preserve">W przypadku prostych wyborów dwustanowych warto zamiast struktury </w:t>
      </w:r>
      <w:proofErr w:type="spellStart"/>
      <w:r w:rsidRPr="000517EC">
        <w:rPr>
          <w:b/>
        </w:rPr>
        <w:t>Case</w:t>
      </w:r>
      <w:proofErr w:type="spellEnd"/>
      <w:r>
        <w:t xml:space="preserve"> stosować węzeł wyboru </w:t>
      </w:r>
      <w:proofErr w:type="spellStart"/>
      <w:r w:rsidRPr="000517EC">
        <w:rPr>
          <w:b/>
        </w:rPr>
        <w:t>Select</w:t>
      </w:r>
      <w:proofErr w:type="spellEnd"/>
      <w:r>
        <w:t xml:space="preserve"> (</w:t>
      </w:r>
      <w:r>
        <w:fldChar w:fldCharType="begin"/>
      </w:r>
      <w:r>
        <w:instrText xml:space="preserve"> REF _Ref427666962 \r \h </w:instrText>
      </w:r>
      <w:r>
        <w:fldChar w:fldCharType="separate"/>
      </w:r>
      <w:r>
        <w:t>Rys. 6</w:t>
      </w:r>
      <w:r>
        <w:fldChar w:fldCharType="end"/>
      </w:r>
      <w:r>
        <w:t>). Znajduje się on w zakładce</w:t>
      </w:r>
      <w:r>
        <w:br/>
      </w:r>
      <w:proofErr w:type="spellStart"/>
      <w:r>
        <w:t>Programming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Comparison</w:t>
      </w:r>
      <w:proofErr w:type="spellEnd"/>
      <w:r>
        <w:t>.</w:t>
      </w:r>
    </w:p>
    <w:p w:rsidR="000517EC" w:rsidRDefault="000517EC" w:rsidP="000517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74720" cy="1565275"/>
            <wp:effectExtent l="19050" t="0" r="0" b="0"/>
            <wp:docPr id="3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EC" w:rsidRPr="000517EC" w:rsidRDefault="000517EC" w:rsidP="000517E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666962"/>
      <w:r w:rsidRPr="000517EC">
        <w:rPr>
          <w:sz w:val="20"/>
        </w:rPr>
        <w:t xml:space="preserve">Węzeł </w:t>
      </w:r>
      <w:proofErr w:type="spellStart"/>
      <w:r w:rsidRPr="000517EC">
        <w:rPr>
          <w:sz w:val="20"/>
        </w:rPr>
        <w:t>Select</w:t>
      </w:r>
      <w:proofErr w:type="spellEnd"/>
      <w:r w:rsidRPr="000517EC">
        <w:rPr>
          <w:sz w:val="20"/>
        </w:rPr>
        <w:t xml:space="preserve"> – wygląd oraz opis w pomocy kontekstowej.</w:t>
      </w:r>
      <w:bookmarkEnd w:id="8"/>
    </w:p>
    <w:p w:rsidR="00CB65BB" w:rsidRDefault="00CB65BB" w:rsidP="00B644DA">
      <w:pPr>
        <w:spacing w:line="360" w:lineRule="auto"/>
        <w:ind w:firstLine="708"/>
        <w:jc w:val="both"/>
      </w:pPr>
    </w:p>
    <w:p w:rsidR="00543993" w:rsidRPr="00B644DA" w:rsidRDefault="009E60D4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667047"/>
      <w:r>
        <w:rPr>
          <w:b/>
        </w:rPr>
        <w:t>Praca w projekcie</w:t>
      </w:r>
      <w:bookmarkEnd w:id="9"/>
    </w:p>
    <w:p w:rsidR="00B644DA" w:rsidRDefault="00073DBA" w:rsidP="004B27EF">
      <w:pPr>
        <w:spacing w:line="360" w:lineRule="auto"/>
        <w:ind w:firstLine="708"/>
        <w:jc w:val="both"/>
      </w:pPr>
      <w:r>
        <w:t xml:space="preserve">Bardzo istotną sprawą jest zrozumienie mechanizmu kolejności wykonywania kodu 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wykonywanego kodu został przedstawiony na </w:t>
      </w:r>
      <w:r w:rsidR="001348F2">
        <w:fldChar w:fldCharType="begin"/>
      </w:r>
      <w:r w:rsidR="004B27EF">
        <w:instrText xml:space="preserve"> REF _Ref427495921 \r \h </w:instrText>
      </w:r>
      <w:r w:rsidR="001348F2">
        <w:fldChar w:fldCharType="separate"/>
      </w:r>
      <w:r w:rsidR="00E7018F">
        <w:t>Rys. 3</w:t>
      </w:r>
      <w:r w:rsidR="001348F2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0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10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Przepływ danych odbywa się od kontrolek do indykatorów,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4B27EF">
      <w:pPr>
        <w:numPr>
          <w:ilvl w:val="0"/>
          <w:numId w:val="29"/>
        </w:numPr>
        <w:spacing w:line="360" w:lineRule="auto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1348F2">
        <w:fldChar w:fldCharType="begin"/>
      </w:r>
      <w:r>
        <w:instrText xml:space="preserve"> REF _Ref427585979 \r \h </w:instrText>
      </w:r>
      <w:r w:rsidR="001348F2">
        <w:fldChar w:fldCharType="separate"/>
      </w:r>
      <w:r w:rsidR="00E7018F">
        <w:t>Rys. 4</w:t>
      </w:r>
      <w:r w:rsidR="001348F2">
        <w:fldChar w:fldCharType="end"/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11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2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12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3F7CF4">
      <w:pPr>
        <w:numPr>
          <w:ilvl w:val="0"/>
          <w:numId w:val="29"/>
        </w:numPr>
        <w:spacing w:line="360" w:lineRule="auto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 połączeń zostały przedstawione na</w:t>
      </w:r>
      <w:r w:rsidR="008113B3">
        <w:t xml:space="preserve"> </w:t>
      </w:r>
      <w:r w:rsidR="001348F2">
        <w:fldChar w:fldCharType="begin"/>
      </w:r>
      <w:r w:rsidR="008113B3">
        <w:instrText xml:space="preserve"> REF _Ref427497245 \r \h </w:instrText>
      </w:r>
      <w:r w:rsidR="001348F2">
        <w:fldChar w:fldCharType="separate"/>
      </w:r>
      <w:r w:rsidR="00E7018F">
        <w:t>Rys. 5</w:t>
      </w:r>
      <w:r w:rsidR="001348F2">
        <w:fldChar w:fldCharType="end"/>
      </w:r>
      <w:r w:rsidR="008113B3">
        <w:t>. Pamiętać należy, że wszystkie komponenty pulpitu, które mają przenosić dane do nadrzędnego vi musza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2" o:title=""/>
                </v:shape>
                <o:OLEObject Type="Embed" ProgID="PBrush" ShapeID="_x0000_i1025" DrawAspect="Content" ObjectID="_1501409041" r:id="rId23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lastRenderedPageBreak/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4" o:title=""/>
                </v:shape>
                <o:OLEObject Type="Embed" ProgID="PBrush" ShapeID="_x0000_i1026" DrawAspect="Content" ObjectID="_1501409042" r:id="rId25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497245"/>
            <w:r>
              <w:rPr>
                <w:sz w:val="20"/>
              </w:rPr>
              <w:lastRenderedPageBreak/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3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t>Wewnątrz struktury połączeń wybrane terminale zarezerwowane są dla sygnałów błędu oraz referencji</w:t>
      </w:r>
      <w:r w:rsidR="00F30D6E">
        <w:t xml:space="preserve"> – </w:t>
      </w:r>
      <w:r w:rsidR="001348F2">
        <w:fldChar w:fldCharType="begin"/>
      </w:r>
      <w:r w:rsidR="00F30D6E">
        <w:instrText xml:space="preserve"> REF _Ref427586016 \r \h </w:instrText>
      </w:r>
      <w:r w:rsidR="001348F2">
        <w:fldChar w:fldCharType="separate"/>
      </w:r>
      <w:r w:rsidR="00E7018F">
        <w:t>Rys. 6</w:t>
      </w:r>
      <w:r w:rsidR="001348F2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4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4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Required</w:t>
      </w:r>
      <w:proofErr w:type="spellEnd"/>
      <w:r>
        <w:t xml:space="preserve"> – wejście wymagane, jeżeli do tego terminalu nie jest podpięty przewód kompilator zgłasza błąd kompilacji,</w:t>
      </w:r>
    </w:p>
    <w:p w:rsidR="00E55760" w:rsidRDefault="00E55760" w:rsidP="00E55760">
      <w:pPr>
        <w:numPr>
          <w:ilvl w:val="0"/>
          <w:numId w:val="29"/>
        </w:numPr>
        <w:spacing w:line="360" w:lineRule="auto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Default="00E55760" w:rsidP="00E55760">
      <w:pPr>
        <w:spacing w:line="360" w:lineRule="auto"/>
        <w:jc w:val="both"/>
        <w:rPr>
          <w:lang w:val="en-GB"/>
        </w:rPr>
      </w:pPr>
      <w:r w:rsidRPr="00E55760">
        <w:rPr>
          <w:lang w:val="en-GB"/>
        </w:rPr>
        <w:t xml:space="preserve">PPM </w:t>
      </w:r>
      <w:r>
        <w:sym w:font="Wingdings" w:char="F0E0"/>
      </w:r>
      <w:r w:rsidRPr="00E55760">
        <w:rPr>
          <w:lang w:val="en-GB"/>
        </w:rPr>
        <w:t xml:space="preserve"> This Connection Is </w:t>
      </w:r>
      <w:r>
        <w:sym w:font="Wingdings" w:char="F0E0"/>
      </w:r>
      <w:r w:rsidRPr="00E55760">
        <w:rPr>
          <w:lang w:val="en-GB"/>
        </w:rPr>
        <w:t xml:space="preserve"> Required/Recommended/Optional</w:t>
      </w:r>
    </w:p>
    <w:p w:rsidR="00E55760" w:rsidRDefault="00E55760" w:rsidP="00E55760">
      <w:pPr>
        <w:spacing w:line="360" w:lineRule="auto"/>
        <w:ind w:firstLine="708"/>
        <w:jc w:val="both"/>
      </w:pPr>
      <w:r w:rsidRPr="00E55760">
        <w:t>Ponadto dla wszystkich wejść można ustalić wartości domyślne</w:t>
      </w:r>
      <w:r w:rsidR="00B3365F">
        <w:t xml:space="preserve"> dla danej kontrolki:</w:t>
      </w:r>
    </w:p>
    <w:p w:rsidR="00B3365F" w:rsidRDefault="00B3365F" w:rsidP="00B3365F">
      <w:pPr>
        <w:spacing w:line="360" w:lineRule="auto"/>
        <w:jc w:val="both"/>
      </w:pPr>
      <w:r>
        <w:t>(na kontrolce wpisać wartość, która ma być domyślna a następnie)</w:t>
      </w:r>
    </w:p>
    <w:p w:rsidR="00B3365F" w:rsidRPr="00A10570" w:rsidRDefault="00B3365F" w:rsidP="00B3365F">
      <w:pPr>
        <w:spacing w:line="360" w:lineRule="auto"/>
        <w:jc w:val="both"/>
        <w:rPr>
          <w:lang w:val="en-GB"/>
        </w:rPr>
      </w:pPr>
      <w:r w:rsidRPr="00A10570">
        <w:rPr>
          <w:lang w:val="en-GB"/>
        </w:rPr>
        <w:t xml:space="preserve">PPM </w:t>
      </w:r>
      <w:r>
        <w:sym w:font="Wingdings" w:char="F0E0"/>
      </w:r>
      <w:r w:rsidRPr="00A10570">
        <w:rPr>
          <w:lang w:val="en-GB"/>
        </w:rPr>
        <w:t xml:space="preserve"> Data Operations </w:t>
      </w:r>
      <w:r>
        <w:sym w:font="Wingdings" w:char="F0E0"/>
      </w:r>
      <w:r w:rsidRPr="00A10570">
        <w:rPr>
          <w:lang w:val="en-GB"/>
        </w:rPr>
        <w:t xml:space="preserve"> Make Current Value Default</w:t>
      </w:r>
    </w:p>
    <w:p w:rsidR="00B3365F" w:rsidRDefault="00B3365F" w:rsidP="00B3365F">
      <w:pPr>
        <w:spacing w:line="360" w:lineRule="auto"/>
        <w:jc w:val="both"/>
      </w:pPr>
      <w:r>
        <w:t>lub domyślnie dla wszystkich kontrolek na panelu:</w:t>
      </w:r>
    </w:p>
    <w:p w:rsidR="00B3365F" w:rsidRPr="00A10570" w:rsidRDefault="00B3365F" w:rsidP="00B3365F">
      <w:pPr>
        <w:spacing w:line="360" w:lineRule="auto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jako </w:t>
      </w:r>
      <w:proofErr w:type="spellStart"/>
      <w:r>
        <w:t>subvi</w:t>
      </w:r>
      <w:proofErr w:type="spellEnd"/>
      <w:r>
        <w:t xml:space="preserve"> utworzyć 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1348F2">
        <w:fldChar w:fldCharType="begin"/>
      </w:r>
      <w:r w:rsidR="00BB27B2">
        <w:instrText xml:space="preserve"> REF _Ref427584619 \r \h </w:instrText>
      </w:r>
      <w:r w:rsidR="001348F2">
        <w:fldChar w:fldCharType="separate"/>
      </w:r>
      <w:r w:rsidR="00E7018F">
        <w:t>Rys. 7</w:t>
      </w:r>
      <w:r w:rsidR="001348F2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584619"/>
      <w:r w:rsidRPr="00BB27B2">
        <w:rPr>
          <w:sz w:val="20"/>
        </w:rPr>
        <w:t>Okno edytora ikon.</w:t>
      </w:r>
      <w:bookmarkEnd w:id="15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>. Jednak wykonanie takiej ikony zajmuje relatywnie sporo czasu. Na</w:t>
      </w:r>
      <w:r w:rsidR="006D58F2">
        <w:t xml:space="preserve"> </w:t>
      </w:r>
      <w:r w:rsidR="001348F2">
        <w:fldChar w:fldCharType="begin"/>
      </w:r>
      <w:r w:rsidR="006D58F2">
        <w:instrText xml:space="preserve"> REF _Ref427585366 \r \h </w:instrText>
      </w:r>
      <w:r w:rsidR="001348F2">
        <w:fldChar w:fldCharType="separate"/>
      </w:r>
      <w:r w:rsidR="00E7018F">
        <w:t>Rys. 8</w:t>
      </w:r>
      <w:r w:rsidR="001348F2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6" w:name="_Ref427585366"/>
            <w:r w:rsidRPr="00093884">
              <w:rPr>
                <w:sz w:val="20"/>
              </w:rPr>
              <w:t>Przykładowe ikony</w:t>
            </w:r>
            <w:bookmarkEnd w:id="16"/>
          </w:p>
          <w:p w:rsidR="00093884" w:rsidRDefault="00093884" w:rsidP="00093884">
            <w:pPr>
              <w:jc w:val="center"/>
            </w:pPr>
            <w:r w:rsidRPr="00093884">
              <w:rPr>
                <w:sz w:val="20"/>
              </w:rPr>
              <w:t>(na pierwszym miejscu ikona domyślna)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27592910"/>
      <w:r w:rsidRPr="00B644DA">
        <w:rPr>
          <w:b/>
        </w:rPr>
        <w:t>Dokumentacja kodu</w:t>
      </w:r>
      <w:bookmarkEnd w:id="17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Nadawanie znaczących nazwy plików VI - nazwy powinny być w miarę krótkie ale dokładnie opisujące zadanie, które realizują,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Tworzenie dedykowanej ikony w istotny sposób ułatwia wzrokową analizą kodu,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lastRenderedPageBreak/>
        <w:t>W celu umieszczenia komentarza wewnątrz diagramu lub panelu, nie związanego 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581C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3D7040">
      <w:pPr>
        <w:pStyle w:val="Akapitzlist"/>
        <w:numPr>
          <w:ilvl w:val="0"/>
          <w:numId w:val="19"/>
        </w:numPr>
        <w:spacing w:after="200" w:line="276" w:lineRule="auto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diagramu, na rysunku RYS przedstawiono okno managera zakładek.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r w:rsidRPr="005C690C">
        <w:rPr>
          <w:sz w:val="20"/>
        </w:rPr>
        <w:t>Okno managera zakładek z doinstalowanym dodatkiem prezentującym fragment kodu</w:t>
      </w:r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8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8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śledzić kolejne wykonywane kroki 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ma szans na odczytanie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lastRenderedPageBreak/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F7CF4" w:rsidRPr="00C7010F" w:rsidRDefault="003F7CF4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02"/>
      <w:r>
        <w:rPr>
          <w:b/>
        </w:rPr>
        <w:t>LABORATORYJNE STANOWISKO BADAWCZE</w:t>
      </w:r>
      <w:bookmarkEnd w:id="19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07"/>
      <w:r>
        <w:rPr>
          <w:b/>
        </w:rPr>
        <w:t>Obiekt badany</w:t>
      </w:r>
      <w:bookmarkEnd w:id="20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lastRenderedPageBreak/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wybraną metodą (kopiowanie, </w:t>
      </w:r>
      <w:proofErr w:type="spellStart"/>
      <w:r>
        <w:t>Quick-Drop</w:t>
      </w:r>
      <w:proofErr w:type="spellEnd"/>
      <w:r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drop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napisać program przeliczający temperaturę w stopniach </w:t>
      </w:r>
      <w:proofErr w:type="spellStart"/>
      <w:r>
        <w:t>Celcjusza</w:t>
      </w:r>
      <w:proofErr w:type="spellEnd"/>
      <w:r>
        <w:t xml:space="preserve"> na Ke</w:t>
      </w:r>
      <w:r w:rsidR="00D7764B">
        <w:t>l</w:t>
      </w:r>
      <w:r>
        <w:t xml:space="preserve">winy (zgodnie z </w:t>
      </w:r>
      <w:r w:rsidR="001348F2">
        <w:fldChar w:fldCharType="begin"/>
      </w:r>
      <w:r>
        <w:instrText xml:space="preserve"> REF _Ref427589656 \r \h </w:instrText>
      </w:r>
      <w:r w:rsidR="001348F2">
        <w:fldChar w:fldCharType="separate"/>
      </w:r>
      <w:r>
        <w:t>Rys. 10</w:t>
      </w:r>
      <w:r w:rsidR="001348F2"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4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4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14515D">
      <w:pPr>
        <w:spacing w:line="360" w:lineRule="auto"/>
        <w:ind w:left="360"/>
        <w:jc w:val="both"/>
      </w:pPr>
      <w:r>
        <w:t xml:space="preserve">- 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D7764B">
        <w:rPr>
          <w:b/>
        </w:rPr>
        <w:t>Required</w:t>
      </w:r>
      <w:proofErr w:type="spellEnd"/>
      <w:r>
        <w:t>)</w:t>
      </w:r>
    </w:p>
    <w:p w:rsidR="00D7764B" w:rsidRDefault="007A6DC4" w:rsidP="0014515D">
      <w:pPr>
        <w:spacing w:line="360" w:lineRule="auto"/>
        <w:ind w:left="360"/>
        <w:jc w:val="both"/>
      </w:pPr>
      <w:r>
        <w:t>- 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 xml:space="preserve">Temperatura w stopniach </w:t>
      </w:r>
      <w:proofErr w:type="spellStart"/>
      <w:r w:rsidRPr="00D7764B">
        <w:t>Celcjusza</w:t>
      </w:r>
      <w:proofErr w:type="spellEnd"/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 xml:space="preserve">opis pliku w pomocy kontekstowej najeżdżając na ikonę – powinna wyglądać jak na 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r w:rsidRPr="00257E51">
        <w:rPr>
          <w:sz w:val="20"/>
        </w:rPr>
        <w:t>Pomoc kontekstowa utworzonego pliku</w:t>
      </w:r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5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25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6" w:name="_Ref427319682"/>
      <w:r w:rsidRPr="00E56E6B">
        <w:rPr>
          <w:b/>
        </w:rPr>
        <w:t>RAPORT</w:t>
      </w:r>
      <w:bookmarkEnd w:id="26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konfiguracyjne kart DAQ (mogą być zawarte 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87"/>
      <w:r w:rsidRPr="00E56E6B">
        <w:rPr>
          <w:b/>
        </w:rPr>
        <w:t>PYTANIA</w:t>
      </w:r>
      <w:bookmarkEnd w:id="27"/>
    </w:p>
    <w:p w:rsidR="00CF1A36" w:rsidRPr="00CB65BB" w:rsidRDefault="00CB65BB" w:rsidP="00A73175">
      <w:pPr>
        <w:pStyle w:val="Akapitzlist"/>
        <w:numPr>
          <w:ilvl w:val="0"/>
          <w:numId w:val="26"/>
        </w:numPr>
        <w:spacing w:line="360" w:lineRule="auto"/>
      </w:pPr>
      <w:r>
        <w:t xml:space="preserve">Jaki będzie stan operacji: „Stan 1” + „Akcja 1” dla zmiennej typu </w:t>
      </w:r>
      <w:proofErr w:type="spellStart"/>
      <w:r>
        <w:t>enum</w:t>
      </w:r>
      <w:proofErr w:type="spellEnd"/>
      <w:r>
        <w:t xml:space="preserve"> na </w:t>
      </w:r>
      <w:r>
        <w:fldChar w:fldCharType="begin"/>
      </w:r>
      <w:r>
        <w:instrText xml:space="preserve"> REF _Ref427666182 \r \h </w:instrText>
      </w:r>
      <w:r>
        <w:fldChar w:fldCharType="separate"/>
      </w:r>
      <w:r>
        <w:t>Rys. 5</w:t>
      </w:r>
      <w:r>
        <w:fldChar w:fldCharType="end"/>
      </w:r>
      <w:r>
        <w:t>?</w:t>
      </w:r>
    </w:p>
    <w:p w:rsidR="00847FFC" w:rsidRPr="00847FFC" w:rsidRDefault="00847FFC" w:rsidP="00A73175">
      <w:pPr>
        <w:pStyle w:val="Akapitzlist"/>
        <w:numPr>
          <w:ilvl w:val="0"/>
          <w:numId w:val="26"/>
        </w:num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lastRenderedPageBreak/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przygotować tabelę przeliczników między skalami </w:t>
      </w:r>
      <w:proofErr w:type="spellStart"/>
      <w:r>
        <w:t>Kewina</w:t>
      </w:r>
      <w:proofErr w:type="spellEnd"/>
      <w:r>
        <w:t xml:space="preserve"> </w:t>
      </w:r>
      <w:proofErr w:type="spellStart"/>
      <w:r>
        <w:t>Celcjusza</w:t>
      </w:r>
      <w:proofErr w:type="spellEnd"/>
      <w:r>
        <w:t xml:space="preserve"> i </w:t>
      </w:r>
      <w:proofErr w:type="spellStart"/>
      <w:r>
        <w:t>Farenchaita</w:t>
      </w:r>
      <w:proofErr w:type="spellEnd"/>
      <w:r>
        <w:t xml:space="preserve">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1346D5">
              <w:t>l</w:t>
            </w:r>
            <w:r>
              <w:t>win, K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Ke</w:t>
            </w:r>
            <w:r w:rsidR="00AB16AC">
              <w:t>l</w:t>
            </w:r>
            <w:r>
              <w:t>win, K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Celcjusz</w:t>
            </w:r>
            <w:proofErr w:type="spellEnd"/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</w:tr>
      <w:tr w:rsidR="00BC5C06" w:rsidTr="003D7040"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  <w:proofErr w:type="spellStart"/>
            <w:r>
              <w:t>Ferenchait</w:t>
            </w:r>
            <w:proofErr w:type="spellEnd"/>
            <w:r>
              <w:t>, F</w:t>
            </w:r>
          </w:p>
        </w:tc>
        <w:tc>
          <w:tcPr>
            <w:tcW w:w="2302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</w:p>
        </w:tc>
        <w:tc>
          <w:tcPr>
            <w:tcW w:w="2303" w:type="dxa"/>
          </w:tcPr>
          <w:p w:rsidR="00BC5C06" w:rsidRDefault="00BC5C06" w:rsidP="003D7040">
            <w:pPr>
              <w:spacing w:line="360" w:lineRule="auto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0517EC" w:rsidP="005B5013">
      <w:pPr>
        <w:pStyle w:val="Nagwek2"/>
        <w:rPr>
          <w:rFonts w:ascii="Arial" w:hAnsi="Arial" w:cs="Arial"/>
          <w:b w:val="0"/>
          <w:sz w:val="28"/>
        </w:rPr>
      </w:pPr>
      <w:proofErr w:type="spellStart"/>
      <w:r>
        <w:rPr>
          <w:rFonts w:ascii="Arial" w:hAnsi="Arial" w:cs="Arial"/>
          <w:b w:val="0"/>
          <w:sz w:val="28"/>
        </w:rPr>
        <w:t>Linkowanie</w:t>
      </w:r>
      <w:proofErr w:type="spellEnd"/>
      <w:r>
        <w:rPr>
          <w:rFonts w:ascii="Arial" w:hAnsi="Arial" w:cs="Arial"/>
          <w:b w:val="0"/>
          <w:sz w:val="28"/>
        </w:rPr>
        <w:t xml:space="preserve"> tuneli wejściowych z wyjściowymi</w:t>
      </w:r>
    </w:p>
    <w:p w:rsidR="00E7018F" w:rsidRPr="00E7018F" w:rsidRDefault="00E7018F" w:rsidP="00E7018F">
      <w:pPr>
        <w:spacing w:line="360" w:lineRule="auto"/>
        <w:jc w:val="both"/>
      </w:pP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7A38" w:rsidRDefault="00F57A38">
      <w:r>
        <w:separator/>
      </w:r>
    </w:p>
  </w:endnote>
  <w:endnote w:type="continuationSeparator" w:id="0">
    <w:p w:rsidR="00F57A38" w:rsidRDefault="00F57A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1F1512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F1512" w:rsidRDefault="001F1512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1F1512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A220D7">
      <w:rPr>
        <w:rStyle w:val="Numerstrony"/>
        <w:noProof/>
      </w:rPr>
      <w:t>6</w:t>
    </w:r>
    <w:r>
      <w:rPr>
        <w:rStyle w:val="Numerstrony"/>
      </w:rPr>
      <w:fldChar w:fldCharType="end"/>
    </w:r>
  </w:p>
  <w:p w:rsidR="001F1512" w:rsidRDefault="001F1512" w:rsidP="0004709E">
    <w:pPr>
      <w:pStyle w:val="Stopka"/>
      <w:ind w:right="360"/>
      <w:jc w:val="center"/>
      <w:rPr>
        <w:i/>
      </w:rPr>
    </w:pPr>
    <w:r w:rsidRPr="001348F2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1F1512" w:rsidRPr="0004709E" w:rsidRDefault="001F1512" w:rsidP="0004709E">
    <w:pPr>
      <w:pStyle w:val="Stopka"/>
      <w:ind w:right="360"/>
      <w:jc w:val="center"/>
      <w:rPr>
        <w:i/>
      </w:rPr>
    </w:pPr>
    <w:r w:rsidRPr="00281C08">
      <w:rPr>
        <w:i/>
      </w:rPr>
      <w:t>Podstawy obsługi środowiska – praca w projekcie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7A38" w:rsidRDefault="00F57A38">
      <w:r>
        <w:separator/>
      </w:r>
    </w:p>
  </w:footnote>
  <w:footnote w:type="continuationSeparator" w:id="0">
    <w:p w:rsidR="00F57A38" w:rsidRDefault="00F57A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1F1512">
      <w:trPr>
        <w:trHeight w:val="270"/>
      </w:trPr>
      <w:tc>
        <w:tcPr>
          <w:tcW w:w="8280" w:type="dxa"/>
          <w:vAlign w:val="center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3pt;height:27.05pt" o:ole="">
                <v:imagedata r:id="rId1" o:title=""/>
              </v:shape>
              <o:OLEObject Type="Embed" ProgID="CorelDRAW.Graphic.11" ShapeID="_x0000_i1027" DrawAspect="Content" ObjectID="_1501409043" r:id="rId2"/>
            </w:object>
          </w:r>
        </w:p>
      </w:tc>
    </w:tr>
    <w:tr w:rsidR="001F1512">
      <w:trPr>
        <w:trHeight w:val="270"/>
      </w:trPr>
      <w:tc>
        <w:tcPr>
          <w:tcW w:w="8280" w:type="dxa"/>
          <w:vAlign w:val="center"/>
        </w:tcPr>
        <w:p w:rsidR="001F1512" w:rsidRPr="00F44239" w:rsidRDefault="001F1512" w:rsidP="004431C9">
          <w:pPr>
            <w:pStyle w:val="Nagwek"/>
            <w:jc w:val="center"/>
            <w:rPr>
              <w:i/>
            </w:rPr>
          </w:pPr>
          <w:r w:rsidRPr="001348F2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1F1512" w:rsidRDefault="001F1512" w:rsidP="004431C9">
          <w:pPr>
            <w:pStyle w:val="Nagwek"/>
            <w:jc w:val="center"/>
          </w:pPr>
        </w:p>
      </w:tc>
    </w:tr>
  </w:tbl>
  <w:p w:rsidR="001F1512" w:rsidRPr="004431C9" w:rsidRDefault="001F1512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9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6"/>
  </w:num>
  <w:num w:numId="3">
    <w:abstractNumId w:val="5"/>
  </w:num>
  <w:num w:numId="4">
    <w:abstractNumId w:val="6"/>
  </w:num>
  <w:num w:numId="5">
    <w:abstractNumId w:val="13"/>
  </w:num>
  <w:num w:numId="6">
    <w:abstractNumId w:val="0"/>
  </w:num>
  <w:num w:numId="7">
    <w:abstractNumId w:val="7"/>
  </w:num>
  <w:num w:numId="8">
    <w:abstractNumId w:val="18"/>
  </w:num>
  <w:num w:numId="9">
    <w:abstractNumId w:val="10"/>
  </w:num>
  <w:num w:numId="10">
    <w:abstractNumId w:val="2"/>
  </w:num>
  <w:num w:numId="11">
    <w:abstractNumId w:val="20"/>
  </w:num>
  <w:num w:numId="12">
    <w:abstractNumId w:val="23"/>
  </w:num>
  <w:num w:numId="13">
    <w:abstractNumId w:val="29"/>
  </w:num>
  <w:num w:numId="14">
    <w:abstractNumId w:val="8"/>
  </w:num>
  <w:num w:numId="15">
    <w:abstractNumId w:val="19"/>
  </w:num>
  <w:num w:numId="16">
    <w:abstractNumId w:val="9"/>
  </w:num>
  <w:num w:numId="17">
    <w:abstractNumId w:val="4"/>
  </w:num>
  <w:num w:numId="18">
    <w:abstractNumId w:val="25"/>
  </w:num>
  <w:num w:numId="19">
    <w:abstractNumId w:val="14"/>
  </w:num>
  <w:num w:numId="20">
    <w:abstractNumId w:val="15"/>
  </w:num>
  <w:num w:numId="21">
    <w:abstractNumId w:val="21"/>
  </w:num>
  <w:num w:numId="22">
    <w:abstractNumId w:val="1"/>
  </w:num>
  <w:num w:numId="23">
    <w:abstractNumId w:val="12"/>
  </w:num>
  <w:num w:numId="24">
    <w:abstractNumId w:val="24"/>
  </w:num>
  <w:num w:numId="25">
    <w:abstractNumId w:val="28"/>
  </w:num>
  <w:num w:numId="26">
    <w:abstractNumId w:val="3"/>
  </w:num>
  <w:num w:numId="27">
    <w:abstractNumId w:val="17"/>
  </w:num>
  <w:num w:numId="28">
    <w:abstractNumId w:val="30"/>
  </w:num>
  <w:num w:numId="29">
    <w:abstractNumId w:val="22"/>
  </w:num>
  <w:num w:numId="30">
    <w:abstractNumId w:val="26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45058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7EC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348F2"/>
    <w:rsid w:val="00143200"/>
    <w:rsid w:val="0014515D"/>
    <w:rsid w:val="00151043"/>
    <w:rsid w:val="001548D4"/>
    <w:rsid w:val="00155ACD"/>
    <w:rsid w:val="00167A82"/>
    <w:rsid w:val="00170E8E"/>
    <w:rsid w:val="001735DF"/>
    <w:rsid w:val="00187439"/>
    <w:rsid w:val="001A7A75"/>
    <w:rsid w:val="001B41B8"/>
    <w:rsid w:val="001C4123"/>
    <w:rsid w:val="001C53AC"/>
    <w:rsid w:val="001D2FD3"/>
    <w:rsid w:val="001E408E"/>
    <w:rsid w:val="001F1120"/>
    <w:rsid w:val="001F1512"/>
    <w:rsid w:val="001F3548"/>
    <w:rsid w:val="001F44C3"/>
    <w:rsid w:val="00207E7D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1C08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380A"/>
    <w:rsid w:val="003537A0"/>
    <w:rsid w:val="00356493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3605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A6C05"/>
    <w:rsid w:val="009B0597"/>
    <w:rsid w:val="009C1D45"/>
    <w:rsid w:val="009C2BC6"/>
    <w:rsid w:val="009C71C4"/>
    <w:rsid w:val="009E377D"/>
    <w:rsid w:val="009E60D4"/>
    <w:rsid w:val="009E6605"/>
    <w:rsid w:val="009E6799"/>
    <w:rsid w:val="009E6AF0"/>
    <w:rsid w:val="009F7746"/>
    <w:rsid w:val="00A0084D"/>
    <w:rsid w:val="00A10570"/>
    <w:rsid w:val="00A220D7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742A7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B65BB"/>
    <w:rsid w:val="00CC3AC2"/>
    <w:rsid w:val="00CE2606"/>
    <w:rsid w:val="00CE5532"/>
    <w:rsid w:val="00CF178E"/>
    <w:rsid w:val="00CF1A36"/>
    <w:rsid w:val="00CF1FE8"/>
    <w:rsid w:val="00CF7852"/>
    <w:rsid w:val="00CF7C45"/>
    <w:rsid w:val="00D0313C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912DC"/>
    <w:rsid w:val="00EA0D4E"/>
    <w:rsid w:val="00EB2F70"/>
    <w:rsid w:val="00EB34F3"/>
    <w:rsid w:val="00EC65B7"/>
    <w:rsid w:val="00ED1970"/>
    <w:rsid w:val="00EE2350"/>
    <w:rsid w:val="00EF38E0"/>
    <w:rsid w:val="00F107DE"/>
    <w:rsid w:val="00F26B7C"/>
    <w:rsid w:val="00F274D5"/>
    <w:rsid w:val="00F30D6E"/>
    <w:rsid w:val="00F44239"/>
    <w:rsid w:val="00F57A38"/>
    <w:rsid w:val="00F62F25"/>
    <w:rsid w:val="00F63D46"/>
    <w:rsid w:val="00F71B26"/>
    <w:rsid w:val="00F750CA"/>
    <w:rsid w:val="00F77073"/>
    <w:rsid w:val="00F778E9"/>
    <w:rsid w:val="00F84070"/>
    <w:rsid w:val="00F90433"/>
    <w:rsid w:val="00FC13E8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7A948A-6ADF-4624-B416-F3F9109CC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17</Pages>
  <Words>2604</Words>
  <Characters>15629</Characters>
  <Application>Microsoft Office Word</Application>
  <DocSecurity>0</DocSecurity>
  <Lines>130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18197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124</cp:revision>
  <cp:lastPrinted>2013-04-05T19:34:00Z</cp:lastPrinted>
  <dcterms:created xsi:type="dcterms:W3CDTF">2010-08-27T12:02:00Z</dcterms:created>
  <dcterms:modified xsi:type="dcterms:W3CDTF">2015-08-18T11:17:00Z</dcterms:modified>
</cp:coreProperties>
</file>