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bookmarkStart w:id="0" w:name="_GoBack"/>
      <w:bookmarkEnd w:id="0"/>
      <w:r>
        <w:rPr>
          <w:lang w:val="pl-PL"/>
        </w:rPr>
        <w:t>Poprawić skalowanie  przebiegu „kursor”,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Odczyt wartości różnych przebiegów w tym samym czasie ustawiany kursorem,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Przełączanie kursorów pomiarowych na inne kanały (bez zmiany osi czasu),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Kursor na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Przebiegi  w dwóch obiektach wykres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Zamienić nazwa „Kopalnia” na „Obiekt”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przy użyciu rolki? Strzałki do przesuwania kursorów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oglądanych (wyłączenie przebiegu powoduje wyłączenie skali Y, do której jest przypisany)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Kursor swobodny – pozycja startowa wpisywana z ręki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Kursor swobodny – możliwość zablokowania ruchu w jednej z osi – ruch tylko w osi X lub tylko w osi Y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„Zapisz” w oknach rejestracji</w:t>
      </w:r>
    </w:p>
    <w:p w:rsidR="00DF1F03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trybie edycji łączenie kanałów funkcjami matematycznymi (mnożenie, dodawanie, odejmowanie, dzielenie)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Wygenerować plik EXE do „zabawy” celem sprawdzenia i nauki funkcjonalności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 w:rsidRPr="00F5612D">
        <w:rPr>
          <w:lang w:val="pl-PL"/>
        </w:rPr>
        <w:t>Wyróżnienie osi „0”</w:t>
      </w:r>
    </w:p>
    <w:p w:rsidR="00DF1F03" w:rsidRPr="00F5612D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 w:rsidRPr="00F5612D">
        <w:rPr>
          <w:lang w:val="pl-PL"/>
        </w:rPr>
        <w:t>Możliwość włączenia widoczności przebiegów w oknach rejestracji – tak samo jak w oknie edycji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4C5578"/>
    <w:rsid w:val="00DF1F03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2016-04-15T12:29:00Z</dcterms:created>
  <dcterms:modified xsi:type="dcterms:W3CDTF">2016-04-15T12:45:00Z</dcterms:modified>
</cp:coreProperties>
</file>