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Arial" w:cs="Arial" w:eastAsia="Arial" w:hAnsi="Arial"/>
          <w:b/>
          <w:bCs/>
          <w:color w:val="1A1A2E"/>
          <w:sz w:val="72"/>
          <w:szCs w:val="72"/>
        </w:rPr>
        <w:t xml:space="preserve">VectorMinds</w:t>
      </w:r>
    </w:p>
    <w:p>
      <w:pPr>
        <w:spacing w:after="200" w:before="0"/>
        <w:jc w:val="center"/>
      </w:pPr>
      <w:r>
        <w:rPr>
          <w:rFonts w:ascii="Arial" w:cs="Arial" w:eastAsia="Arial" w:hAnsi="Arial"/>
          <w:color w:val="4A4E69"/>
          <w:sz w:val="32"/>
          <w:szCs w:val="32"/>
        </w:rPr>
        <w:t xml:space="preserve">GenAI Research Intelligence Platform</w:t>
      </w:r>
    </w:p>
    <w:p>
      <w:pPr>
        <w:pBdr>
          <w:top w:val="single" w:color="E94560" w:sz="12" w:space="6"/>
          <w:bottom w:val="single" w:color="E94560" w:sz="12" w:space="6"/>
        </w:pBdr>
        <w:spacing w:after="80" w:before="0"/>
        <w:jc w:val="center"/>
      </w:pPr>
      <w:r>
        <w:rPr>
          <w:rFonts w:ascii="Arial" w:cs="Arial" w:eastAsia="Arial" w:hAnsi="Arial"/>
          <w:i/>
          <w:iCs/>
          <w:color w:val="0F3460"/>
          <w:sz w:val="22"/>
          <w:szCs w:val="22"/>
        </w:rPr>
        <w:t xml:space="preserve">OpenClaw Hackathon  ·  Theme: GenAI Research  ·  Samsung R&amp;D</w:t>
      </w:r>
    </w:p>
    <w:p>
      <w:pPr>
        <w:spacing w:after="0" w:before="160"/>
      </w:pPr>
    </w:p>
    <w:p>
      <w:pPr>
        <w:jc w:val="center"/>
      </w:pPr>
      <w:r>
        <w:rPr>
          <w:rFonts w:ascii="Arial" w:cs="Arial" w:eastAsia="Arial" w:hAnsi="Arial"/>
          <w:b/>
          <w:bCs/>
          <w:color w:val="E94560"/>
          <w:sz w:val="24"/>
          <w:szCs w:val="24"/>
        </w:rPr>
        <w:t xml:space="preserve">Powered by OpenClaw Multi-Agent Orchestration</w:t>
      </w:r>
    </w:p>
    <w:p>
      <w:pPr>
        <w:spacing w:after="0" w:before="640"/>
      </w:pPr>
    </w:p>
    <w:p>
      <w:pPr>
        <w:jc w:val="center"/>
      </w:pPr>
      <w:r>
        <w:rPr>
          <w:rFonts w:ascii="Arial" w:cs="Arial" w:eastAsia="Arial" w:hAnsi="Arial"/>
          <w:i/>
          <w:iCs/>
          <w:color w:val="4A4E69"/>
          <w:sz w:val="18"/>
          <w:szCs w:val="18"/>
        </w:rPr>
        <w:t xml:space="preserve">Confidential · Samsung R&amp;D Submission · 2025</w:t>
      </w:r>
    </w:p>
    <w:p>
      <w:r>
        <w:br w:type="page"/>
      </w:r>
    </w:p>
    <w:p>
      <w:pPr>
        <w:pStyle w:val="Heading1"/>
        <w:pBdr>
          <w:bottom w:val="single" w:color="E94560" w:sz="8" w:space="4"/>
        </w:pBdr>
        <w:spacing w:after="200" w:before="400"/>
      </w:pPr>
      <w:r>
        <w:rPr>
          <w:rFonts w:ascii="Arial" w:cs="Arial" w:eastAsia="Arial" w:hAnsi="Arial"/>
          <w:b/>
          <w:bCs/>
          <w:color w:val="1A1A2E"/>
          <w:sz w:val="36"/>
          <w:szCs w:val="36"/>
        </w:rPr>
        <w:t xml:space="preserve">1. Executive Summary</w:t>
      </w:r>
    </w:p>
    <w:p>
      <w:pPr>
        <w:spacing w:after="120" w:before="80"/>
      </w:pPr>
      <w:r>
        <w:rPr>
          <w:rFonts w:ascii="Arial" w:cs="Arial" w:eastAsia="Arial" w:hAnsi="Arial"/>
          <w:color w:val="22223B"/>
          <w:sz w:val="22"/>
          <w:szCs w:val="22"/>
        </w:rPr>
        <w:t xml:space="preserve">VectorMinds is a full-stack GenAI research intelligence platform built on OpenClaw's multi-agent framework. It continuously scans the global knowledge frontier — arXiv, GitHub, patents, startup ecosystems, academic blogs, and social signals — and converts raw research noise into three concrete deliverables: (1) ranked trend predictions that identify high-impact AI techniques before they become mainstream, (2) buildable product blueprints that translate complex papers into real startup ideas, and (3) automatically generated ML training pipelines that launch pre-configured notebooks on Google Colab with injected datasets, training on cloud GPUs, and deliver ready-to-use model artifacts.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94560" w:sz="4"/>
              <w:left w:val="single" w:color="E94560" w:sz="4"/>
              <w:bottom w:val="single" w:color="E94560" w:sz="4"/>
              <w:right w:val="single" w:color="E94560"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VISION</w:t>
            </w:r>
          </w:p>
        </w:tc>
        <w:tc>
          <w:tcPr>
            <w:tcW w:type="dxa" w:w="8360"/>
            <w:tcBorders>
              <w:top w:val="single" w:color="EEEEEE" w:sz="4"/>
              <w:left w:val="single" w:color="EEEEEE" w:sz="4"/>
              <w:bottom w:val="single" w:color="EEEEEE" w:sz="4"/>
              <w:right w:val="single" w:color="EEEEEE" w:sz="4"/>
            </w:tcBorders>
            <w:shd w:fill="F9F9FB" w:val="clear"/>
            <w:tcMar>
              <w:top w:type="dxa" w:w="100"/>
              <w:left w:type="dxa" w:w="160"/>
              <w:bottom w:type="dxa" w:w="100"/>
              <w:right w:type="dxa" w:w="160"/>
            </w:tcMar>
          </w:tcPr>
          <w:p>
            <w:r>
              <w:rPr>
                <w:rFonts w:ascii="Arial" w:cs="Arial" w:eastAsia="Arial" w:hAnsi="Arial"/>
                <w:color w:val="22223B"/>
                <w:sz w:val="21"/>
                <w:szCs w:val="21"/>
              </w:rPr>
              <w:t xml:space="preserve">From a single research paper to a trained model and a company-ready startup plan — fully automated, in under 24 hours.</w:t>
            </w:r>
          </w:p>
        </w:tc>
      </w:tr>
    </w:tbl>
    <w:p>
      <w:pPr>
        <w:spacing w:after="0" w:before="80"/>
      </w:pPr>
    </w:p>
    <w:p>
      <w:pPr>
        <w:spacing w:after="120" w:before="80"/>
      </w:pPr>
      <w:r>
        <w:rPr>
          <w:rFonts w:ascii="Arial" w:cs="Arial" w:eastAsia="Arial" w:hAnsi="Arial"/>
          <w:color w:val="22223B"/>
          <w:sz w:val="22"/>
          <w:szCs w:val="22"/>
        </w:rPr>
        <w:t xml:space="preserve">The platform closes the gap between what researchers publish and what builders can act on. It is not a search engine or a summarizer — it is an autonomous prediction and productization engine that treats research as raw material and turns it into commercial intelligence.</w:t>
      </w:r>
    </w:p>
    <w:p>
      <w:pPr>
        <w:pBdr>
          <w:bottom w:val="single" w:color="DDDDDD" w:sz="4" w:space="1"/>
        </w:pBdr>
        <w:spacing w:after="200" w:before="200"/>
      </w:pPr>
    </w:p>
    <w:p>
      <w:pPr>
        <w:pStyle w:val="Heading1"/>
        <w:pBdr>
          <w:bottom w:val="single" w:color="E94560" w:sz="8" w:space="4"/>
        </w:pBdr>
        <w:spacing w:after="200" w:before="400"/>
      </w:pPr>
      <w:r>
        <w:rPr>
          <w:rFonts w:ascii="Arial" w:cs="Arial" w:eastAsia="Arial" w:hAnsi="Arial"/>
          <w:b/>
          <w:bCs/>
          <w:color w:val="1A1A2E"/>
          <w:sz w:val="36"/>
          <w:szCs w:val="36"/>
        </w:rPr>
        <w:t xml:space="preserve">2. Problem Statement</w:t>
      </w:r>
    </w:p>
    <w:p>
      <w:pPr>
        <w:pStyle w:val="Heading2"/>
        <w:spacing w:after="160" w:before="320"/>
      </w:pPr>
      <w:r>
        <w:rPr>
          <w:rFonts w:ascii="Arial" w:cs="Arial" w:eastAsia="Arial" w:hAnsi="Arial"/>
          <w:b/>
          <w:bCs/>
          <w:color w:val="0F3460"/>
          <w:sz w:val="28"/>
          <w:szCs w:val="28"/>
        </w:rPr>
        <w:t xml:space="preserve">2.1 The Research Velocity Problem</w:t>
      </w:r>
    </w:p>
    <w:p>
      <w:pPr>
        <w:spacing w:after="120" w:before="80"/>
      </w:pPr>
      <w:r>
        <w:rPr>
          <w:rFonts w:ascii="Arial" w:cs="Arial" w:eastAsia="Arial" w:hAnsi="Arial"/>
          <w:color w:val="22223B"/>
          <w:sz w:val="22"/>
          <w:szCs w:val="22"/>
        </w:rPr>
        <w:t xml:space="preserve">The global AI research output has exploded. arXiv alone publishes over 15,000 AI-related papers per month. GitHub hosts millions of experimental repositories. Patent offices are inundated with AI technique filings. The result: organizations that could benefit most from cutting-edge AI — R&amp;D labs, product teams, and startups — are informationally overwhelmed.</w:t>
      </w:r>
    </w:p>
    <w:p>
      <w:pPr>
        <w:spacing w:after="0" w:before="80"/>
      </w:pPr>
    </w:p>
    <w:p>
      <w:pPr>
        <w:pStyle w:val="ListParagraph"/>
        <w:numPr>
          <w:ilvl w:val="0"/>
          <w:numId w:val="2"/>
        </w:numPr>
        <w:spacing w:after="60" w:before="40"/>
      </w:pPr>
      <w:r>
        <w:rPr>
          <w:rFonts w:ascii="Arial" w:cs="Arial" w:eastAsia="Arial" w:hAnsi="Arial"/>
          <w:color w:val="22223B"/>
          <w:sz w:val="22"/>
          <w:szCs w:val="22"/>
        </w:rPr>
        <w:t xml:space="preserve">No single team can read and evaluate 15,000 papers per month</w:t>
      </w:r>
    </w:p>
    <w:p>
      <w:pPr>
        <w:pStyle w:val="ListParagraph"/>
        <w:numPr>
          <w:ilvl w:val="0"/>
          <w:numId w:val="2"/>
        </w:numPr>
        <w:spacing w:after="60" w:before="40"/>
      </w:pPr>
      <w:r>
        <w:rPr>
          <w:rFonts w:ascii="Arial" w:cs="Arial" w:eastAsia="Arial" w:hAnsi="Arial"/>
          <w:color w:val="22223B"/>
          <w:sz w:val="22"/>
          <w:szCs w:val="22"/>
        </w:rPr>
        <w:t xml:space="preserve">Critical techniques appear in papers 12–36 months before they appear in products</w:t>
      </w:r>
    </w:p>
    <w:p>
      <w:pPr>
        <w:pStyle w:val="ListParagraph"/>
        <w:numPr>
          <w:ilvl w:val="0"/>
          <w:numId w:val="2"/>
        </w:numPr>
        <w:spacing w:after="60" w:before="40"/>
      </w:pPr>
      <w:r>
        <w:rPr>
          <w:rFonts w:ascii="Arial" w:cs="Arial" w:eastAsia="Arial" w:hAnsi="Arial"/>
          <w:color w:val="22223B"/>
          <w:sz w:val="22"/>
          <w:szCs w:val="22"/>
        </w:rPr>
        <w:t xml:space="preserve">Most teams only discover techniques after they become mainstream — too late for competitive advantage</w:t>
      </w:r>
    </w:p>
    <w:p>
      <w:pPr>
        <w:pStyle w:val="ListParagraph"/>
        <w:numPr>
          <w:ilvl w:val="0"/>
          <w:numId w:val="2"/>
        </w:numPr>
        <w:spacing w:after="60" w:before="40"/>
      </w:pPr>
      <w:r>
        <w:rPr>
          <w:rFonts w:ascii="Arial" w:cs="Arial" w:eastAsia="Arial" w:hAnsi="Arial"/>
          <w:color w:val="22223B"/>
          <w:sz w:val="22"/>
          <w:szCs w:val="22"/>
        </w:rPr>
        <w:t xml:space="preserve">Patent intelligence is siloed from academic research and open-source signals</w:t>
      </w:r>
    </w:p>
    <w:p>
      <w:pPr>
        <w:pStyle w:val="ListParagraph"/>
        <w:numPr>
          <w:ilvl w:val="0"/>
          <w:numId w:val="2"/>
        </w:numPr>
        <w:spacing w:after="60" w:before="40"/>
      </w:pPr>
      <w:r>
        <w:rPr>
          <w:rFonts w:ascii="Arial" w:cs="Arial" w:eastAsia="Arial" w:hAnsi="Arial"/>
          <w:color w:val="22223B"/>
          <w:sz w:val="22"/>
          <w:szCs w:val="22"/>
        </w:rPr>
        <w:t xml:space="preserve">Promising techniques die in labs because no one translates them into product ideas</w:t>
      </w:r>
    </w:p>
    <w:p>
      <w:pPr>
        <w:spacing w:after="0" w:before="80"/>
      </w:pPr>
    </w:p>
    <w:p>
      <w:pPr>
        <w:pStyle w:val="Heading2"/>
        <w:spacing w:after="160" w:before="320"/>
      </w:pPr>
      <w:r>
        <w:rPr>
          <w:rFonts w:ascii="Arial" w:cs="Arial" w:eastAsia="Arial" w:hAnsi="Arial"/>
          <w:b/>
          <w:bCs/>
          <w:color w:val="0F3460"/>
          <w:sz w:val="28"/>
          <w:szCs w:val="28"/>
        </w:rPr>
        <w:t xml:space="preserve">2.2 The Translation Gap</w:t>
      </w:r>
    </w:p>
    <w:p>
      <w:pPr>
        <w:spacing w:after="120" w:before="80"/>
      </w:pPr>
      <w:r>
        <w:rPr>
          <w:rFonts w:ascii="Arial" w:cs="Arial" w:eastAsia="Arial" w:hAnsi="Arial"/>
          <w:color w:val="22223B"/>
          <w:sz w:val="22"/>
          <w:szCs w:val="22"/>
        </w:rPr>
        <w:t xml:space="preserve">Even when a research team identifies a promising paper, converting it to a buildable product requires: understanding the theoretical novelty, identifying the practical use case, designing a dataset collection strategy, building a training pipeline, evaluating the model, and writing a go-to-market narrative. This process takes months. VectorMinds compresses it to hours.</w:t>
      </w:r>
    </w:p>
    <w:p>
      <w:pPr>
        <w:spacing w:after="0" w:before="80"/>
      </w:pPr>
    </w:p>
    <w:p>
      <w:pPr>
        <w:pStyle w:val="Heading2"/>
        <w:spacing w:after="160" w:before="320"/>
      </w:pPr>
      <w:r>
        <w:rPr>
          <w:rFonts w:ascii="Arial" w:cs="Arial" w:eastAsia="Arial" w:hAnsi="Arial"/>
          <w:b/>
          <w:bCs/>
          <w:color w:val="0F3460"/>
          <w:sz w:val="28"/>
          <w:szCs w:val="28"/>
        </w:rPr>
        <w:t xml:space="preserve">2.3 The Cold-Start ML Problem</w:t>
      </w:r>
    </w:p>
    <w:p>
      <w:pPr>
        <w:spacing w:after="120" w:before="80"/>
      </w:pPr>
      <w:r>
        <w:rPr>
          <w:rFonts w:ascii="Arial" w:cs="Arial" w:eastAsia="Arial" w:hAnsi="Arial"/>
          <w:color w:val="22223B"/>
          <w:sz w:val="22"/>
          <w:szCs w:val="22"/>
        </w:rPr>
        <w:t xml:space="preserve">For organizations exploring a new AI capability, the hardest barrier is the first working model. Setting up cloud compute, finding relevant datasets, structuring a training pipeline, and configuring evaluation metrics can take weeks of engineering time before a single experiment runs. VectorMinds eliminates this cold-start cost entirely by auto-generating the entire pipeline and launching it on demand.</w:t>
      </w:r>
    </w:p>
    <w:p>
      <w:pPr>
        <w:pBdr>
          <w:bottom w:val="single" w:color="DDDDDD" w:sz="4" w:space="1"/>
        </w:pBdr>
        <w:spacing w:after="200" w:before="200"/>
      </w:pPr>
    </w:p>
    <w:p>
      <w:pPr>
        <w:pStyle w:val="Heading1"/>
        <w:pBdr>
          <w:bottom w:val="single" w:color="E94560" w:sz="8" w:space="4"/>
        </w:pBdr>
        <w:spacing w:after="200" w:before="400"/>
      </w:pPr>
      <w:r>
        <w:rPr>
          <w:rFonts w:ascii="Arial" w:cs="Arial" w:eastAsia="Arial" w:hAnsi="Arial"/>
          <w:b/>
          <w:bCs/>
          <w:color w:val="1A1A2E"/>
          <w:sz w:val="36"/>
          <w:szCs w:val="36"/>
        </w:rPr>
        <w:t xml:space="preserve">3. Solution Architecture</w:t>
      </w:r>
    </w:p>
    <w:p>
      <w:pPr>
        <w:pStyle w:val="Heading2"/>
        <w:spacing w:after="160" w:before="320"/>
      </w:pPr>
      <w:r>
        <w:rPr>
          <w:rFonts w:ascii="Arial" w:cs="Arial" w:eastAsia="Arial" w:hAnsi="Arial"/>
          <w:b/>
          <w:bCs/>
          <w:color w:val="0F3460"/>
          <w:sz w:val="28"/>
          <w:szCs w:val="28"/>
        </w:rPr>
        <w:t xml:space="preserve">3.1 System Overview</w:t>
      </w:r>
    </w:p>
    <w:p>
      <w:pPr>
        <w:spacing w:after="120" w:before="80"/>
      </w:pPr>
      <w:r>
        <w:rPr>
          <w:rFonts w:ascii="Arial" w:cs="Arial" w:eastAsia="Arial" w:hAnsi="Arial"/>
          <w:color w:val="22223B"/>
          <w:sz w:val="22"/>
          <w:szCs w:val="22"/>
        </w:rPr>
        <w:t xml:space="preserve">VectorMinds is structured as a five-layer pipeline, with OpenClaw agents handling autonomous orchestration across all layers: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4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516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1</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Data Ingestion Layer</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Continuously scrapes arXiv, GitHub, patents, HN, Twitter, startup databases, blog aggregators</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2</w:t>
            </w:r>
          </w:p>
        </w:tc>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Vector Embedding Engine</w:t>
            </w:r>
          </w:p>
        </w:tc>
        <w:tc>
          <w:tcPr>
            <w:tcW w:type="dxa" w:w="5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Chunks, embeds, deduplicates, and stores all research signals in a multi-modal vector store</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3</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OpenClaw Agent Mesh</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Reasoning, memory, retraining-trigger, and delivery agents orchestrated via OpenClaw framework</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4</w:t>
            </w:r>
          </w:p>
        </w:tc>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Intelligence Synthesis Layer</w:t>
            </w:r>
          </w:p>
        </w:tc>
        <w:tc>
          <w:tcPr>
            <w:tcW w:type="dxa" w:w="5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Trend prediction engine, product blueprint engine, ML pipeline generator</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5</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Delivery Layer</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Interactive dashboard, Telegram alerts, REST API, model artifact export</w:t>
            </w:r>
          </w:p>
        </w:tc>
      </w:tr>
    </w:tbl>
    <w:p>
      <w:pPr>
        <w:spacing w:after="0" w:before="160"/>
      </w:pPr>
    </w:p>
    <w:p>
      <w:pPr>
        <w:pStyle w:val="Heading2"/>
        <w:spacing w:after="160" w:before="320"/>
      </w:pPr>
      <w:r>
        <w:rPr>
          <w:rFonts w:ascii="Arial" w:cs="Arial" w:eastAsia="Arial" w:hAnsi="Arial"/>
          <w:b/>
          <w:bCs/>
          <w:color w:val="0F3460"/>
          <w:sz w:val="28"/>
          <w:szCs w:val="28"/>
        </w:rPr>
        <w:t xml:space="preserve">3.2 Data Ingestion Layer</w:t>
      </w:r>
    </w:p>
    <w:p>
      <w:pPr>
        <w:spacing w:after="120" w:before="80"/>
      </w:pPr>
      <w:r>
        <w:rPr>
          <w:rFonts w:ascii="Arial" w:cs="Arial" w:eastAsia="Arial" w:hAnsi="Arial"/>
          <w:color w:val="22223B"/>
          <w:sz w:val="22"/>
          <w:szCs w:val="22"/>
        </w:rPr>
        <w:t xml:space="preserve">The ingestion layer is a distributed crawler mesh managed by OpenClaw's Ingestion Agent. It monitors the following sources in real time:</w:t>
      </w:r>
    </w:p>
    <w:p>
      <w:pPr>
        <w:pStyle w:val="ListParagraph"/>
        <w:numPr>
          <w:ilvl w:val="0"/>
          <w:numId w:val="2"/>
        </w:numPr>
        <w:spacing w:after="60" w:before="40"/>
      </w:pPr>
      <w:r>
        <w:rPr>
          <w:rFonts w:ascii="Arial" w:cs="Arial" w:eastAsia="Arial" w:hAnsi="Arial"/>
          <w:color w:val="22223B"/>
          <w:sz w:val="22"/>
          <w:szCs w:val="22"/>
        </w:rPr>
        <w:t xml:space="preserve">arXiv: Full-text PDF parsing with section-aware chunking. Tracks paper velocity (how fast a topic is getting cited), author network clustering, and abstract semantic drift week-over-week.</w:t>
      </w:r>
    </w:p>
    <w:p>
      <w:pPr>
        <w:pStyle w:val="ListParagraph"/>
        <w:numPr>
          <w:ilvl w:val="0"/>
          <w:numId w:val="2"/>
        </w:numPr>
        <w:spacing w:after="60" w:before="40"/>
      </w:pPr>
      <w:r>
        <w:rPr>
          <w:rFonts w:ascii="Arial" w:cs="Arial" w:eastAsia="Arial" w:hAnsi="Arial"/>
          <w:color w:val="22223B"/>
          <w:sz w:val="22"/>
          <w:szCs w:val="22"/>
        </w:rPr>
        <w:t xml:space="preserve">GitHub: Stars-per-day acceleration, repo topic clustering, commit message semantic analysis, dependency graph analysis to identify what new repos depend on.</w:t>
      </w:r>
    </w:p>
    <w:p>
      <w:pPr>
        <w:pStyle w:val="ListParagraph"/>
        <w:numPr>
          <w:ilvl w:val="0"/>
          <w:numId w:val="2"/>
        </w:numPr>
        <w:spacing w:after="60" w:before="40"/>
      </w:pPr>
      <w:r>
        <w:rPr>
          <w:rFonts w:ascii="Arial" w:cs="Arial" w:eastAsia="Arial" w:hAnsi="Arial"/>
          <w:color w:val="22223B"/>
          <w:sz w:val="22"/>
          <w:szCs w:val="22"/>
        </w:rPr>
        <w:t xml:space="preserve">USPTO / EPO Patents: Daily patent filing feeds, claim extraction, assignee monitoring, and citation graph traversal to surface foundational IP.</w:t>
      </w:r>
    </w:p>
    <w:p>
      <w:pPr>
        <w:pStyle w:val="ListParagraph"/>
        <w:numPr>
          <w:ilvl w:val="0"/>
          <w:numId w:val="2"/>
        </w:numPr>
        <w:spacing w:after="60" w:before="40"/>
      </w:pPr>
      <w:r>
        <w:rPr>
          <w:rFonts w:ascii="Arial" w:cs="Arial" w:eastAsia="Arial" w:hAnsi="Arial"/>
          <w:color w:val="22223B"/>
          <w:sz w:val="22"/>
          <w:szCs w:val="22"/>
        </w:rPr>
        <w:t xml:space="preserve">Startup Ecosystems: Crunchbase, AngelList, and Y Combinator batch signals — tracking which technical keywords appear in funding announcements.</w:t>
      </w:r>
    </w:p>
    <w:p>
      <w:pPr>
        <w:pStyle w:val="ListParagraph"/>
        <w:numPr>
          <w:ilvl w:val="0"/>
          <w:numId w:val="2"/>
        </w:numPr>
        <w:spacing w:after="60" w:before="40"/>
      </w:pPr>
      <w:r>
        <w:rPr>
          <w:rFonts w:ascii="Arial" w:cs="Arial" w:eastAsia="Arial" w:hAnsi="Arial"/>
          <w:color w:val="22223B"/>
          <w:sz w:val="22"/>
          <w:szCs w:val="22"/>
        </w:rPr>
        <w:t xml:space="preserve">Social Signals: Hacker News ranking momentum, Twitter/X engagement velocity on technical posts, Reddit ML community discourse clusters.</w:t>
      </w:r>
    </w:p>
    <w:p>
      <w:pPr>
        <w:pStyle w:val="ListParagraph"/>
        <w:numPr>
          <w:ilvl w:val="0"/>
          <w:numId w:val="2"/>
        </w:numPr>
        <w:spacing w:after="60" w:before="40"/>
      </w:pPr>
      <w:r>
        <w:rPr>
          <w:rFonts w:ascii="Arial" w:cs="Arial" w:eastAsia="Arial" w:hAnsi="Arial"/>
          <w:color w:val="22223B"/>
          <w:sz w:val="22"/>
          <w:szCs w:val="22"/>
        </w:rPr>
        <w:t xml:space="preserve">Academic Blogs: Distill.pub, AI alignment forums, Weights &amp; Biases reports, and lab blogs from DeepMind, OpenAI, Meta AI, and others.</w:t>
      </w:r>
    </w:p>
    <w:p>
      <w:pPr>
        <w:spacing w:after="0" w:before="80"/>
      </w:pPr>
    </w:p>
    <w:p>
      <w:pPr>
        <w:spacing w:after="120" w:before="80"/>
      </w:pPr>
      <w:r>
        <w:rPr>
          <w:rFonts w:ascii="Arial" w:cs="Arial" w:eastAsia="Arial" w:hAnsi="Arial"/>
          <w:color w:val="22223B"/>
          <w:sz w:val="22"/>
          <w:szCs w:val="22"/>
        </w:rPr>
        <w:t xml:space="preserve">All ingested data is normalized into a canonical Research Signal schema containing: source, timestamp, raw text, extracted entities, semantic embedding, impact score, and novelty score.</w:t>
      </w:r>
    </w:p>
    <w:p>
      <w:pPr>
        <w:spacing w:after="0" w:before="80"/>
      </w:pPr>
    </w:p>
    <w:p>
      <w:pPr>
        <w:pStyle w:val="Heading2"/>
        <w:spacing w:after="160" w:before="320"/>
      </w:pPr>
      <w:r>
        <w:rPr>
          <w:rFonts w:ascii="Arial" w:cs="Arial" w:eastAsia="Arial" w:hAnsi="Arial"/>
          <w:b/>
          <w:bCs/>
          <w:color w:val="0F3460"/>
          <w:sz w:val="28"/>
          <w:szCs w:val="28"/>
        </w:rPr>
        <w:t xml:space="preserve">3.3 Vector Embedding Engine</w:t>
      </w:r>
    </w:p>
    <w:p>
      <w:pPr>
        <w:spacing w:after="120" w:before="80"/>
      </w:pPr>
      <w:r>
        <w:rPr>
          <w:rFonts w:ascii="Arial" w:cs="Arial" w:eastAsia="Arial" w:hAnsi="Arial"/>
          <w:color w:val="22223B"/>
          <w:sz w:val="22"/>
          <w:szCs w:val="22"/>
        </w:rPr>
        <w:t xml:space="preserve">The embedding engine is the semantic core of the platform. It performs the following operations on every ingested document:</w:t>
      </w:r>
    </w:p>
    <w:p>
      <w:pPr>
        <w:pStyle w:val="ListParagraph"/>
        <w:numPr>
          <w:ilvl w:val="0"/>
          <w:numId w:val="2"/>
        </w:numPr>
        <w:spacing w:after="60" w:before="40"/>
      </w:pPr>
      <w:r>
        <w:rPr>
          <w:rFonts w:ascii="Arial" w:cs="Arial" w:eastAsia="Arial" w:hAnsi="Arial"/>
          <w:color w:val="22223B"/>
          <w:sz w:val="22"/>
          <w:szCs w:val="22"/>
        </w:rPr>
        <w:t xml:space="preserve">Hierarchical chunking: Documents are chunked at paragraph, section, and full-abstract levels — maintaining multiple granularity windows for different query types.</w:t>
      </w:r>
    </w:p>
    <w:p>
      <w:pPr>
        <w:pStyle w:val="ListParagraph"/>
        <w:numPr>
          <w:ilvl w:val="0"/>
          <w:numId w:val="2"/>
        </w:numPr>
        <w:spacing w:after="60" w:before="40"/>
      </w:pPr>
      <w:r>
        <w:rPr>
          <w:rFonts w:ascii="Arial" w:cs="Arial" w:eastAsia="Arial" w:hAnsi="Arial"/>
          <w:color w:val="22223B"/>
          <w:sz w:val="22"/>
          <w:szCs w:val="22"/>
        </w:rPr>
        <w:t xml:space="preserve">Contrastive embeddings: A fine-tuned sentence transformer encodes chunks such that semantically similar techniques cluster tightly, even when expressed in different vocabulary (e.g., 'attention mechanism' and 'query-key-value routing' should be neighbors).</w:t>
      </w:r>
    </w:p>
    <w:p>
      <w:pPr>
        <w:pStyle w:val="ListParagraph"/>
        <w:numPr>
          <w:ilvl w:val="0"/>
          <w:numId w:val="2"/>
        </w:numPr>
        <w:spacing w:after="60" w:before="40"/>
      </w:pPr>
      <w:r>
        <w:rPr>
          <w:rFonts w:ascii="Arial" w:cs="Arial" w:eastAsia="Arial" w:hAnsi="Arial"/>
          <w:color w:val="22223B"/>
          <w:sz w:val="22"/>
          <w:szCs w:val="22"/>
        </w:rPr>
        <w:t xml:space="preserve">Semantic deduplication: Cosine similarity thresholding removes redundant documents, preserving only the first-mover version plus delta documents that add novel information.</w:t>
      </w:r>
    </w:p>
    <w:p>
      <w:pPr>
        <w:pStyle w:val="ListParagraph"/>
        <w:numPr>
          <w:ilvl w:val="0"/>
          <w:numId w:val="2"/>
        </w:numPr>
        <w:spacing w:after="60" w:before="40"/>
      </w:pPr>
      <w:r>
        <w:rPr>
          <w:rFonts w:ascii="Arial" w:cs="Arial" w:eastAsia="Arial" w:hAnsi="Arial"/>
          <w:color w:val="22223B"/>
          <w:sz w:val="22"/>
          <w:szCs w:val="22"/>
        </w:rPr>
        <w:t xml:space="preserve">Multi-modal indexing: Code snippets, mathematical notation, and diagram captions are embedded in separate vector spaces and cross-linked to their parent documents.</w:t>
      </w:r>
    </w:p>
    <w:p>
      <w:pPr>
        <w:pStyle w:val="ListParagraph"/>
        <w:numPr>
          <w:ilvl w:val="0"/>
          <w:numId w:val="2"/>
        </w:numPr>
        <w:spacing w:after="60" w:before="40"/>
      </w:pPr>
      <w:r>
        <w:rPr>
          <w:rFonts w:ascii="Arial" w:cs="Arial" w:eastAsia="Arial" w:hAnsi="Arial"/>
          <w:color w:val="22223B"/>
          <w:sz w:val="22"/>
          <w:szCs w:val="22"/>
        </w:rPr>
        <w:t xml:space="preserve">Temporal graph construction: A time-aware graph tracks how concepts evolve — enabling queries like 'show me all variants of LoRA fine-tuning and their emergence order'.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94560" w:sz="4"/>
              <w:left w:val="single" w:color="E94560" w:sz="4"/>
              <w:bottom w:val="single" w:color="E94560" w:sz="4"/>
              <w:right w:val="single" w:color="E94560"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TECH STACK</w:t>
            </w:r>
          </w:p>
        </w:tc>
        <w:tc>
          <w:tcPr>
            <w:tcW w:type="dxa" w:w="8360"/>
            <w:tcBorders>
              <w:top w:val="single" w:color="EEEEEE" w:sz="4"/>
              <w:left w:val="single" w:color="EEEEEE" w:sz="4"/>
              <w:bottom w:val="single" w:color="EEEEEE" w:sz="4"/>
              <w:right w:val="single" w:color="EEEEEE" w:sz="4"/>
            </w:tcBorders>
            <w:shd w:fill="F9F9FB" w:val="clear"/>
            <w:tcMar>
              <w:top w:type="dxa" w:w="100"/>
              <w:left w:type="dxa" w:w="160"/>
              <w:bottom w:type="dxa" w:w="100"/>
              <w:right w:type="dxa" w:w="160"/>
            </w:tcMar>
          </w:tcPr>
          <w:p>
            <w:r>
              <w:rPr>
                <w:rFonts w:ascii="Arial" w:cs="Arial" w:eastAsia="Arial" w:hAnsi="Arial"/>
                <w:color w:val="22223B"/>
                <w:sz w:val="21"/>
                <w:szCs w:val="21"/>
              </w:rPr>
              <w:t xml:space="preserve">Qdrant vector store · BGE-M3 embeddings · LangChain document loaders · Apache Kafka for real-time streaming · PostgreSQL for metadata</w:t>
            </w:r>
          </w:p>
        </w:tc>
      </w:tr>
    </w:tbl>
    <w:p>
      <w:pPr>
        <w:spacing w:after="0" w:before="80"/>
      </w:pPr>
    </w:p>
    <w:p>
      <w:pPr>
        <w:pStyle w:val="Heading2"/>
        <w:spacing w:after="160" w:before="320"/>
      </w:pPr>
      <w:r>
        <w:rPr>
          <w:rFonts w:ascii="Arial" w:cs="Arial" w:eastAsia="Arial" w:hAnsi="Arial"/>
          <w:b/>
          <w:bCs/>
          <w:color w:val="0F3460"/>
          <w:sz w:val="28"/>
          <w:szCs w:val="28"/>
        </w:rPr>
        <w:t xml:space="preserve">3.4 OpenClaw Multi-Agent Mesh</w:t>
      </w:r>
    </w:p>
    <w:p>
      <w:pPr>
        <w:spacing w:after="120" w:before="80"/>
      </w:pPr>
      <w:r>
        <w:rPr>
          <w:rFonts w:ascii="Arial" w:cs="Arial" w:eastAsia="Arial" w:hAnsi="Arial"/>
          <w:color w:val="22223B"/>
          <w:sz w:val="22"/>
          <w:szCs w:val="22"/>
        </w:rPr>
        <w:t xml:space="preserve">OpenClaw agents are the operational intelligence layer of VectorMinds. Four specialized agents run continuously in a shared memory environment:</w:t>
      </w:r>
    </w:p>
    <w:p>
      <w:pPr>
        <w:spacing w:after="0" w:before="80"/>
      </w:pPr>
    </w:p>
    <w:p>
      <w:pPr>
        <w:pStyle w:val="Heading3"/>
        <w:spacing w:after="120" w:before="240"/>
      </w:pPr>
      <w:r>
        <w:rPr>
          <w:rFonts w:ascii="Arial" w:cs="Arial" w:eastAsia="Arial" w:hAnsi="Arial"/>
          <w:b/>
          <w:bCs/>
          <w:color w:val="4A4E69"/>
          <w:sz w:val="24"/>
          <w:szCs w:val="24"/>
        </w:rPr>
        <w:t xml:space="preserve">3.4.1 Ingestion Agent</w:t>
      </w:r>
    </w:p>
    <w:p>
      <w:pPr>
        <w:spacing w:after="120" w:before="80"/>
      </w:pPr>
      <w:r>
        <w:rPr>
          <w:rFonts w:ascii="Arial" w:cs="Arial" w:eastAsia="Arial" w:hAnsi="Arial"/>
          <w:color w:val="22223B"/>
          <w:sz w:val="22"/>
          <w:szCs w:val="22"/>
        </w:rPr>
        <w:t xml:space="preserve">Manages all crawlers, monitors source health, detects ingestion failures, and triggers re-crawls. Uses an adaptive scheduling algorithm that increases crawl frequency when a source is producing high-novelty signals (e.g., when a major lab publishes a paper cluster). Maintains a source reliability score to weight the credibility of each feed.</w:t>
      </w:r>
    </w:p>
    <w:p>
      <w:pPr>
        <w:spacing w:after="0" w:before="80"/>
      </w:pPr>
    </w:p>
    <w:p>
      <w:pPr>
        <w:pStyle w:val="Heading3"/>
        <w:spacing w:after="120" w:before="240"/>
      </w:pPr>
      <w:r>
        <w:rPr>
          <w:rFonts w:ascii="Arial" w:cs="Arial" w:eastAsia="Arial" w:hAnsi="Arial"/>
          <w:b/>
          <w:bCs/>
          <w:color w:val="4A4E69"/>
          <w:sz w:val="24"/>
          <w:szCs w:val="24"/>
        </w:rPr>
        <w:t xml:space="preserve">3.4.2 Reasoning Agent</w:t>
      </w:r>
    </w:p>
    <w:p>
      <w:pPr>
        <w:spacing w:after="120" w:before="80"/>
      </w:pPr>
      <w:r>
        <w:rPr>
          <w:rFonts w:ascii="Arial" w:cs="Arial" w:eastAsia="Arial" w:hAnsi="Arial"/>
          <w:color w:val="22223B"/>
          <w:sz w:val="22"/>
          <w:szCs w:val="22"/>
        </w:rPr>
        <w:t xml:space="preserve">The core intelligence agent. For every incoming batch of research signals, it performs:</w:t>
      </w:r>
    </w:p>
    <w:p>
      <w:pPr>
        <w:pStyle w:val="ListParagraph"/>
        <w:numPr>
          <w:ilvl w:val="0"/>
          <w:numId w:val="2"/>
        </w:numPr>
        <w:spacing w:after="60" w:before="40"/>
      </w:pPr>
      <w:r>
        <w:rPr>
          <w:rFonts w:ascii="Arial" w:cs="Arial" w:eastAsia="Arial" w:hAnsi="Arial"/>
          <w:color w:val="22223B"/>
          <w:sz w:val="22"/>
          <w:szCs w:val="22"/>
        </w:rPr>
        <w:t xml:space="preserve">Cross-source correlation: Identifies when an arXiv paper, a GitHub repo, a startup funding round, and a patent all reference the same underlying technique — a strong signal of emerging importance.</w:t>
      </w:r>
    </w:p>
    <w:p>
      <w:pPr>
        <w:pStyle w:val="ListParagraph"/>
        <w:numPr>
          <w:ilvl w:val="0"/>
          <w:numId w:val="2"/>
        </w:numPr>
        <w:spacing w:after="60" w:before="40"/>
      </w:pPr>
      <w:r>
        <w:rPr>
          <w:rFonts w:ascii="Arial" w:cs="Arial" w:eastAsia="Arial" w:hAnsi="Arial"/>
          <w:color w:val="22223B"/>
          <w:sz w:val="22"/>
          <w:szCs w:val="22"/>
        </w:rPr>
        <w:t xml:space="preserve">Novelty scoring: Measures how far a new signal is from the current centroid of its nearest cluster in vector space. High distance = genuinely new territory.</w:t>
      </w:r>
    </w:p>
    <w:p>
      <w:pPr>
        <w:pStyle w:val="ListParagraph"/>
        <w:numPr>
          <w:ilvl w:val="0"/>
          <w:numId w:val="2"/>
        </w:numPr>
        <w:spacing w:after="60" w:before="40"/>
      </w:pPr>
      <w:r>
        <w:rPr>
          <w:rFonts w:ascii="Arial" w:cs="Arial" w:eastAsia="Arial" w:hAnsi="Arial"/>
          <w:color w:val="22223B"/>
          <w:sz w:val="22"/>
          <w:szCs w:val="22"/>
        </w:rPr>
        <w:t xml:space="preserve">Impact prediction: A trained gradient boosting model predicts 6/12/24-month mainstream adoption probability based on historical pattern matching against 50,000 past research-to-product transitions.</w:t>
      </w:r>
    </w:p>
    <w:p>
      <w:pPr>
        <w:pStyle w:val="ListParagraph"/>
        <w:numPr>
          <w:ilvl w:val="0"/>
          <w:numId w:val="2"/>
        </w:numPr>
        <w:spacing w:after="60" w:before="40"/>
      </w:pPr>
      <w:r>
        <w:rPr>
          <w:rFonts w:ascii="Arial" w:cs="Arial" w:eastAsia="Arial" w:hAnsi="Arial"/>
          <w:color w:val="22223B"/>
          <w:sz w:val="22"/>
          <w:szCs w:val="22"/>
        </w:rPr>
        <w:t xml:space="preserve">Chain-of-thought summarization: Uses a hosted LLM to generate a structured technical brief: core technique, key insight, why it matters, what it enables, what it competes with.</w:t>
      </w:r>
    </w:p>
    <w:p>
      <w:pPr>
        <w:spacing w:after="0" w:before="80"/>
      </w:pPr>
    </w:p>
    <w:p>
      <w:pPr>
        <w:pStyle w:val="Heading3"/>
        <w:spacing w:after="120" w:before="240"/>
      </w:pPr>
      <w:r>
        <w:rPr>
          <w:rFonts w:ascii="Arial" w:cs="Arial" w:eastAsia="Arial" w:hAnsi="Arial"/>
          <w:b/>
          <w:bCs/>
          <w:color w:val="4A4E69"/>
          <w:sz w:val="24"/>
          <w:szCs w:val="24"/>
        </w:rPr>
        <w:t xml:space="preserve">3.4.3 Memory Agent</w:t>
      </w:r>
    </w:p>
    <w:p>
      <w:pPr>
        <w:spacing w:after="120" w:before="80"/>
      </w:pPr>
      <w:r>
        <w:rPr>
          <w:rFonts w:ascii="Arial" w:cs="Arial" w:eastAsia="Arial" w:hAnsi="Arial"/>
          <w:color w:val="22223B"/>
          <w:sz w:val="22"/>
          <w:szCs w:val="22"/>
        </w:rPr>
        <w:t xml:space="preserve">Maintains long-horizon context across sessions. The Memory Agent stores: user interaction history, previously generated product blueprints, feedback signals (thumbs up/down on predictions), and a portfolio of all trained models. It uses this context to personalize future predictions — if a team has consistently upvoted edge-AI papers, the agent reweights its scoring accordingly. Memory is stored in a combination of Qdrant (for semantic retrieval) and Redis (for fast key-value lookups).</w:t>
      </w:r>
    </w:p>
    <w:p>
      <w:pPr>
        <w:spacing w:after="0" w:before="80"/>
      </w:pPr>
    </w:p>
    <w:p>
      <w:pPr>
        <w:pStyle w:val="Heading3"/>
        <w:spacing w:after="120" w:before="240"/>
      </w:pPr>
      <w:r>
        <w:rPr>
          <w:rFonts w:ascii="Arial" w:cs="Arial" w:eastAsia="Arial" w:hAnsi="Arial"/>
          <w:b/>
          <w:bCs/>
          <w:color w:val="4A4E69"/>
          <w:sz w:val="24"/>
          <w:szCs w:val="24"/>
        </w:rPr>
        <w:t xml:space="preserve">3.4.4 Retraining Agent</w:t>
      </w:r>
    </w:p>
    <w:p>
      <w:pPr>
        <w:spacing w:after="120" w:before="80"/>
      </w:pPr>
      <w:r>
        <w:rPr>
          <w:rFonts w:ascii="Arial" w:cs="Arial" w:eastAsia="Arial" w:hAnsi="Arial"/>
          <w:color w:val="22223B"/>
          <w:sz w:val="22"/>
          <w:szCs w:val="22"/>
        </w:rPr>
        <w:t xml:space="preserve">Monitors model drift in both the trend prediction model and the product blueprint quality evaluator. When prediction accuracy falls below a configurable threshold (default: F1 &lt; 0.82 on held-out validation set), the agent automatically triggers a retraining pipeline, loads the latest signal data, trains a new model version, runs evaluation, and promotes it to production if it passes quality gates — all without human intervention.</w:t>
      </w:r>
    </w:p>
    <w:p>
      <w:pPr>
        <w:spacing w:after="0" w:before="80"/>
      </w:pPr>
    </w:p>
    <w:p>
      <w:pPr>
        <w:pStyle w:val="Heading2"/>
        <w:spacing w:after="160" w:before="320"/>
      </w:pPr>
      <w:r>
        <w:rPr>
          <w:rFonts w:ascii="Arial" w:cs="Arial" w:eastAsia="Arial" w:hAnsi="Arial"/>
          <w:b/>
          <w:bCs/>
          <w:color w:val="0F3460"/>
          <w:sz w:val="28"/>
          <w:szCs w:val="28"/>
        </w:rPr>
        <w:t xml:space="preserve">3.5 Intelligence Synthesis Layer</w:t>
      </w:r>
    </w:p>
    <w:p>
      <w:pPr>
        <w:pStyle w:val="Heading3"/>
        <w:spacing w:after="120" w:before="240"/>
      </w:pPr>
      <w:r>
        <w:rPr>
          <w:rFonts w:ascii="Arial" w:cs="Arial" w:eastAsia="Arial" w:hAnsi="Arial"/>
          <w:b/>
          <w:bCs/>
          <w:color w:val="4A4E69"/>
          <w:sz w:val="24"/>
          <w:szCs w:val="24"/>
        </w:rPr>
        <w:t xml:space="preserve">3.5.1 Trend Prediction Engine</w:t>
      </w:r>
    </w:p>
    <w:p>
      <w:pPr>
        <w:spacing w:after="120" w:before="80"/>
      </w:pPr>
      <w:r>
        <w:rPr>
          <w:rFonts w:ascii="Arial" w:cs="Arial" w:eastAsia="Arial" w:hAnsi="Arial"/>
          <w:color w:val="22223B"/>
          <w:sz w:val="22"/>
          <w:szCs w:val="22"/>
        </w:rPr>
        <w:t xml:space="preserve">The Trend Prediction Engine is the primary intelligence product. It maintains a ranked leaderboard of emerging AI techniques, updated hourly. Each technique entry includes:</w:t>
      </w:r>
    </w:p>
    <w:p>
      <w:pPr>
        <w:pStyle w:val="ListParagraph"/>
        <w:numPr>
          <w:ilvl w:val="0"/>
          <w:numId w:val="2"/>
        </w:numPr>
        <w:spacing w:after="60" w:before="40"/>
      </w:pPr>
      <w:r>
        <w:rPr>
          <w:rFonts w:ascii="Arial" w:cs="Arial" w:eastAsia="Arial" w:hAnsi="Arial"/>
          <w:color w:val="22223B"/>
          <w:sz w:val="22"/>
          <w:szCs w:val="22"/>
        </w:rPr>
        <w:t xml:space="preserve">Emergence score: A composite metric weighting novelty, cross-source signal strength, citation velocity, and GitHub star acceleration.</w:t>
      </w:r>
    </w:p>
    <w:p>
      <w:pPr>
        <w:pStyle w:val="ListParagraph"/>
        <w:numPr>
          <w:ilvl w:val="0"/>
          <w:numId w:val="2"/>
        </w:numPr>
        <w:spacing w:after="60" w:before="40"/>
      </w:pPr>
      <w:r>
        <w:rPr>
          <w:rFonts w:ascii="Arial" w:cs="Arial" w:eastAsia="Arial" w:hAnsi="Arial"/>
          <w:color w:val="22223B"/>
          <w:sz w:val="22"/>
          <w:szCs w:val="22"/>
        </w:rPr>
        <w:t xml:space="preserve">Mainstream ETA: Estimated time until the technique appears in production systems at major tech companies, derived from historical base rates.</w:t>
      </w:r>
    </w:p>
    <w:p>
      <w:pPr>
        <w:pStyle w:val="ListParagraph"/>
        <w:numPr>
          <w:ilvl w:val="0"/>
          <w:numId w:val="2"/>
        </w:numPr>
        <w:spacing w:after="60" w:before="40"/>
      </w:pPr>
      <w:r>
        <w:rPr>
          <w:rFonts w:ascii="Arial" w:cs="Arial" w:eastAsia="Arial" w:hAnsi="Arial"/>
          <w:color w:val="22223B"/>
          <w:sz w:val="22"/>
          <w:szCs w:val="22"/>
        </w:rPr>
        <w:t xml:space="preserve">Competitive landscape: Which organizations are already working in this space (from patent assignee data and GitHub org analysis).</w:t>
      </w:r>
    </w:p>
    <w:p>
      <w:pPr>
        <w:pStyle w:val="ListParagraph"/>
        <w:numPr>
          <w:ilvl w:val="0"/>
          <w:numId w:val="2"/>
        </w:numPr>
        <w:spacing w:after="60" w:before="40"/>
      </w:pPr>
      <w:r>
        <w:rPr>
          <w:rFonts w:ascii="Arial" w:cs="Arial" w:eastAsia="Arial" w:hAnsi="Arial"/>
          <w:color w:val="22223B"/>
          <w:sz w:val="22"/>
          <w:szCs w:val="22"/>
        </w:rPr>
        <w:t xml:space="preserve">Risk factors: Patent thickets, dataset licensing issues, compute requirements, and regulatory considerations.</w:t>
      </w:r>
    </w:p>
    <w:p>
      <w:pPr>
        <w:pStyle w:val="ListParagraph"/>
        <w:numPr>
          <w:ilvl w:val="0"/>
          <w:numId w:val="2"/>
        </w:numPr>
        <w:spacing w:after="60" w:before="40"/>
      </w:pPr>
      <w:r>
        <w:rPr>
          <w:rFonts w:ascii="Arial" w:cs="Arial" w:eastAsia="Arial" w:hAnsi="Arial"/>
          <w:color w:val="22223B"/>
          <w:sz w:val="22"/>
          <w:szCs w:val="22"/>
        </w:rPr>
        <w:t xml:space="preserve">Related techniques: Semantic neighbors in the vector space, enabling users to understand the full research landscape around a topic.</w:t>
      </w:r>
    </w:p>
    <w:p>
      <w:pPr>
        <w:spacing w:after="0" w:before="80"/>
      </w:pPr>
    </w:p>
    <w:p>
      <w:pPr>
        <w:spacing w:after="120" w:before="80"/>
      </w:pPr>
      <w:r>
        <w:rPr>
          <w:rFonts w:ascii="Arial" w:cs="Arial" w:eastAsia="Arial" w:hAnsi="Arial"/>
          <w:color w:val="22223B"/>
          <w:sz w:val="22"/>
          <w:szCs w:val="22"/>
        </w:rPr>
        <w:t xml:space="preserve">The engine uses a multi-signal ensemble model: a Transformer-based temporal sequence model for detecting citation velocity inflection points, a graph neural network operating on the citation graph to identify structurally important papers, and a gradient boosting classifier for binary 'high-impact within 12 months' prediction. All three models vote, with weights tuned on historical validation data.</w:t>
      </w:r>
    </w:p>
    <w:p>
      <w:pPr>
        <w:spacing w:after="0" w:before="80"/>
      </w:pPr>
    </w:p>
    <w:p>
      <w:pPr>
        <w:pStyle w:val="Heading3"/>
        <w:spacing w:after="120" w:before="240"/>
      </w:pPr>
      <w:r>
        <w:rPr>
          <w:rFonts w:ascii="Arial" w:cs="Arial" w:eastAsia="Arial" w:hAnsi="Arial"/>
          <w:b/>
          <w:bCs/>
          <w:color w:val="4A4E69"/>
          <w:sz w:val="24"/>
          <w:szCs w:val="24"/>
        </w:rPr>
        <w:t xml:space="preserve">3.5.2 Product Blueprint Engine</w:t>
      </w:r>
    </w:p>
    <w:p>
      <w:pPr>
        <w:spacing w:after="120" w:before="80"/>
      </w:pPr>
      <w:r>
        <w:rPr>
          <w:rFonts w:ascii="Arial" w:cs="Arial" w:eastAsia="Arial" w:hAnsi="Arial"/>
          <w:color w:val="22223B"/>
          <w:sz w:val="22"/>
          <w:szCs w:val="22"/>
        </w:rPr>
        <w:t xml:space="preserve">For every high-scoring technique, the Product Blueprint Engine automatically generates a complete startup-ready product brief. The brief contains:</w:t>
      </w:r>
    </w:p>
    <w:p>
      <w:pPr>
        <w:pStyle w:val="ListParagraph"/>
        <w:numPr>
          <w:ilvl w:val="0"/>
          <w:numId w:val="2"/>
        </w:numPr>
        <w:spacing w:after="60" w:before="40"/>
      </w:pPr>
      <w:r>
        <w:rPr>
          <w:rFonts w:ascii="Arial" w:cs="Arial" w:eastAsia="Arial" w:hAnsi="Arial"/>
          <w:color w:val="22223B"/>
          <w:sz w:val="22"/>
          <w:szCs w:val="22"/>
        </w:rPr>
        <w:t xml:space="preserve">Problem statement: What user pain does this technique solve? Who experiences it? What is the market size?</w:t>
      </w:r>
    </w:p>
    <w:p>
      <w:pPr>
        <w:pStyle w:val="ListParagraph"/>
        <w:numPr>
          <w:ilvl w:val="0"/>
          <w:numId w:val="2"/>
        </w:numPr>
        <w:spacing w:after="60" w:before="40"/>
      </w:pPr>
      <w:r>
        <w:rPr>
          <w:rFonts w:ascii="Arial" w:cs="Arial" w:eastAsia="Arial" w:hAnsi="Arial"/>
          <w:color w:val="22223B"/>
          <w:sz w:val="22"/>
          <w:szCs w:val="22"/>
        </w:rPr>
        <w:t xml:space="preserve">Technical implementation path: A concrete description of how to build a product using this technique, including architecture decisions, key engineering challenges, and suggested technology stack.</w:t>
      </w:r>
    </w:p>
    <w:p>
      <w:pPr>
        <w:pStyle w:val="ListParagraph"/>
        <w:numPr>
          <w:ilvl w:val="0"/>
          <w:numId w:val="2"/>
        </w:numPr>
        <w:spacing w:after="60" w:before="40"/>
      </w:pPr>
      <w:r>
        <w:rPr>
          <w:rFonts w:ascii="Arial" w:cs="Arial" w:eastAsia="Arial" w:hAnsi="Arial"/>
          <w:color w:val="22223B"/>
          <w:sz w:val="22"/>
          <w:szCs w:val="22"/>
        </w:rPr>
        <w:t xml:space="preserve">Differentiation strategy: How a product built on this technique would differ from existing solutions, and what moats it could build (data, network effects, IP, switching costs).</w:t>
      </w:r>
    </w:p>
    <w:p>
      <w:pPr>
        <w:pStyle w:val="ListParagraph"/>
        <w:numPr>
          <w:ilvl w:val="0"/>
          <w:numId w:val="2"/>
        </w:numPr>
        <w:spacing w:after="60" w:before="40"/>
      </w:pPr>
      <w:r>
        <w:rPr>
          <w:rFonts w:ascii="Arial" w:cs="Arial" w:eastAsia="Arial" w:hAnsi="Arial"/>
          <w:color w:val="22223B"/>
          <w:sz w:val="22"/>
          <w:szCs w:val="22"/>
        </w:rPr>
        <w:t xml:space="preserve">Dataset requirements: What training data would be needed, with specific recommendations for public datasets, synthetic data generation strategies, and proprietary data collection approaches.</w:t>
      </w:r>
    </w:p>
    <w:p>
      <w:pPr>
        <w:pStyle w:val="ListParagraph"/>
        <w:numPr>
          <w:ilvl w:val="0"/>
          <w:numId w:val="2"/>
        </w:numPr>
        <w:spacing w:after="60" w:before="40"/>
      </w:pPr>
      <w:r>
        <w:rPr>
          <w:rFonts w:ascii="Arial" w:cs="Arial" w:eastAsia="Arial" w:hAnsi="Arial"/>
          <w:color w:val="22223B"/>
          <w:sz w:val="22"/>
          <w:szCs w:val="22"/>
        </w:rPr>
        <w:t xml:space="preserve">Go-to-market narrative: Target customer segment, acquisition channel hypothesis, pricing model suggestion, and first 90-day milestones.</w:t>
      </w:r>
    </w:p>
    <w:p>
      <w:pPr>
        <w:pStyle w:val="ListParagraph"/>
        <w:numPr>
          <w:ilvl w:val="0"/>
          <w:numId w:val="2"/>
        </w:numPr>
        <w:spacing w:after="60" w:before="40"/>
      </w:pPr>
      <w:r>
        <w:rPr>
          <w:rFonts w:ascii="Arial" w:cs="Arial" w:eastAsia="Arial" w:hAnsi="Arial"/>
          <w:color w:val="22223B"/>
          <w:sz w:val="22"/>
          <w:szCs w:val="22"/>
        </w:rPr>
        <w:t xml:space="preserve">Risk assessment: Technical risks (does the technique generalize?), market risks (is there real demand?), and competitive risks (who else is building this?).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94560" w:sz="4"/>
              <w:left w:val="single" w:color="E94560" w:sz="4"/>
              <w:bottom w:val="single" w:color="E94560" w:sz="4"/>
              <w:right w:val="single" w:color="E94560"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EXAMPLE</w:t>
            </w:r>
          </w:p>
        </w:tc>
        <w:tc>
          <w:tcPr>
            <w:tcW w:type="dxa" w:w="8360"/>
            <w:tcBorders>
              <w:top w:val="single" w:color="EEEEEE" w:sz="4"/>
              <w:left w:val="single" w:color="EEEEEE" w:sz="4"/>
              <w:bottom w:val="single" w:color="EEEEEE" w:sz="4"/>
              <w:right w:val="single" w:color="EEEEEE" w:sz="4"/>
            </w:tcBorders>
            <w:shd w:fill="F9F9FB" w:val="clear"/>
            <w:tcMar>
              <w:top w:type="dxa" w:w="100"/>
              <w:left w:type="dxa" w:w="160"/>
              <w:bottom w:type="dxa" w:w="100"/>
              <w:right w:type="dxa" w:w="160"/>
            </w:tcMar>
          </w:tcPr>
          <w:p>
            <w:r>
              <w:rPr>
                <w:rFonts w:ascii="Arial" w:cs="Arial" w:eastAsia="Arial" w:hAnsi="Arial"/>
                <w:color w:val="22223B"/>
                <w:sz w:val="21"/>
                <w:szCs w:val="21"/>
              </w:rPr>
              <w:t xml:space="preserve">Input: 'Mamba state space models' paper. Output: Blueprint for a document intelligence product that processes 100x longer documents than transformer-based competitors, with a SaaS pricing model targeting legal and compliance teams.</w:t>
            </w:r>
          </w:p>
        </w:tc>
      </w:tr>
    </w:tbl>
    <w:p>
      <w:pPr>
        <w:spacing w:after="0" w:before="80"/>
      </w:pPr>
    </w:p>
    <w:p>
      <w:pPr>
        <w:pStyle w:val="Heading3"/>
        <w:spacing w:after="120" w:before="240"/>
      </w:pPr>
      <w:r>
        <w:rPr>
          <w:rFonts w:ascii="Arial" w:cs="Arial" w:eastAsia="Arial" w:hAnsi="Arial"/>
          <w:b/>
          <w:bCs/>
          <w:color w:val="4A4E69"/>
          <w:sz w:val="24"/>
          <w:szCs w:val="24"/>
        </w:rPr>
        <w:t xml:space="preserve">3.5.3 ML Pipeline Generator</w:t>
      </w:r>
    </w:p>
    <w:p>
      <w:pPr>
        <w:spacing w:after="120" w:before="80"/>
      </w:pPr>
      <w:r>
        <w:rPr>
          <w:rFonts w:ascii="Arial" w:cs="Arial" w:eastAsia="Arial" w:hAnsi="Arial"/>
          <w:color w:val="22223B"/>
          <w:sz w:val="22"/>
          <w:szCs w:val="22"/>
        </w:rPr>
        <w:t xml:space="preserve">For product ideas that require a machine learning component, VectorMinds auto-generates the entire training pipeline. This is the most technically ambitious component of the platform. The pipeline generator:</w:t>
      </w:r>
    </w:p>
    <w:p>
      <w:pPr>
        <w:pStyle w:val="ListParagraph"/>
        <w:numPr>
          <w:ilvl w:val="0"/>
          <w:numId w:val="2"/>
        </w:numPr>
        <w:spacing w:after="60" w:before="40"/>
      </w:pPr>
      <w:r>
        <w:rPr>
          <w:rFonts w:ascii="Arial" w:cs="Arial" w:eastAsia="Arial" w:hAnsi="Arial"/>
          <w:color w:val="22223B"/>
          <w:sz w:val="22"/>
          <w:szCs w:val="22"/>
        </w:rPr>
        <w:t xml:space="preserve">Parses the research paper and product blueprint to identify the ML task type (classification, regression, generation, retrieval, etc.)</w:t>
      </w:r>
    </w:p>
    <w:p>
      <w:pPr>
        <w:pStyle w:val="ListParagraph"/>
        <w:numPr>
          <w:ilvl w:val="0"/>
          <w:numId w:val="2"/>
        </w:numPr>
        <w:spacing w:after="60" w:before="40"/>
      </w:pPr>
      <w:r>
        <w:rPr>
          <w:rFonts w:ascii="Arial" w:cs="Arial" w:eastAsia="Arial" w:hAnsi="Arial"/>
          <w:color w:val="22223B"/>
          <w:sz w:val="22"/>
          <w:szCs w:val="22"/>
        </w:rPr>
        <w:t xml:space="preserve">Searches and ranks publicly available datasets on HuggingFace Hub, Kaggle, and domain-specific repositories using semantic matching against the task description</w:t>
      </w:r>
    </w:p>
    <w:p>
      <w:pPr>
        <w:pStyle w:val="ListParagraph"/>
        <w:numPr>
          <w:ilvl w:val="0"/>
          <w:numId w:val="2"/>
        </w:numPr>
        <w:spacing w:after="60" w:before="40"/>
      </w:pPr>
      <w:r>
        <w:rPr>
          <w:rFonts w:ascii="Arial" w:cs="Arial" w:eastAsia="Arial" w:hAnsi="Arial"/>
          <w:color w:val="22223B"/>
          <w:sz w:val="22"/>
          <w:szCs w:val="22"/>
        </w:rPr>
        <w:t xml:space="preserve">Generates a fully configured Jupyter notebook with: dataset loading code, preprocessing pipeline, model architecture (using HuggingFace Transformers or PyTorch), training loop with configurable hyperparameters, evaluation metrics, and model export code</w:t>
      </w:r>
    </w:p>
    <w:p>
      <w:pPr>
        <w:pStyle w:val="ListParagraph"/>
        <w:numPr>
          <w:ilvl w:val="0"/>
          <w:numId w:val="2"/>
        </w:numPr>
        <w:spacing w:after="60" w:before="40"/>
      </w:pPr>
      <w:r>
        <w:rPr>
          <w:rFonts w:ascii="Arial" w:cs="Arial" w:eastAsia="Arial" w:hAnsi="Arial"/>
          <w:color w:val="22223B"/>
          <w:sz w:val="22"/>
          <w:szCs w:val="22"/>
        </w:rPr>
        <w:t xml:space="preserve">Injects the notebook into Google Colab with a pre-configured runtime (A100 GPU for large models, T4 for smaller ones), sets memory allocation, and installs all dependencies</w:t>
      </w:r>
    </w:p>
    <w:p>
      <w:pPr>
        <w:pStyle w:val="ListParagraph"/>
        <w:numPr>
          <w:ilvl w:val="0"/>
          <w:numId w:val="2"/>
        </w:numPr>
        <w:spacing w:after="60" w:before="40"/>
      </w:pPr>
      <w:r>
        <w:rPr>
          <w:rFonts w:ascii="Arial" w:cs="Arial" w:eastAsia="Arial" w:hAnsi="Arial"/>
          <w:color w:val="22223B"/>
          <w:sz w:val="22"/>
          <w:szCs w:val="22"/>
        </w:rPr>
        <w:t xml:space="preserve">Launches training autonomously, monitors loss curves, detects divergence or NaN losses and applies automatic corrective actions (learning rate reduction, gradient clipping)</w:t>
      </w:r>
    </w:p>
    <w:p>
      <w:pPr>
        <w:pStyle w:val="ListParagraph"/>
        <w:numPr>
          <w:ilvl w:val="0"/>
          <w:numId w:val="2"/>
        </w:numPr>
        <w:spacing w:after="60" w:before="40"/>
      </w:pPr>
      <w:r>
        <w:rPr>
          <w:rFonts w:ascii="Arial" w:cs="Arial" w:eastAsia="Arial" w:hAnsi="Arial"/>
          <w:color w:val="22223B"/>
          <w:sz w:val="22"/>
          <w:szCs w:val="22"/>
        </w:rPr>
        <w:t xml:space="preserve">Upon completion, exports the trained model to HuggingFace Hub (private repo) and generates a model card with performance metrics, training data provenance, and inference instructions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94560" w:sz="4"/>
              <w:left w:val="single" w:color="E94560" w:sz="4"/>
              <w:bottom w:val="single" w:color="E94560" w:sz="4"/>
              <w:right w:val="single" w:color="E94560"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AUTOMATION DEPTH</w:t>
            </w:r>
          </w:p>
        </w:tc>
        <w:tc>
          <w:tcPr>
            <w:tcW w:type="dxa" w:w="8360"/>
            <w:tcBorders>
              <w:top w:val="single" w:color="EEEEEE" w:sz="4"/>
              <w:left w:val="single" w:color="EEEEEE" w:sz="4"/>
              <w:bottom w:val="single" w:color="EEEEEE" w:sz="4"/>
              <w:right w:val="single" w:color="EEEEEE" w:sz="4"/>
            </w:tcBorders>
            <w:shd w:fill="F9F9FB" w:val="clear"/>
            <w:tcMar>
              <w:top w:type="dxa" w:w="100"/>
              <w:left w:type="dxa" w:w="160"/>
              <w:bottom w:type="dxa" w:w="100"/>
              <w:right w:type="dxa" w:w="160"/>
            </w:tcMar>
          </w:tcPr>
          <w:p>
            <w:r>
              <w:rPr>
                <w:rFonts w:ascii="Arial" w:cs="Arial" w:eastAsia="Arial" w:hAnsi="Arial"/>
                <w:color w:val="22223B"/>
                <w:sz w:val="21"/>
                <w:szCs w:val="21"/>
              </w:rPr>
              <w:t xml:space="preserve">Zero human steps required from 'interesting paper' to 'trained model artifact ready for inference'. The only human decision is which paper to target.</w:t>
            </w:r>
          </w:p>
        </w:tc>
      </w:tr>
    </w:tbl>
    <w:p>
      <w:pPr>
        <w:spacing w:after="0" w:before="80"/>
      </w:pPr>
    </w:p>
    <w:p>
      <w:pPr>
        <w:pStyle w:val="Heading2"/>
        <w:spacing w:after="160" w:before="320"/>
      </w:pPr>
      <w:r>
        <w:rPr>
          <w:rFonts w:ascii="Arial" w:cs="Arial" w:eastAsia="Arial" w:hAnsi="Arial"/>
          <w:b/>
          <w:bCs/>
          <w:color w:val="0F3460"/>
          <w:sz w:val="28"/>
          <w:szCs w:val="28"/>
        </w:rPr>
        <w:t xml:space="preserve">3.6 Delivery Layer</w:t>
      </w:r>
    </w:p>
    <w:p>
      <w:pPr>
        <w:spacing w:after="120" w:before="80"/>
      </w:pPr>
      <w:r>
        <w:rPr>
          <w:rFonts w:ascii="Arial" w:cs="Arial" w:eastAsia="Arial" w:hAnsi="Arial"/>
          <w:color w:val="22223B"/>
          <w:sz w:val="22"/>
          <w:szCs w:val="22"/>
        </w:rPr>
        <w:t xml:space="preserve">Research intelligence is only valuable if it reaches decision-makers at the right moment. VectorMinds delivers insights through four channels:</w:t>
      </w:r>
    </w:p>
    <w:p>
      <w:pPr>
        <w:spacing w:after="0" w:before="80"/>
      </w:pPr>
    </w:p>
    <w:p>
      <w:pPr>
        <w:pStyle w:val="Heading3"/>
        <w:spacing w:after="120" w:before="240"/>
      </w:pPr>
      <w:r>
        <w:rPr>
          <w:rFonts w:ascii="Arial" w:cs="Arial" w:eastAsia="Arial" w:hAnsi="Arial"/>
          <w:b/>
          <w:bCs/>
          <w:color w:val="4A4E69"/>
          <w:sz w:val="24"/>
          <w:szCs w:val="24"/>
        </w:rPr>
        <w:t xml:space="preserve">3.6.1 Interactive Dashboard</w:t>
      </w:r>
    </w:p>
    <w:p>
      <w:pPr>
        <w:spacing w:after="120" w:before="80"/>
      </w:pPr>
      <w:r>
        <w:rPr>
          <w:rFonts w:ascii="Arial" w:cs="Arial" w:eastAsia="Arial" w:hAnsi="Arial"/>
          <w:color w:val="22223B"/>
          <w:sz w:val="22"/>
          <w:szCs w:val="22"/>
        </w:rPr>
        <w:t xml:space="preserve">A web-based dashboard (React + D3.js) displays the live trend leaderboard, a semantic map of the research landscape (t-SNE/UMAP visualization of the vector space), active training pipeline status, and the model portfolio. Users can filter by domain, time horizon, and confidence level. Clicking any trend drills into the full technical brief, associated papers, product blueprints, and training pipeline launcher.</w:t>
      </w:r>
    </w:p>
    <w:p>
      <w:pPr>
        <w:spacing w:after="0" w:before="80"/>
      </w:pPr>
    </w:p>
    <w:p>
      <w:pPr>
        <w:pStyle w:val="Heading3"/>
        <w:spacing w:after="120" w:before="240"/>
      </w:pPr>
      <w:r>
        <w:rPr>
          <w:rFonts w:ascii="Arial" w:cs="Arial" w:eastAsia="Arial" w:hAnsi="Arial"/>
          <w:b/>
          <w:bCs/>
          <w:color w:val="4A4E69"/>
          <w:sz w:val="24"/>
          <w:szCs w:val="24"/>
        </w:rPr>
        <w:t xml:space="preserve">3.6.2 Telegram Alerts</w:t>
      </w:r>
    </w:p>
    <w:p>
      <w:pPr>
        <w:spacing w:after="120" w:before="80"/>
      </w:pPr>
      <w:r>
        <w:rPr>
          <w:rFonts w:ascii="Arial" w:cs="Arial" w:eastAsia="Arial" w:hAnsi="Arial"/>
          <w:color w:val="22223B"/>
          <w:sz w:val="22"/>
          <w:szCs w:val="22"/>
        </w:rPr>
        <w:t xml:space="preserve">The Telegram bot delivers push notifications when: a new technique crosses the 'high-impact' threshold, a training pipeline completes, a competitor files a patent in a monitored space, or a trend the user previously dismissed re-emerges with stronger signals. Alerts are configurable by domain, confidence threshold, and delivery schedule (immediate / digest / weekly).</w:t>
      </w:r>
    </w:p>
    <w:p>
      <w:pPr>
        <w:spacing w:after="0" w:before="80"/>
      </w:pPr>
    </w:p>
    <w:p>
      <w:pPr>
        <w:pStyle w:val="Heading3"/>
        <w:spacing w:after="120" w:before="240"/>
      </w:pPr>
      <w:r>
        <w:rPr>
          <w:rFonts w:ascii="Arial" w:cs="Arial" w:eastAsia="Arial" w:hAnsi="Arial"/>
          <w:b/>
          <w:bCs/>
          <w:color w:val="4A4E69"/>
          <w:sz w:val="24"/>
          <w:szCs w:val="24"/>
        </w:rPr>
        <w:t xml:space="preserve">3.6.3 REST API</w:t>
      </w:r>
    </w:p>
    <w:p>
      <w:pPr>
        <w:spacing w:after="120" w:before="80"/>
      </w:pPr>
      <w:r>
        <w:rPr>
          <w:rFonts w:ascii="Arial" w:cs="Arial" w:eastAsia="Arial" w:hAnsi="Arial"/>
          <w:color w:val="22223B"/>
          <w:sz w:val="22"/>
          <w:szCs w:val="22"/>
        </w:rPr>
        <w:t xml:space="preserve">A fully documented REST API allows programmatic access to all platform capabilities: querying the trend leaderboard, retrieving product blueprints, triggering pipeline generation, and polling training status. Designed for integration with existing R&amp;D workflow tools (Notion, Jira, Confluence, Slack).</w:t>
      </w:r>
    </w:p>
    <w:p>
      <w:pPr>
        <w:spacing w:after="0" w:before="80"/>
      </w:pPr>
    </w:p>
    <w:p>
      <w:pPr>
        <w:pStyle w:val="Heading3"/>
        <w:spacing w:after="120" w:before="240"/>
      </w:pPr>
      <w:r>
        <w:rPr>
          <w:rFonts w:ascii="Arial" w:cs="Arial" w:eastAsia="Arial" w:hAnsi="Arial"/>
          <w:b/>
          <w:bCs/>
          <w:color w:val="4A4E69"/>
          <w:sz w:val="24"/>
          <w:szCs w:val="24"/>
        </w:rPr>
        <w:t xml:space="preserve">3.6.4 Model Artifact Export</w:t>
      </w:r>
    </w:p>
    <w:p>
      <w:pPr>
        <w:spacing w:after="120" w:before="80"/>
      </w:pPr>
      <w:r>
        <w:rPr>
          <w:rFonts w:ascii="Arial" w:cs="Arial" w:eastAsia="Arial" w:hAnsi="Arial"/>
          <w:color w:val="22223B"/>
          <w:sz w:val="22"/>
          <w:szCs w:val="22"/>
        </w:rPr>
        <w:t xml:space="preserve">Trained models are exported in three formats: HuggingFace-compatible safetensors (for immediate deployment), ONNX (for edge deployment), and TensorFlow SavedModel (for TFX pipelines). Each export includes a complete inference wrapper with pre/post-processing, a FastAPI inference server scaffold, and a Docker container definition ready for deployment.</w:t>
      </w:r>
    </w:p>
    <w:p>
      <w:pPr>
        <w:pBdr>
          <w:bottom w:val="single" w:color="DDDDDD" w:sz="4" w:space="1"/>
        </w:pBdr>
        <w:spacing w:after="200" w:before="200"/>
      </w:pPr>
    </w:p>
    <w:p>
      <w:pPr>
        <w:pStyle w:val="Heading1"/>
        <w:pBdr>
          <w:bottom w:val="single" w:color="E94560" w:sz="8" w:space="4"/>
        </w:pBdr>
        <w:spacing w:after="200" w:before="400"/>
      </w:pPr>
      <w:r>
        <w:rPr>
          <w:rFonts w:ascii="Arial" w:cs="Arial" w:eastAsia="Arial" w:hAnsi="Arial"/>
          <w:b/>
          <w:bCs/>
          <w:color w:val="1A1A2E"/>
          <w:sz w:val="36"/>
          <w:szCs w:val="36"/>
        </w:rPr>
        <w:t xml:space="preserve">4. Technical Architecture Deep Dive</w:t>
      </w:r>
    </w:p>
    <w:p>
      <w:pPr>
        <w:pStyle w:val="Heading2"/>
        <w:spacing w:after="160" w:before="320"/>
      </w:pPr>
      <w:r>
        <w:rPr>
          <w:rFonts w:ascii="Arial" w:cs="Arial" w:eastAsia="Arial" w:hAnsi="Arial"/>
          <w:b/>
          <w:bCs/>
          <w:color w:val="0F3460"/>
          <w:sz w:val="28"/>
          <w:szCs w:val="28"/>
        </w:rPr>
        <w:t xml:space="preserve">4.1 Agent Communication Protocol</w:t>
      </w:r>
    </w:p>
    <w:p>
      <w:pPr>
        <w:spacing w:after="120" w:before="80"/>
      </w:pPr>
      <w:r>
        <w:rPr>
          <w:rFonts w:ascii="Arial" w:cs="Arial" w:eastAsia="Arial" w:hAnsi="Arial"/>
          <w:color w:val="22223B"/>
          <w:sz w:val="22"/>
          <w:szCs w:val="22"/>
        </w:rPr>
        <w:t xml:space="preserve">OpenClaw agents communicate through a shared message bus (Apache Kafka). Each agent publishes typed events to topic channels. The event schema is versioned using Avro, with a schema registry ensuring backward compatibility. Agents subscribe to relevant topics and process events asynchronously, enabling horizontal scaling of any agent type independently.</w:t>
      </w:r>
    </w:p>
    <w:p>
      <w:pPr>
        <w:spacing w:after="0" w:before="80"/>
      </w:pPr>
    </w:p>
    <w:p>
      <w:pPr>
        <w:spacing w:after="120" w:before="80"/>
      </w:pPr>
      <w:r>
        <w:rPr>
          <w:rFonts w:ascii="Arial" w:cs="Arial" w:eastAsia="Arial" w:hAnsi="Arial"/>
          <w:color w:val="22223B"/>
          <w:sz w:val="22"/>
          <w:szCs w:val="22"/>
        </w:rPr>
        <w:t xml:space="preserve">Agent state is checkpointed to a PostgreSQL database every 60 seconds. If an agent crashes, it restarts from the last checkpoint with no data loss. Long-running tasks (e.g., a 3-hour GPU training run) are tracked by the Retraining Agent with heartbeat pings every 5 minutes.</w:t>
      </w:r>
    </w:p>
    <w:p>
      <w:pPr>
        <w:spacing w:after="0" w:before="80"/>
      </w:pPr>
    </w:p>
    <w:p>
      <w:pPr>
        <w:pStyle w:val="Heading2"/>
        <w:spacing w:after="160" w:before="320"/>
      </w:pPr>
      <w:r>
        <w:rPr>
          <w:rFonts w:ascii="Arial" w:cs="Arial" w:eastAsia="Arial" w:hAnsi="Arial"/>
          <w:b/>
          <w:bCs/>
          <w:color w:val="0F3460"/>
          <w:sz w:val="28"/>
          <w:szCs w:val="28"/>
        </w:rPr>
        <w:t xml:space="preserve">4.2 The Novelty Scoring Algorithm</w:t>
      </w:r>
    </w:p>
    <w:p>
      <w:pPr>
        <w:spacing w:after="120" w:before="80"/>
      </w:pPr>
      <w:r>
        <w:rPr>
          <w:rFonts w:ascii="Arial" w:cs="Arial" w:eastAsia="Arial" w:hAnsi="Arial"/>
          <w:color w:val="22223B"/>
          <w:sz w:val="22"/>
          <w:szCs w:val="22"/>
        </w:rPr>
        <w:t xml:space="preserve">The novelty score for any incoming research signal is computed as:</w:t>
      </w:r>
    </w:p>
    <w:p>
      <w:pPr>
        <w:pStyle w:val="ListParagraph"/>
        <w:numPr>
          <w:ilvl w:val="0"/>
          <w:numId w:val="2"/>
        </w:numPr>
        <w:spacing w:after="60" w:before="40"/>
      </w:pPr>
      <w:r>
        <w:rPr>
          <w:rFonts w:ascii="Arial" w:cs="Arial" w:eastAsia="Arial" w:hAnsi="Arial"/>
          <w:color w:val="22223B"/>
          <w:sz w:val="22"/>
          <w:szCs w:val="22"/>
        </w:rPr>
        <w:t xml:space="preserve">Step 1: Embed the signal using BGE-M3 to produce a 1024-dimensional vector v.</w:t>
      </w:r>
    </w:p>
    <w:p>
      <w:pPr>
        <w:pStyle w:val="ListParagraph"/>
        <w:numPr>
          <w:ilvl w:val="0"/>
          <w:numId w:val="2"/>
        </w:numPr>
        <w:spacing w:after="60" w:before="40"/>
      </w:pPr>
      <w:r>
        <w:rPr>
          <w:rFonts w:ascii="Arial" w:cs="Arial" w:eastAsia="Arial" w:hAnsi="Arial"/>
          <w:color w:val="22223B"/>
          <w:sz w:val="22"/>
          <w:szCs w:val="22"/>
        </w:rPr>
        <w:t xml:space="preserve">Step 2: Retrieve the 50 nearest neighbors from the Qdrant vector store using HNSW approximate nearest neighbor search.</w:t>
      </w:r>
    </w:p>
    <w:p>
      <w:pPr>
        <w:pStyle w:val="ListParagraph"/>
        <w:numPr>
          <w:ilvl w:val="0"/>
          <w:numId w:val="2"/>
        </w:numPr>
        <w:spacing w:after="60" w:before="40"/>
      </w:pPr>
      <w:r>
        <w:rPr>
          <w:rFonts w:ascii="Arial" w:cs="Arial" w:eastAsia="Arial" w:hAnsi="Arial"/>
          <w:color w:val="22223B"/>
          <w:sz w:val="22"/>
          <w:szCs w:val="22"/>
        </w:rPr>
        <w:t xml:space="preserve">Step 3: Compute the mean distance to the 50 neighbors (d_mean) and the minimum distance (d_min).</w:t>
      </w:r>
    </w:p>
    <w:p>
      <w:pPr>
        <w:pStyle w:val="ListParagraph"/>
        <w:numPr>
          <w:ilvl w:val="0"/>
          <w:numId w:val="2"/>
        </w:numPr>
        <w:spacing w:after="60" w:before="40"/>
      </w:pPr>
      <w:r>
        <w:rPr>
          <w:rFonts w:ascii="Arial" w:cs="Arial" w:eastAsia="Arial" w:hAnsi="Arial"/>
          <w:color w:val="22223B"/>
          <w:sz w:val="22"/>
          <w:szCs w:val="22"/>
        </w:rPr>
        <w:t xml:space="preserve">Step 4: Novelty = 0.6 * d_mean + 0.4 * d_min, normalized to [0, 1] using the empirical distribution of distances over the last 30 days.</w:t>
      </w:r>
    </w:p>
    <w:p>
      <w:pPr>
        <w:pStyle w:val="ListParagraph"/>
        <w:numPr>
          <w:ilvl w:val="0"/>
          <w:numId w:val="2"/>
        </w:numPr>
        <w:spacing w:after="60" w:before="40"/>
      </w:pPr>
      <w:r>
        <w:rPr>
          <w:rFonts w:ascii="Arial" w:cs="Arial" w:eastAsia="Arial" w:hAnsi="Arial"/>
          <w:color w:val="22223B"/>
          <w:sz w:val="22"/>
          <w:szCs w:val="22"/>
        </w:rPr>
        <w:t xml:space="preserve">Step 5: Apply a temporal discount factor: signals that arrive simultaneously with similar signals (within 72 hours) receive a 0.7 multiplier, as simultaneous discovery is a strong signal of a Zeitgeist moment rather than a lone breakthrough.</w:t>
      </w:r>
    </w:p>
    <w:p>
      <w:pPr>
        <w:spacing w:after="0" w:before="80"/>
      </w:pPr>
    </w:p>
    <w:p>
      <w:pPr>
        <w:pStyle w:val="Heading2"/>
        <w:spacing w:after="160" w:before="320"/>
      </w:pPr>
      <w:r>
        <w:rPr>
          <w:rFonts w:ascii="Arial" w:cs="Arial" w:eastAsia="Arial" w:hAnsi="Arial"/>
          <w:b/>
          <w:bCs/>
          <w:color w:val="0F3460"/>
          <w:sz w:val="28"/>
          <w:szCs w:val="28"/>
        </w:rPr>
        <w:t xml:space="preserve">4.3 Impact Prediction Model</w:t>
      </w:r>
    </w:p>
    <w:p>
      <w:pPr>
        <w:spacing w:after="120" w:before="80"/>
      </w:pPr>
      <w:r>
        <w:rPr>
          <w:rFonts w:ascii="Arial" w:cs="Arial" w:eastAsia="Arial" w:hAnsi="Arial"/>
          <w:color w:val="22223B"/>
          <w:sz w:val="22"/>
          <w:szCs w:val="22"/>
        </w:rPr>
        <w:t xml:space="preserve">The impact prediction model is trained on a proprietary dataset of 50,000 research papers published between 2015 and 2022, labeled with their 'time to mainstream adoption' (defined as the first appearance of the technique in a top-100 AI product or a Forbes 500 company engineering blog). Features include:</w:t>
      </w:r>
    </w:p>
    <w:p>
      <w:pPr>
        <w:pStyle w:val="ListParagraph"/>
        <w:numPr>
          <w:ilvl w:val="0"/>
          <w:numId w:val="2"/>
        </w:numPr>
        <w:spacing w:after="60" w:before="40"/>
      </w:pPr>
      <w:r>
        <w:rPr>
          <w:rFonts w:ascii="Arial" w:cs="Arial" w:eastAsia="Arial" w:hAnsi="Arial"/>
          <w:color w:val="22223B"/>
          <w:sz w:val="22"/>
          <w:szCs w:val="22"/>
        </w:rPr>
        <w:t xml:space="preserve">Novelty score at time of publication</w:t>
      </w:r>
    </w:p>
    <w:p>
      <w:pPr>
        <w:pStyle w:val="ListParagraph"/>
        <w:numPr>
          <w:ilvl w:val="0"/>
          <w:numId w:val="2"/>
        </w:numPr>
        <w:spacing w:after="60" w:before="40"/>
      </w:pPr>
      <w:r>
        <w:rPr>
          <w:rFonts w:ascii="Arial" w:cs="Arial" w:eastAsia="Arial" w:hAnsi="Arial"/>
          <w:color w:val="22223B"/>
          <w:sz w:val="22"/>
          <w:szCs w:val="22"/>
        </w:rPr>
        <w:t xml:space="preserve">Author citation H-index (maximum in author list)</w:t>
      </w:r>
    </w:p>
    <w:p>
      <w:pPr>
        <w:pStyle w:val="ListParagraph"/>
        <w:numPr>
          <w:ilvl w:val="0"/>
          <w:numId w:val="2"/>
        </w:numPr>
        <w:spacing w:after="60" w:before="40"/>
      </w:pPr>
      <w:r>
        <w:rPr>
          <w:rFonts w:ascii="Arial" w:cs="Arial" w:eastAsia="Arial" w:hAnsi="Arial"/>
          <w:color w:val="22223B"/>
          <w:sz w:val="22"/>
          <w:szCs w:val="22"/>
        </w:rPr>
        <w:t xml:space="preserve">Institution prestige score (trained separately on historical NeurIPS acceptance rates)</w:t>
      </w:r>
    </w:p>
    <w:p>
      <w:pPr>
        <w:pStyle w:val="ListParagraph"/>
        <w:numPr>
          <w:ilvl w:val="0"/>
          <w:numId w:val="2"/>
        </w:numPr>
        <w:spacing w:after="60" w:before="40"/>
      </w:pPr>
      <w:r>
        <w:rPr>
          <w:rFonts w:ascii="Arial" w:cs="Arial" w:eastAsia="Arial" w:hAnsi="Arial"/>
          <w:color w:val="22223B"/>
          <w:sz w:val="22"/>
          <w:szCs w:val="22"/>
        </w:rPr>
        <w:t xml:space="preserve">Abstract readability score (Flesch-Kincaid) — more readable papers get adopted faster</w:t>
      </w:r>
    </w:p>
    <w:p>
      <w:pPr>
        <w:pStyle w:val="ListParagraph"/>
        <w:numPr>
          <w:ilvl w:val="0"/>
          <w:numId w:val="2"/>
        </w:numPr>
        <w:spacing w:after="60" w:before="40"/>
      </w:pPr>
      <w:r>
        <w:rPr>
          <w:rFonts w:ascii="Arial" w:cs="Arial" w:eastAsia="Arial" w:hAnsi="Arial"/>
          <w:color w:val="22223B"/>
          <w:sz w:val="22"/>
          <w:szCs w:val="22"/>
        </w:rPr>
        <w:t xml:space="preserve">Number of figures (proxy for implementation clarity)</w:t>
      </w:r>
    </w:p>
    <w:p>
      <w:pPr>
        <w:pStyle w:val="ListParagraph"/>
        <w:numPr>
          <w:ilvl w:val="0"/>
          <w:numId w:val="2"/>
        </w:numPr>
        <w:spacing w:after="60" w:before="40"/>
      </w:pPr>
      <w:r>
        <w:rPr>
          <w:rFonts w:ascii="Arial" w:cs="Arial" w:eastAsia="Arial" w:hAnsi="Arial"/>
          <w:color w:val="22223B"/>
          <w:sz w:val="22"/>
          <w:szCs w:val="22"/>
        </w:rPr>
        <w:t xml:space="preserve">GitHub repo existence within 30 days of publication</w:t>
      </w:r>
    </w:p>
    <w:p>
      <w:pPr>
        <w:pStyle w:val="ListParagraph"/>
        <w:numPr>
          <w:ilvl w:val="0"/>
          <w:numId w:val="2"/>
        </w:numPr>
        <w:spacing w:after="60" w:before="40"/>
      </w:pPr>
      <w:r>
        <w:rPr>
          <w:rFonts w:ascii="Arial" w:cs="Arial" w:eastAsia="Arial" w:hAnsi="Arial"/>
          <w:color w:val="22223B"/>
          <w:sz w:val="22"/>
          <w:szCs w:val="22"/>
        </w:rPr>
        <w:t xml:space="preserve">Cross-domain citation potential (does the paper cite work from outside AI?)</w:t>
      </w:r>
    </w:p>
    <w:p>
      <w:pPr>
        <w:spacing w:after="0" w:before="80"/>
      </w:pPr>
    </w:p>
    <w:p>
      <w:pPr>
        <w:spacing w:after="120" w:before="80"/>
      </w:pPr>
      <w:r>
        <w:rPr>
          <w:rFonts w:ascii="Arial" w:cs="Arial" w:eastAsia="Arial" w:hAnsi="Arial"/>
          <w:color w:val="22223B"/>
          <w:sz w:val="22"/>
          <w:szCs w:val="22"/>
        </w:rPr>
        <w:t xml:space="preserve">The model is an ensemble of XGBoost and a small Transformer fine-tuned on paper abstracts. Validation F1 on held-out 2023 papers: 0.84 for 12-month prediction, 0.79 for 24-month prediction.</w:t>
      </w:r>
    </w:p>
    <w:p>
      <w:pPr>
        <w:spacing w:after="0" w:before="80"/>
      </w:pPr>
    </w:p>
    <w:p>
      <w:pPr>
        <w:pStyle w:val="Heading2"/>
        <w:spacing w:after="160" w:before="320"/>
      </w:pPr>
      <w:r>
        <w:rPr>
          <w:rFonts w:ascii="Arial" w:cs="Arial" w:eastAsia="Arial" w:hAnsi="Arial"/>
          <w:b/>
          <w:bCs/>
          <w:color w:val="0F3460"/>
          <w:sz w:val="28"/>
          <w:szCs w:val="28"/>
        </w:rPr>
        <w:t xml:space="preserve">4.4 Pipeline Generation Architecture</w:t>
      </w:r>
    </w:p>
    <w:p>
      <w:pPr>
        <w:spacing w:after="120" w:before="80"/>
      </w:pPr>
      <w:r>
        <w:rPr>
          <w:rFonts w:ascii="Arial" w:cs="Arial" w:eastAsia="Arial" w:hAnsi="Arial"/>
          <w:color w:val="22223B"/>
          <w:sz w:val="22"/>
          <w:szCs w:val="22"/>
        </w:rPr>
        <w:t xml:space="preserve">The ML Pipeline Generator uses a hierarchical generation strategy:</w:t>
      </w:r>
    </w:p>
    <w:p>
      <w:pPr>
        <w:pStyle w:val="ListParagraph"/>
        <w:numPr>
          <w:ilvl w:val="0"/>
          <w:numId w:val="2"/>
        </w:numPr>
        <w:spacing w:after="60" w:before="40"/>
      </w:pPr>
      <w:r>
        <w:rPr>
          <w:rFonts w:ascii="Arial" w:cs="Arial" w:eastAsia="Arial" w:hAnsi="Arial"/>
          <w:color w:val="22223B"/>
          <w:sz w:val="22"/>
          <w:szCs w:val="22"/>
        </w:rPr>
        <w:t xml:space="preserve">Task classification: A fast classifier (DistilBERT, 50ms inference) categorizes the paper's primary ML task. 47 task categories covering the full taxonomy of ML research.</w:t>
      </w:r>
    </w:p>
    <w:p>
      <w:pPr>
        <w:pStyle w:val="ListParagraph"/>
        <w:numPr>
          <w:ilvl w:val="0"/>
          <w:numId w:val="2"/>
        </w:numPr>
        <w:spacing w:after="60" w:before="40"/>
      </w:pPr>
      <w:r>
        <w:rPr>
          <w:rFonts w:ascii="Arial" w:cs="Arial" w:eastAsia="Arial" w:hAnsi="Arial"/>
          <w:color w:val="22223B"/>
          <w:sz w:val="22"/>
          <w:szCs w:val="22"/>
        </w:rPr>
        <w:t xml:space="preserve">Dataset retrieval: Semantic search over a pre-indexed catalog of 18,000 HuggingFace datasets and 30,000 Kaggle competitions. Returns top-5 datasets with compatibility scores.</w:t>
      </w:r>
    </w:p>
    <w:p>
      <w:pPr>
        <w:pStyle w:val="ListParagraph"/>
        <w:numPr>
          <w:ilvl w:val="0"/>
          <w:numId w:val="2"/>
        </w:numPr>
        <w:spacing w:after="60" w:before="40"/>
      </w:pPr>
      <w:r>
        <w:rPr>
          <w:rFonts w:ascii="Arial" w:cs="Arial" w:eastAsia="Arial" w:hAnsi="Arial"/>
          <w:color w:val="22223B"/>
          <w:sz w:val="22"/>
          <w:szCs w:val="22"/>
        </w:rPr>
        <w:t xml:space="preserve">Architecture selection: A rule-based system selects the appropriate model architecture based on task type and dataset modality. Defaults to the best-performing architecture from the paper's ablation study, extracted via structured information extraction.</w:t>
      </w:r>
    </w:p>
    <w:p>
      <w:pPr>
        <w:pStyle w:val="ListParagraph"/>
        <w:numPr>
          <w:ilvl w:val="0"/>
          <w:numId w:val="2"/>
        </w:numPr>
        <w:spacing w:after="60" w:before="40"/>
      </w:pPr>
      <w:r>
        <w:rPr>
          <w:rFonts w:ascii="Arial" w:cs="Arial" w:eastAsia="Arial" w:hAnsi="Arial"/>
          <w:color w:val="22223B"/>
          <w:sz w:val="22"/>
          <w:szCs w:val="22"/>
        </w:rPr>
        <w:t xml:space="preserve">Notebook generation: A code generation LLM (fine-tuned on 10,000 high-quality Kaggle notebooks) generates the complete training script. The prompt includes the task description, selected dataset, architecture, and a set of few-shot examples from the same task category.</w:t>
      </w:r>
    </w:p>
    <w:p>
      <w:pPr>
        <w:pStyle w:val="ListParagraph"/>
        <w:numPr>
          <w:ilvl w:val="0"/>
          <w:numId w:val="2"/>
        </w:numPr>
        <w:spacing w:after="60" w:before="40"/>
      </w:pPr>
      <w:r>
        <w:rPr>
          <w:rFonts w:ascii="Arial" w:cs="Arial" w:eastAsia="Arial" w:hAnsi="Arial"/>
          <w:color w:val="22223B"/>
          <w:sz w:val="22"/>
          <w:szCs w:val="22"/>
        </w:rPr>
        <w:t xml:space="preserve">Hyperparameter defaults: Bayesian optimization runs 5 quick probe experiments (10% of data, 1 epoch each) to select learning rate, batch size, and optimizer before launching the full training run.</w:t>
      </w:r>
    </w:p>
    <w:p>
      <w:pPr>
        <w:pBdr>
          <w:bottom w:val="single" w:color="DDDDDD" w:sz="4" w:space="1"/>
        </w:pBdr>
        <w:spacing w:after="200" w:before="200"/>
      </w:pPr>
    </w:p>
    <w:p>
      <w:pPr>
        <w:pStyle w:val="Heading1"/>
        <w:pBdr>
          <w:bottom w:val="single" w:color="E94560" w:sz="8" w:space="4"/>
        </w:pBdr>
        <w:spacing w:after="200" w:before="400"/>
      </w:pPr>
      <w:r>
        <w:rPr>
          <w:rFonts w:ascii="Arial" w:cs="Arial" w:eastAsia="Arial" w:hAnsi="Arial"/>
          <w:b/>
          <w:bCs/>
          <w:color w:val="1A1A2E"/>
          <w:sz w:val="36"/>
          <w:szCs w:val="36"/>
        </w:rPr>
        <w:t xml:space="preserve">5. OpenClaw Integration Details</w:t>
      </w:r>
    </w:p>
    <w:p>
      <w:pPr>
        <w:pStyle w:val="Heading2"/>
        <w:spacing w:after="160" w:before="320"/>
      </w:pPr>
      <w:r>
        <w:rPr>
          <w:rFonts w:ascii="Arial" w:cs="Arial" w:eastAsia="Arial" w:hAnsi="Arial"/>
          <w:b/>
          <w:bCs/>
          <w:color w:val="0F3460"/>
          <w:sz w:val="28"/>
          <w:szCs w:val="28"/>
        </w:rPr>
        <w:t xml:space="preserve">5.1 Why OpenClaw</w:t>
      </w:r>
    </w:p>
    <w:p>
      <w:pPr>
        <w:spacing w:after="120" w:before="80"/>
      </w:pPr>
      <w:r>
        <w:rPr>
          <w:rFonts w:ascii="Arial" w:cs="Arial" w:eastAsia="Arial" w:hAnsi="Arial"/>
          <w:color w:val="22223B"/>
          <w:sz w:val="22"/>
          <w:szCs w:val="22"/>
        </w:rPr>
        <w:t xml:space="preserve">VectorMinds requires four concurrent long-running agents with shared state, event-driven communication, persistent memory, and autonomous recovery from failures. OpenClaw provides all of these primitives natively. The framework's tool-use capabilities allow agents to call external APIs (HuggingFace, Google Colab, Telegram, arXiv) without custom integration code for each. Its memory module is used directly for the Memory Agent's semantic retrieval layer.</w:t>
      </w:r>
    </w:p>
    <w:p>
      <w:pPr>
        <w:spacing w:after="0" w:before="80"/>
      </w:pPr>
    </w:p>
    <w:p>
      <w:pPr>
        <w:pStyle w:val="Heading2"/>
        <w:spacing w:after="160" w:before="320"/>
      </w:pPr>
      <w:r>
        <w:rPr>
          <w:rFonts w:ascii="Arial" w:cs="Arial" w:eastAsia="Arial" w:hAnsi="Arial"/>
          <w:b/>
          <w:bCs/>
          <w:color w:val="0F3460"/>
          <w:sz w:val="28"/>
          <w:szCs w:val="28"/>
        </w:rPr>
        <w:t xml:space="preserve">5.2 Agent Tool Registry</w:t>
      </w:r>
    </w:p>
    <w:p>
      <w:pPr>
        <w:spacing w:after="120" w:before="80"/>
      </w:pPr>
      <w:r>
        <w:rPr>
          <w:rFonts w:ascii="Arial" w:cs="Arial" w:eastAsia="Arial" w:hAnsi="Arial"/>
          <w:color w:val="22223B"/>
          <w:sz w:val="22"/>
          <w:szCs w:val="22"/>
        </w:rPr>
        <w:t xml:space="preserve">Each OpenClaw agent is equipped with a curated tool registry: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Agent</w:t>
            </w:r>
          </w:p>
        </w:tc>
        <w:tc>
          <w:tcPr>
            <w:tcW w:type="dxa" w:w="22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Tools</w:t>
            </w:r>
          </w:p>
        </w:tc>
        <w:tc>
          <w:tcPr>
            <w:tcW w:type="dxa" w:w="496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Ingestion Agent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web_scraper, pdf_parser, kafka_producer</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Fetch, parse, and stream research documents to the embedding pipeline</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Reasoning Agent</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vector_search, llm_complete, classifier, kg_query</w:t>
            </w:r>
          </w:p>
        </w:tc>
        <w:tc>
          <w:tcPr>
            <w:tcW w:type="dxa" w:w="4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Semantic retrieval, chain-of-thought analysis, impact scoring, knowledge graph traversal</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Memory Agent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qdrant_upsert, redis_set, redis_get, postgres_query</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Store and retrieve long-horizon context, user preferences, model portfolio</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Retraining Agent</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colab_launch, hf_upload, model_eval, kafka_consumer</w:t>
            </w:r>
          </w:p>
        </w:tc>
        <w:tc>
          <w:tcPr>
            <w:tcW w:type="dxa" w:w="4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Launch training jobs, evaluate model quality, promote new model versions</w:t>
            </w:r>
          </w:p>
        </w:tc>
      </w:tr>
    </w:tbl>
    <w:p>
      <w:pPr>
        <w:spacing w:after="0" w:before="160"/>
      </w:pPr>
    </w:p>
    <w:p>
      <w:pPr>
        <w:pStyle w:val="Heading2"/>
        <w:spacing w:after="160" w:before="320"/>
      </w:pPr>
      <w:r>
        <w:rPr>
          <w:rFonts w:ascii="Arial" w:cs="Arial" w:eastAsia="Arial" w:hAnsi="Arial"/>
          <w:b/>
          <w:bCs/>
          <w:color w:val="0F3460"/>
          <w:sz w:val="28"/>
          <w:szCs w:val="28"/>
        </w:rPr>
        <w:t xml:space="preserve">5.3 Memory Architecture</w:t>
      </w:r>
    </w:p>
    <w:p>
      <w:pPr>
        <w:spacing w:after="120" w:before="80"/>
      </w:pPr>
      <w:r>
        <w:rPr>
          <w:rFonts w:ascii="Arial" w:cs="Arial" w:eastAsia="Arial" w:hAnsi="Arial"/>
          <w:color w:val="22223B"/>
          <w:sz w:val="22"/>
          <w:szCs w:val="22"/>
        </w:rPr>
        <w:t xml:space="preserve">OpenClaw's memory system is extended in VectorMinds with a three-tier memory hierarchy:</w:t>
      </w:r>
    </w:p>
    <w:p>
      <w:pPr>
        <w:pStyle w:val="ListParagraph"/>
        <w:numPr>
          <w:ilvl w:val="0"/>
          <w:numId w:val="2"/>
        </w:numPr>
        <w:spacing w:after="60" w:before="40"/>
      </w:pPr>
      <w:r>
        <w:rPr>
          <w:rFonts w:ascii="Arial" w:cs="Arial" w:eastAsia="Arial" w:hAnsi="Arial"/>
          <w:color w:val="22223B"/>
          <w:sz w:val="22"/>
          <w:szCs w:val="22"/>
        </w:rPr>
        <w:t xml:space="preserve">Working memory (Redis, TTL 24h): Current ingestion queue, active agent tasks, in-flight training jobs.</w:t>
      </w:r>
    </w:p>
    <w:p>
      <w:pPr>
        <w:pStyle w:val="ListParagraph"/>
        <w:numPr>
          <w:ilvl w:val="0"/>
          <w:numId w:val="2"/>
        </w:numPr>
        <w:spacing w:after="60" w:before="40"/>
      </w:pPr>
      <w:r>
        <w:rPr>
          <w:rFonts w:ascii="Arial" w:cs="Arial" w:eastAsia="Arial" w:hAnsi="Arial"/>
          <w:color w:val="22223B"/>
          <w:sz w:val="22"/>
          <w:szCs w:val="22"/>
        </w:rPr>
        <w:t xml:space="preserve">Episodic memory (Qdrant, persistent): All generated product blueprints, past user queries, prediction records with outcomes.</w:t>
      </w:r>
    </w:p>
    <w:p>
      <w:pPr>
        <w:pStyle w:val="ListParagraph"/>
        <w:numPr>
          <w:ilvl w:val="0"/>
          <w:numId w:val="2"/>
        </w:numPr>
        <w:spacing w:after="60" w:before="40"/>
      </w:pPr>
      <w:r>
        <w:rPr>
          <w:rFonts w:ascii="Arial" w:cs="Arial" w:eastAsia="Arial" w:hAnsi="Arial"/>
          <w:color w:val="22223B"/>
          <w:sz w:val="22"/>
          <w:szCs w:val="22"/>
        </w:rPr>
        <w:t xml:space="preserve">Semantic memory (PostgreSQL + Qdrant, persistent): The full research signal corpus, entity relationship graph, and model performance history.</w:t>
      </w:r>
    </w:p>
    <w:p>
      <w:pPr>
        <w:spacing w:after="0" w:before="80"/>
      </w:pPr>
    </w:p>
    <w:p>
      <w:pPr>
        <w:spacing w:after="120" w:before="80"/>
      </w:pPr>
      <w:r>
        <w:rPr>
          <w:rFonts w:ascii="Arial" w:cs="Arial" w:eastAsia="Arial" w:hAnsi="Arial"/>
          <w:color w:val="22223B"/>
          <w:sz w:val="22"/>
          <w:szCs w:val="22"/>
        </w:rPr>
        <w:t xml:space="preserve">The Memory Agent runs a nightly consolidation job that moves working memory items to episodic storage, prunes duplicate memories using cosine similarity deduplication, and updates the entity relationship graph with new connections discovered during the day's reasoning.</w:t>
      </w:r>
    </w:p>
    <w:p>
      <w:pPr>
        <w:pBdr>
          <w:bottom w:val="single" w:color="DDDDDD" w:sz="4" w:space="1"/>
        </w:pBdr>
        <w:spacing w:after="200" w:before="200"/>
      </w:pPr>
    </w:p>
    <w:p>
      <w:pPr>
        <w:pStyle w:val="Heading1"/>
        <w:pBdr>
          <w:bottom w:val="single" w:color="E94560" w:sz="8" w:space="4"/>
        </w:pBdr>
        <w:spacing w:after="200" w:before="400"/>
      </w:pPr>
      <w:r>
        <w:rPr>
          <w:rFonts w:ascii="Arial" w:cs="Arial" w:eastAsia="Arial" w:hAnsi="Arial"/>
          <w:b/>
          <w:bCs/>
          <w:color w:val="1A1A2E"/>
          <w:sz w:val="36"/>
          <w:szCs w:val="36"/>
        </w:rPr>
        <w:t xml:space="preserve">6. Advanced Capabilities</w:t>
      </w:r>
    </w:p>
    <w:p>
      <w:pPr>
        <w:pStyle w:val="Heading2"/>
        <w:spacing w:after="160" w:before="320"/>
      </w:pPr>
      <w:r>
        <w:rPr>
          <w:rFonts w:ascii="Arial" w:cs="Arial" w:eastAsia="Arial" w:hAnsi="Arial"/>
          <w:b/>
          <w:bCs/>
          <w:color w:val="0F3460"/>
          <w:sz w:val="28"/>
          <w:szCs w:val="28"/>
        </w:rPr>
        <w:t xml:space="preserve">6.1 Research Counterfactual Analysis</w:t>
      </w:r>
    </w:p>
    <w:p>
      <w:pPr>
        <w:spacing w:after="120" w:before="80"/>
      </w:pPr>
      <w:r>
        <w:rPr>
          <w:rFonts w:ascii="Arial" w:cs="Arial" w:eastAsia="Arial" w:hAnsi="Arial"/>
          <w:color w:val="22223B"/>
          <w:sz w:val="22"/>
          <w:szCs w:val="22"/>
        </w:rPr>
        <w:t xml:space="preserve">Users can query: 'What would the research landscape look like if Transformer attention had never been invented?' The platform removes all papers that cite the attention mechanism from the vector store (temporarily), re-runs the clustering algorithm, and generates a counterfactual landscape showing which alternative techniques (e.g., structured SSMs, Fourier neural operators) would have grown to fill the space. This is a powerful tool for identifying fundamental dependencies in the research ecosystem.</w:t>
      </w:r>
    </w:p>
    <w:p>
      <w:pPr>
        <w:spacing w:after="0" w:before="80"/>
      </w:pPr>
    </w:p>
    <w:p>
      <w:pPr>
        <w:pStyle w:val="Heading2"/>
        <w:spacing w:after="160" w:before="320"/>
      </w:pPr>
      <w:r>
        <w:rPr>
          <w:rFonts w:ascii="Arial" w:cs="Arial" w:eastAsia="Arial" w:hAnsi="Arial"/>
          <w:b/>
          <w:bCs/>
          <w:color w:val="0F3460"/>
          <w:sz w:val="28"/>
          <w:szCs w:val="28"/>
        </w:rPr>
        <w:t xml:space="preserve">6.2 Competitive Intelligence Mode</w:t>
      </w:r>
    </w:p>
    <w:p>
      <w:pPr>
        <w:spacing w:after="120" w:before="80"/>
      </w:pPr>
      <w:r>
        <w:rPr>
          <w:rFonts w:ascii="Arial" w:cs="Arial" w:eastAsia="Arial" w:hAnsi="Arial"/>
          <w:color w:val="22223B"/>
          <w:sz w:val="22"/>
          <w:szCs w:val="22"/>
        </w:rPr>
        <w:t xml:space="preserve">Users can configure a target organization (e.g., a competitor lab). VectorMinds monitors all papers with authors affiliated with that organization, tracks their GitHub activity, patent filings, and conference submissions. It generates a quarterly 'competitive research brief' summarizing the organization's technical priorities, emerging focus areas, and likely product roadmap based on research patterns.</w:t>
      </w:r>
    </w:p>
    <w:p>
      <w:pPr>
        <w:spacing w:after="0" w:before="80"/>
      </w:pPr>
    </w:p>
    <w:p>
      <w:pPr>
        <w:pStyle w:val="Heading2"/>
        <w:spacing w:after="160" w:before="320"/>
      </w:pPr>
      <w:r>
        <w:rPr>
          <w:rFonts w:ascii="Arial" w:cs="Arial" w:eastAsia="Arial" w:hAnsi="Arial"/>
          <w:b/>
          <w:bCs/>
          <w:color w:val="0F3460"/>
          <w:sz w:val="28"/>
          <w:szCs w:val="28"/>
        </w:rPr>
        <w:t xml:space="preserve">6.3 Cross-Domain Transfer Detection</w:t>
      </w:r>
    </w:p>
    <w:p>
      <w:pPr>
        <w:spacing w:after="120" w:before="80"/>
      </w:pPr>
      <w:r>
        <w:rPr>
          <w:rFonts w:ascii="Arial" w:cs="Arial" w:eastAsia="Arial" w:hAnsi="Arial"/>
          <w:color w:val="22223B"/>
          <w:sz w:val="22"/>
          <w:szCs w:val="22"/>
        </w:rPr>
        <w:t xml:space="preserve">Some of the highest-impact innovations in AI come from applying techniques from one domain to another (e.g., applying protein folding insights to drug discovery, applying diffusion models from image generation to molecule generation). VectorMinds maintains separate vector stores for 12 scientific domains and runs weekly cross-domain similarity scans, surfacing 'transfer opportunities' where a mature technique in one domain has no analog yet in another.</w:t>
      </w:r>
    </w:p>
    <w:p>
      <w:pPr>
        <w:spacing w:after="0" w:before="80"/>
      </w:pPr>
    </w:p>
    <w:p>
      <w:pPr>
        <w:pStyle w:val="Heading2"/>
        <w:spacing w:after="160" w:before="320"/>
      </w:pPr>
      <w:r>
        <w:rPr>
          <w:rFonts w:ascii="Arial" w:cs="Arial" w:eastAsia="Arial" w:hAnsi="Arial"/>
          <w:b/>
          <w:bCs/>
          <w:color w:val="0F3460"/>
          <w:sz w:val="28"/>
          <w:szCs w:val="28"/>
        </w:rPr>
        <w:t xml:space="preserve">6.4 Patent Landscape Navigation</w:t>
      </w:r>
    </w:p>
    <w:p>
      <w:pPr>
        <w:spacing w:after="120" w:before="80"/>
      </w:pPr>
      <w:r>
        <w:rPr>
          <w:rFonts w:ascii="Arial" w:cs="Arial" w:eastAsia="Arial" w:hAnsi="Arial"/>
          <w:color w:val="22223B"/>
          <w:sz w:val="22"/>
          <w:szCs w:val="22"/>
        </w:rPr>
        <w:t xml:space="preserve">The patent integration goes beyond simple monitoring. VectorMinds constructs a patent citation graph and runs PageRank to identify the most foundational patents in any given technique space. It flags potential freedom-to-operate risks by identifying whether a product blueprint's core technique is covered by active patents, and suggests design-around strategies based on the claim structure.</w:t>
      </w:r>
    </w:p>
    <w:p>
      <w:pPr>
        <w:spacing w:after="0" w:before="80"/>
      </w:pPr>
    </w:p>
    <w:p>
      <w:pPr>
        <w:pStyle w:val="Heading2"/>
        <w:spacing w:after="160" w:before="320"/>
      </w:pPr>
      <w:r>
        <w:rPr>
          <w:rFonts w:ascii="Arial" w:cs="Arial" w:eastAsia="Arial" w:hAnsi="Arial"/>
          <w:b/>
          <w:bCs/>
          <w:color w:val="0F3460"/>
          <w:sz w:val="28"/>
          <w:szCs w:val="28"/>
        </w:rPr>
        <w:t xml:space="preserve">6.5 Autonomous Experiment Design</w:t>
      </w:r>
    </w:p>
    <w:p>
      <w:pPr>
        <w:spacing w:after="120" w:before="80"/>
      </w:pPr>
      <w:r>
        <w:rPr>
          <w:rFonts w:ascii="Arial" w:cs="Arial" w:eastAsia="Arial" w:hAnsi="Arial"/>
          <w:color w:val="22223B"/>
          <w:sz w:val="22"/>
          <w:szCs w:val="22"/>
        </w:rPr>
        <w:t xml:space="preserve">When a product blueprint recommends a specific ML approach, VectorMinds can automatically design a scientific experiment to validate the core hypothesis before committing to full development. It generates a minimal viable experiment (smallest dataset, simplest model, fewest epochs) that would provide statistically significant evidence for or against the approach, runs it on Colab, and returns a pass/fail verdict with confidence interval.</w:t>
      </w:r>
    </w:p>
    <w:p>
      <w:pPr>
        <w:spacing w:after="0" w:before="80"/>
      </w:pPr>
    </w:p>
    <w:p>
      <w:pPr>
        <w:pStyle w:val="Heading2"/>
        <w:spacing w:after="160" w:before="320"/>
      </w:pPr>
      <w:r>
        <w:rPr>
          <w:rFonts w:ascii="Arial" w:cs="Arial" w:eastAsia="Arial" w:hAnsi="Arial"/>
          <w:b/>
          <w:bCs/>
          <w:color w:val="0F3460"/>
          <w:sz w:val="28"/>
          <w:szCs w:val="28"/>
        </w:rPr>
        <w:t xml:space="preserve">6.6 Research Team Skill Gap Analysis</w:t>
      </w:r>
    </w:p>
    <w:p>
      <w:pPr>
        <w:spacing w:after="120" w:before="80"/>
      </w:pPr>
      <w:r>
        <w:rPr>
          <w:rFonts w:ascii="Arial" w:cs="Arial" w:eastAsia="Arial" w:hAnsi="Arial"/>
          <w:color w:val="22223B"/>
          <w:sz w:val="22"/>
          <w:szCs w:val="22"/>
        </w:rPr>
        <w:t xml:space="preserve">By analyzing the team's interaction history with the platform (which papers they engage with, which product blueprints they pursue, which training pipelines they launch), VectorMinds can model the team's current technical capabilities and identify skill gaps relative to the research areas they are most interested in. It then generates personalized learning paths with specific papers, courses, and GitHub repositories to close those gaps.</w:t>
      </w:r>
    </w:p>
    <w:p>
      <w:pPr>
        <w:pBdr>
          <w:bottom w:val="single" w:color="DDDDDD" w:sz="4" w:space="1"/>
        </w:pBdr>
        <w:spacing w:after="200" w:before="200"/>
      </w:pPr>
    </w:p>
    <w:p>
      <w:pPr>
        <w:pStyle w:val="Heading1"/>
        <w:pBdr>
          <w:bottom w:val="single" w:color="E94560" w:sz="8" w:space="4"/>
        </w:pBdr>
        <w:spacing w:after="200" w:before="400"/>
      </w:pPr>
      <w:r>
        <w:rPr>
          <w:rFonts w:ascii="Arial" w:cs="Arial" w:eastAsia="Arial" w:hAnsi="Arial"/>
          <w:b/>
          <w:bCs/>
          <w:color w:val="1A1A2E"/>
          <w:sz w:val="36"/>
          <w:szCs w:val="36"/>
        </w:rPr>
        <w:t xml:space="preserve">7. The Data Flywheel &amp; Continuous Learning</w:t>
      </w:r>
    </w:p>
    <w:p>
      <w:pPr>
        <w:spacing w:after="120" w:before="80"/>
      </w:pPr>
      <w:r>
        <w:rPr>
          <w:rFonts w:ascii="Arial" w:cs="Arial" w:eastAsia="Arial" w:hAnsi="Arial"/>
          <w:color w:val="22223B"/>
          <w:sz w:val="22"/>
          <w:szCs w:val="22"/>
        </w:rPr>
        <w:t xml:space="preserve">VectorMinds is designed around a data flywheel that makes the system more accurate and valuable over time:</w:t>
      </w:r>
    </w:p>
    <w:p>
      <w:pPr>
        <w:spacing w:after="0" w:before="80"/>
      </w:pPr>
    </w:p>
    <w:p>
      <w:pPr>
        <w:pStyle w:val="ListParagraph"/>
        <w:numPr>
          <w:ilvl w:val="0"/>
          <w:numId w:val="2"/>
        </w:numPr>
        <w:spacing w:after="60" w:before="40"/>
      </w:pPr>
      <w:r>
        <w:rPr>
          <w:rFonts w:ascii="Arial" w:cs="Arial" w:eastAsia="Arial" w:hAnsi="Arial"/>
          <w:color w:val="22223B"/>
          <w:sz w:val="22"/>
          <w:szCs w:val="22"/>
        </w:rPr>
        <w:t xml:space="preserve">User engagement signals: Every click, upvote, downvote, and follow-through action is a label. When a user launches a training pipeline, that is a strong positive signal for the underlying trend prediction. When they dismiss a blueprint, that is a negative signal.</w:t>
      </w:r>
    </w:p>
    <w:p>
      <w:pPr>
        <w:pStyle w:val="ListParagraph"/>
        <w:numPr>
          <w:ilvl w:val="0"/>
          <w:numId w:val="2"/>
        </w:numPr>
        <w:spacing w:after="60" w:before="40"/>
      </w:pPr>
      <w:r>
        <w:rPr>
          <w:rFonts w:ascii="Arial" w:cs="Arial" w:eastAsia="Arial" w:hAnsi="Arial"/>
          <w:color w:val="22223B"/>
          <w:sz w:val="22"/>
          <w:szCs w:val="22"/>
        </w:rPr>
        <w:t xml:space="preserve">Prediction outcome tracking: The platform tracks whether its 12-month impact predictions prove correct. Papers it predicted as high-impact are monitored for actual adoption signals (citations, GitHub mentions, product announcements). This creates a ground truth label set for continuous model improvement.</w:t>
      </w:r>
    </w:p>
    <w:p>
      <w:pPr>
        <w:pStyle w:val="ListParagraph"/>
        <w:numPr>
          <w:ilvl w:val="0"/>
          <w:numId w:val="2"/>
        </w:numPr>
        <w:spacing w:after="60" w:before="40"/>
      </w:pPr>
      <w:r>
        <w:rPr>
          <w:rFonts w:ascii="Arial" w:cs="Arial" w:eastAsia="Arial" w:hAnsi="Arial"/>
          <w:color w:val="22223B"/>
          <w:sz w:val="22"/>
          <w:szCs w:val="22"/>
        </w:rPr>
        <w:t xml:space="preserve">Cross-user learning: With appropriate privacy controls (aggregation and anonymization), engagement patterns across users inform global model updates. A technique that multiple independent teams simultaneously pursue is almost certainly high-signal.</w:t>
      </w:r>
    </w:p>
    <w:p>
      <w:pPr>
        <w:pStyle w:val="ListParagraph"/>
        <w:numPr>
          <w:ilvl w:val="0"/>
          <w:numId w:val="2"/>
        </w:numPr>
        <w:spacing w:after="60" w:before="40"/>
      </w:pPr>
      <w:r>
        <w:rPr>
          <w:rFonts w:ascii="Arial" w:cs="Arial" w:eastAsia="Arial" w:hAnsi="Arial"/>
          <w:color w:val="22223B"/>
          <w:sz w:val="22"/>
          <w:szCs w:val="22"/>
        </w:rPr>
        <w:t xml:space="preserve">Model performance feedback: For every generated and trained model, the platform tracks real-world inference requests (via the API), error rates, and user-submitted corrections. This data is used to improve the pipeline generator's default hyperparameters and architecture selection heuristics.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94560" w:sz="4"/>
              <w:left w:val="single" w:color="E94560" w:sz="4"/>
              <w:bottom w:val="single" w:color="E94560" w:sz="4"/>
              <w:right w:val="single" w:color="E94560"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FLYWHEEL EFFECT</w:t>
            </w:r>
          </w:p>
        </w:tc>
        <w:tc>
          <w:tcPr>
            <w:tcW w:type="dxa" w:w="8360"/>
            <w:tcBorders>
              <w:top w:val="single" w:color="EEEEEE" w:sz="4"/>
              <w:left w:val="single" w:color="EEEEEE" w:sz="4"/>
              <w:bottom w:val="single" w:color="EEEEEE" w:sz="4"/>
              <w:right w:val="single" w:color="EEEEEE" w:sz="4"/>
            </w:tcBorders>
            <w:shd w:fill="F9F9FB" w:val="clear"/>
            <w:tcMar>
              <w:top w:type="dxa" w:w="100"/>
              <w:left w:type="dxa" w:w="160"/>
              <w:bottom w:type="dxa" w:w="100"/>
              <w:right w:type="dxa" w:w="160"/>
            </w:tcMar>
          </w:tcPr>
          <w:p>
            <w:r>
              <w:rPr>
                <w:rFonts w:ascii="Arial" w:cs="Arial" w:eastAsia="Arial" w:hAnsi="Arial"/>
                <w:color w:val="22223B"/>
                <w:sz w:val="21"/>
                <w:szCs w:val="21"/>
              </w:rPr>
              <w:t xml:space="preserve">More users → more engagement signals → better predictions → more valuable platform → more users. The compounding accuracy improvement is a core strategic moat.</w:t>
            </w:r>
          </w:p>
        </w:tc>
      </w:tr>
    </w:tbl>
    <w:p>
      <w:pPr>
        <w:pBdr>
          <w:bottom w:val="single" w:color="DDDDDD" w:sz="4" w:space="1"/>
        </w:pBdr>
        <w:spacing w:after="200" w:before="200"/>
      </w:pPr>
    </w:p>
    <w:p>
      <w:pPr>
        <w:pStyle w:val="Heading1"/>
        <w:pBdr>
          <w:bottom w:val="single" w:color="E94560" w:sz="8" w:space="4"/>
        </w:pBdr>
        <w:spacing w:after="200" w:before="400"/>
      </w:pPr>
      <w:r>
        <w:rPr>
          <w:rFonts w:ascii="Arial" w:cs="Arial" w:eastAsia="Arial" w:hAnsi="Arial"/>
          <w:b/>
          <w:bCs/>
          <w:color w:val="1A1A2E"/>
          <w:sz w:val="36"/>
          <w:szCs w:val="36"/>
        </w:rPr>
        <w:t xml:space="preserve">8. Hackathon Demo Flow</w:t>
      </w:r>
    </w:p>
    <w:p>
      <w:pPr>
        <w:spacing w:after="120" w:before="80"/>
      </w:pPr>
      <w:r>
        <w:rPr>
          <w:rFonts w:ascii="Arial" w:cs="Arial" w:eastAsia="Arial" w:hAnsi="Arial"/>
          <w:color w:val="22223B"/>
          <w:sz w:val="22"/>
          <w:szCs w:val="22"/>
        </w:rPr>
        <w:t xml:space="preserve">The 10-minute hackathon demonstration will walk through the following scenario in real time:</w:t>
      </w:r>
    </w:p>
    <w:p>
      <w:pPr>
        <w:spacing w:after="0" w:before="80"/>
      </w:pPr>
    </w:p>
    <w:p>
      <w:pPr>
        <w:pStyle w:val="Heading3"/>
        <w:spacing w:after="120" w:before="240"/>
      </w:pPr>
      <w:r>
        <w:rPr>
          <w:rFonts w:ascii="Arial" w:cs="Arial" w:eastAsia="Arial" w:hAnsi="Arial"/>
          <w:b/>
          <w:bCs/>
          <w:color w:val="4A4E69"/>
          <w:sz w:val="24"/>
          <w:szCs w:val="24"/>
        </w:rPr>
        <w:t xml:space="preserve">Step 1: Live Ingestion (90 seconds)</w:t>
      </w:r>
    </w:p>
    <w:p>
      <w:pPr>
        <w:spacing w:after="120" w:before="80"/>
      </w:pPr>
      <w:r>
        <w:rPr>
          <w:rFonts w:ascii="Arial" w:cs="Arial" w:eastAsia="Arial" w:hAnsi="Arial"/>
          <w:color w:val="22223B"/>
          <w:sz w:val="22"/>
          <w:szCs w:val="22"/>
        </w:rPr>
        <w:t xml:space="preserve">Show the dashboard with live-updating paper count and novelty score distribution. Trigger a manual ingestion run on a recent arXiv category (cs.LG). Watch new papers appear in the trend leaderboard in real time.</w:t>
      </w:r>
    </w:p>
    <w:p>
      <w:pPr>
        <w:spacing w:after="0" w:before="80"/>
      </w:pPr>
    </w:p>
    <w:p>
      <w:pPr>
        <w:pStyle w:val="Heading3"/>
        <w:spacing w:after="120" w:before="240"/>
      </w:pPr>
      <w:r>
        <w:rPr>
          <w:rFonts w:ascii="Arial" w:cs="Arial" w:eastAsia="Arial" w:hAnsi="Arial"/>
          <w:b/>
          <w:bCs/>
          <w:color w:val="4A4E69"/>
          <w:sz w:val="24"/>
          <w:szCs w:val="24"/>
        </w:rPr>
        <w:t xml:space="preserve">Step 2: Trend Prediction (2 minutes)</w:t>
      </w:r>
    </w:p>
    <w:p>
      <w:pPr>
        <w:spacing w:after="120" w:before="80"/>
      </w:pPr>
      <w:r>
        <w:rPr>
          <w:rFonts w:ascii="Arial" w:cs="Arial" w:eastAsia="Arial" w:hAnsi="Arial"/>
          <w:color w:val="22223B"/>
          <w:sz w:val="22"/>
          <w:szCs w:val="22"/>
        </w:rPr>
        <w:t xml:space="preserve">Select the top-ranked emerging technique from the leaderboard. Show the full technical brief: what the technique does, why the novelty score is high, what the cross-source signals are (GitHub stars, related patents, startup funding), and the 12-month impact prediction with confidence interval.</w:t>
      </w:r>
    </w:p>
    <w:p>
      <w:pPr>
        <w:spacing w:after="0" w:before="80"/>
      </w:pPr>
    </w:p>
    <w:p>
      <w:pPr>
        <w:pStyle w:val="Heading3"/>
        <w:spacing w:after="120" w:before="240"/>
      </w:pPr>
      <w:r>
        <w:rPr>
          <w:rFonts w:ascii="Arial" w:cs="Arial" w:eastAsia="Arial" w:hAnsi="Arial"/>
          <w:b/>
          <w:bCs/>
          <w:color w:val="4A4E69"/>
          <w:sz w:val="24"/>
          <w:szCs w:val="24"/>
        </w:rPr>
        <w:t xml:space="preserve">Step 3: Product Blueprint Generation (2 minutes)</w:t>
      </w:r>
    </w:p>
    <w:p>
      <w:pPr>
        <w:spacing w:after="120" w:before="80"/>
      </w:pPr>
      <w:r>
        <w:rPr>
          <w:rFonts w:ascii="Arial" w:cs="Arial" w:eastAsia="Arial" w:hAnsi="Arial"/>
          <w:color w:val="22223B"/>
          <w:sz w:val="22"/>
          <w:szCs w:val="22"/>
        </w:rPr>
        <w:t xml:space="preserve">Trigger the Product Blueprint Engine on the selected technique. In 45–60 seconds, a complete blueprint is generated: problem statement, technical implementation, dataset requirements, go-to-market plan, and risk assessment. Walk through each section.</w:t>
      </w:r>
    </w:p>
    <w:p>
      <w:pPr>
        <w:spacing w:after="0" w:before="80"/>
      </w:pPr>
    </w:p>
    <w:p>
      <w:pPr>
        <w:pStyle w:val="Heading3"/>
        <w:spacing w:after="120" w:before="240"/>
      </w:pPr>
      <w:r>
        <w:rPr>
          <w:rFonts w:ascii="Arial" w:cs="Arial" w:eastAsia="Arial" w:hAnsi="Arial"/>
          <w:b/>
          <w:bCs/>
          <w:color w:val="4A4E69"/>
          <w:sz w:val="24"/>
          <w:szCs w:val="24"/>
        </w:rPr>
        <w:t xml:space="preserve">Step 4: ML Pipeline Launch (3 minutes)</w:t>
      </w:r>
    </w:p>
    <w:p>
      <w:pPr>
        <w:spacing w:after="120" w:before="80"/>
      </w:pPr>
      <w:r>
        <w:rPr>
          <w:rFonts w:ascii="Arial" w:cs="Arial" w:eastAsia="Arial" w:hAnsi="Arial"/>
          <w:color w:val="22223B"/>
          <w:sz w:val="22"/>
          <w:szCs w:val="22"/>
        </w:rPr>
        <w:t xml:space="preserve">Click 'Launch Training Pipeline'. Show the generated Jupyter notebook (pre-generated for demo speed). Open Google Colab in browser — the notebook is already there, GPU is allocated, training is running. Show the live loss curve. Switch to the trained model card that was pre-generated from an earlier run. Show the model artifact in HuggingFace Hub.</w:t>
      </w:r>
    </w:p>
    <w:p>
      <w:pPr>
        <w:spacing w:after="0" w:before="80"/>
      </w:pPr>
    </w:p>
    <w:p>
      <w:pPr>
        <w:pStyle w:val="Heading3"/>
        <w:spacing w:after="120" w:before="240"/>
      </w:pPr>
      <w:r>
        <w:rPr>
          <w:rFonts w:ascii="Arial" w:cs="Arial" w:eastAsia="Arial" w:hAnsi="Arial"/>
          <w:b/>
          <w:bCs/>
          <w:color w:val="4A4E69"/>
          <w:sz w:val="24"/>
          <w:szCs w:val="24"/>
        </w:rPr>
        <w:t xml:space="preserve">Step 5: Delivery (90 seconds)</w:t>
      </w:r>
    </w:p>
    <w:p>
      <w:pPr>
        <w:spacing w:after="120" w:before="80"/>
      </w:pPr>
      <w:r>
        <w:rPr>
          <w:rFonts w:ascii="Arial" w:cs="Arial" w:eastAsia="Arial" w:hAnsi="Arial"/>
          <w:color w:val="22223B"/>
          <w:sz w:val="22"/>
          <w:szCs w:val="22"/>
        </w:rPr>
        <w:t xml:space="preserve">Show the Telegram alert arriving on phone as training completes. Show the REST API endpoint returning the model metadata. Show the ONNX export file ready for deployment. Close with the architecture diagram and the core value proposition.</w:t>
      </w:r>
    </w:p>
    <w:p>
      <w:pPr>
        <w:pBdr>
          <w:bottom w:val="single" w:color="DDDDDD" w:sz="4" w:space="1"/>
        </w:pBdr>
        <w:spacing w:after="200" w:before="200"/>
      </w:pPr>
    </w:p>
    <w:p>
      <w:pPr>
        <w:pStyle w:val="Heading1"/>
        <w:pBdr>
          <w:bottom w:val="single" w:color="E94560" w:sz="8" w:space="4"/>
        </w:pBdr>
        <w:spacing w:after="200" w:before="400"/>
      </w:pPr>
      <w:r>
        <w:rPr>
          <w:rFonts w:ascii="Arial" w:cs="Arial" w:eastAsia="Arial" w:hAnsi="Arial"/>
          <w:b/>
          <w:bCs/>
          <w:color w:val="1A1A2E"/>
          <w:sz w:val="36"/>
          <w:szCs w:val="36"/>
        </w:rPr>
        <w:t xml:space="preserve">9. Full Technology Stack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416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Agent Framework</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OpenClaw</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Multi-agent orchestration, tool registry, memory primitives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LLM Backbone</w:t>
            </w:r>
          </w:p>
        </w:tc>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Claude Sonnet (via Anthropic API)</w:t>
            </w:r>
          </w:p>
        </w:tc>
        <w:tc>
          <w:tcPr>
            <w:tcW w:type="dxa" w:w="4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Chain-of-thought reasoning, blueprint generation, code generation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Vector Store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Qdrant</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Semantic similarity search, HNSW indexing, metadata filtering</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Embeddings</w:t>
            </w:r>
          </w:p>
        </w:tc>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BGE-M3 (BAAI)</w:t>
            </w:r>
          </w:p>
        </w:tc>
        <w:tc>
          <w:tcPr>
            <w:tcW w:type="dxa" w:w="4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Multi-lingual, multi-granularity document embeddings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Message Bus</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Apache Kafka</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Event streaming between agents, exactly-once delivery guarantees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Cache / Working Memory</w:t>
            </w:r>
          </w:p>
        </w:tc>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Redis</w:t>
            </w:r>
          </w:p>
        </w:tc>
        <w:tc>
          <w:tcPr>
            <w:tcW w:type="dxa" w:w="4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Sub-millisecond state reads, TTL-based session management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Metadata Store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PostgreSQL</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Structured metadata, prediction records, user preferences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ML Training</w:t>
            </w:r>
          </w:p>
        </w:tc>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Google Colab (A100/T4 GPUs)</w:t>
            </w:r>
          </w:p>
        </w:tc>
        <w:tc>
          <w:tcPr>
            <w:tcW w:type="dxa" w:w="4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Cloud GPU training, managed environment, notebook persistence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Model Registry</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HuggingFace Hub</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Model artifact storage, model cards, inference API</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Predictions Model</w:t>
            </w:r>
          </w:p>
        </w:tc>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XGBoost + Fine-tuned DistilBERT</w:t>
            </w:r>
          </w:p>
        </w:tc>
        <w:tc>
          <w:tcPr>
            <w:tcW w:type="dxa" w:w="4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Impact prediction ensemble, novelty scoring</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Data Pipelines</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LangChain + Apache Airflow</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Document loading, chunking, scheduled crawl orchestration</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Dashboard</w:t>
            </w:r>
          </w:p>
        </w:tc>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React + D3.js + Tailwind</w:t>
            </w:r>
          </w:p>
        </w:tc>
        <w:tc>
          <w:tcPr>
            <w:tcW w:type="dxa" w:w="4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Interactive trend visualization, vector space explorer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Alerts</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Telegram Bot API</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Push notifications, configurable thresholds, digest scheduling</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API Layer</w:t>
            </w:r>
          </w:p>
        </w:tc>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FastAPI + Pydantic</w:t>
            </w:r>
          </w:p>
        </w:tc>
        <w:tc>
          <w:tcPr>
            <w:tcW w:type="dxa" w:w="4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22223B"/>
                <w:sz w:val="20"/>
                <w:szCs w:val="20"/>
              </w:rPr>
              <w:t xml:space="preserve">REST API, async endpoints, OpenAPI schema generation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Infrastructure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Docker + Kubernetes</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3B"/>
                <w:sz w:val="20"/>
                <w:szCs w:val="20"/>
              </w:rPr>
              <w:t xml:space="preserve">Containerized agents, horizontal scaling, rolling deployments</w:t>
            </w:r>
          </w:p>
        </w:tc>
      </w:tr>
    </w:tbl>
    <w:p>
      <w:pPr>
        <w:spacing w:after="0" w:before="160"/>
      </w:pPr>
    </w:p>
    <w:p>
      <w:pPr>
        <w:pBdr>
          <w:bottom w:val="single" w:color="DDDDDD" w:sz="4" w:space="1"/>
        </w:pBdr>
        <w:spacing w:after="200" w:before="200"/>
      </w:pPr>
    </w:p>
    <w:p>
      <w:pPr>
        <w:pStyle w:val="Heading1"/>
        <w:pBdr>
          <w:bottom w:val="single" w:color="E94560" w:sz="8" w:space="4"/>
        </w:pBdr>
        <w:spacing w:after="200" w:before="400"/>
      </w:pPr>
      <w:r>
        <w:rPr>
          <w:rFonts w:ascii="Arial" w:cs="Arial" w:eastAsia="Arial" w:hAnsi="Arial"/>
          <w:b/>
          <w:bCs/>
          <w:color w:val="1A1A2E"/>
          <w:sz w:val="36"/>
          <w:szCs w:val="36"/>
        </w:rPr>
        <w:t xml:space="preserve">10. Innovation Claims &amp; Novelty</w:t>
      </w:r>
    </w:p>
    <w:p>
      <w:pPr>
        <w:spacing w:after="120" w:before="80"/>
      </w:pPr>
      <w:r>
        <w:rPr>
          <w:rFonts w:ascii="Arial" w:cs="Arial" w:eastAsia="Arial" w:hAnsi="Arial"/>
          <w:color w:val="22223B"/>
          <w:sz w:val="22"/>
          <w:szCs w:val="22"/>
        </w:rPr>
        <w:t xml:space="preserve">VectorMinds makes the following specific technical contributions that distinguish it from existing research tools (Semantic Scholar, Connected Papers, ResearchRabbit, Elicit):</w:t>
      </w:r>
    </w:p>
    <w:p>
      <w:pPr>
        <w:spacing w:after="0" w:before="80"/>
      </w:pPr>
    </w:p>
    <w:p>
      <w:pPr>
        <w:pStyle w:val="ListParagraph"/>
        <w:numPr>
          <w:ilvl w:val="0"/>
          <w:numId w:val="2"/>
        </w:numPr>
        <w:spacing w:after="60" w:before="40"/>
      </w:pPr>
      <w:r>
        <w:rPr>
          <w:rFonts w:ascii="Arial" w:cs="Arial" w:eastAsia="Arial" w:hAnsi="Arial"/>
          <w:color w:val="22223B"/>
          <w:sz w:val="22"/>
          <w:szCs w:val="22"/>
        </w:rPr>
        <w:t xml:space="preserve">Predictive emergence scoring: No existing public tool predicts when a technique will reach mainstream adoption. VectorMinds is the first to combine cross-source signal fusion with historical pattern matching for prospective impact prediction.</w:t>
      </w:r>
    </w:p>
    <w:p>
      <w:pPr>
        <w:pStyle w:val="ListParagraph"/>
        <w:numPr>
          <w:ilvl w:val="0"/>
          <w:numId w:val="2"/>
        </w:numPr>
        <w:spacing w:after="60" w:before="40"/>
      </w:pPr>
      <w:r>
        <w:rPr>
          <w:rFonts w:ascii="Arial" w:cs="Arial" w:eastAsia="Arial" w:hAnsi="Arial"/>
          <w:color w:val="22223B"/>
          <w:sz w:val="22"/>
          <w:szCs w:val="22"/>
        </w:rPr>
        <w:t xml:space="preserve">Automated product blueprint generation: Existing AI tools summarize papers. VectorMinds translates them into buildable product ideas — a fundamentally different task requiring world-model reasoning about markets, users, and engineering feasibility.</w:t>
      </w:r>
    </w:p>
    <w:p>
      <w:pPr>
        <w:pStyle w:val="ListParagraph"/>
        <w:numPr>
          <w:ilvl w:val="0"/>
          <w:numId w:val="2"/>
        </w:numPr>
        <w:spacing w:after="60" w:before="40"/>
      </w:pPr>
      <w:r>
        <w:rPr>
          <w:rFonts w:ascii="Arial" w:cs="Arial" w:eastAsia="Arial" w:hAnsi="Arial"/>
          <w:color w:val="22223B"/>
          <w:sz w:val="22"/>
          <w:szCs w:val="22"/>
        </w:rPr>
        <w:t xml:space="preserve">End-to-end ML pipeline auto-generation: The automatic pipeline generation, dataset injection, GPU launch, and model artifact export pipeline has no direct equivalent in any research intelligence tool. This is a novel capability unique to VectorMinds.</w:t>
      </w:r>
    </w:p>
    <w:p>
      <w:pPr>
        <w:pStyle w:val="ListParagraph"/>
        <w:numPr>
          <w:ilvl w:val="0"/>
          <w:numId w:val="2"/>
        </w:numPr>
        <w:spacing w:after="60" w:before="40"/>
      </w:pPr>
      <w:r>
        <w:rPr>
          <w:rFonts w:ascii="Arial" w:cs="Arial" w:eastAsia="Arial" w:hAnsi="Arial"/>
          <w:color w:val="22223B"/>
          <w:sz w:val="22"/>
          <w:szCs w:val="22"/>
        </w:rPr>
        <w:t xml:space="preserve">Cross-source signal fusion: The combination of academic papers, code repositories, patent filings, and startup funding signals into a unified research signal schema is a novel data architecture contribution.</w:t>
      </w:r>
    </w:p>
    <w:p>
      <w:pPr>
        <w:pStyle w:val="ListParagraph"/>
        <w:numPr>
          <w:ilvl w:val="0"/>
          <w:numId w:val="2"/>
        </w:numPr>
        <w:spacing w:after="60" w:before="40"/>
      </w:pPr>
      <w:r>
        <w:rPr>
          <w:rFonts w:ascii="Arial" w:cs="Arial" w:eastAsia="Arial" w:hAnsi="Arial"/>
          <w:color w:val="22223B"/>
          <w:sz w:val="22"/>
          <w:szCs w:val="22"/>
        </w:rPr>
        <w:t xml:space="preserve">Autonomous retraining with quality gates: The Retraining Agent's autonomous model drift detection and promotion pipeline is a production-grade MLOps capability embedded in a research intelligence product — an unusual combination.</w:t>
      </w:r>
    </w:p>
    <w:p>
      <w:pPr>
        <w:pBdr>
          <w:bottom w:val="single" w:color="DDDDDD" w:sz="4" w:space="1"/>
        </w:pBdr>
        <w:spacing w:after="200" w:before="200"/>
      </w:pPr>
    </w:p>
    <w:p>
      <w:pPr>
        <w:pStyle w:val="Heading1"/>
        <w:pBdr>
          <w:bottom w:val="single" w:color="E94560" w:sz="8" w:space="4"/>
        </w:pBdr>
        <w:spacing w:after="200" w:before="400"/>
      </w:pPr>
      <w:r>
        <w:rPr>
          <w:rFonts w:ascii="Arial" w:cs="Arial" w:eastAsia="Arial" w:hAnsi="Arial"/>
          <w:b/>
          <w:bCs/>
          <w:color w:val="1A1A2E"/>
          <w:sz w:val="36"/>
          <w:szCs w:val="36"/>
        </w:rPr>
        <w:t xml:space="preserve">11. Future Roadmap</w:t>
      </w:r>
    </w:p>
    <w:p>
      <w:pPr>
        <w:pStyle w:val="Heading2"/>
        <w:spacing w:after="160" w:before="320"/>
      </w:pPr>
      <w:r>
        <w:rPr>
          <w:rFonts w:ascii="Arial" w:cs="Arial" w:eastAsia="Arial" w:hAnsi="Arial"/>
          <w:b/>
          <w:bCs/>
          <w:color w:val="0F3460"/>
          <w:sz w:val="28"/>
          <w:szCs w:val="28"/>
        </w:rPr>
        <w:t xml:space="preserve">Phase 1 — Hackathon MVP (Current)</w:t>
      </w:r>
    </w:p>
    <w:p>
      <w:pPr>
        <w:pStyle w:val="ListParagraph"/>
        <w:numPr>
          <w:ilvl w:val="0"/>
          <w:numId w:val="2"/>
        </w:numPr>
        <w:spacing w:after="60" w:before="40"/>
      </w:pPr>
      <w:r>
        <w:rPr>
          <w:rFonts w:ascii="Arial" w:cs="Arial" w:eastAsia="Arial" w:hAnsi="Arial"/>
          <w:color w:val="22223B"/>
          <w:sz w:val="22"/>
          <w:szCs w:val="22"/>
        </w:rPr>
        <w:t xml:space="preserve">Core ingestion pipeline (arXiv + GitHub)</w:t>
      </w:r>
    </w:p>
    <w:p>
      <w:pPr>
        <w:pStyle w:val="ListParagraph"/>
        <w:numPr>
          <w:ilvl w:val="0"/>
          <w:numId w:val="2"/>
        </w:numPr>
        <w:spacing w:after="60" w:before="40"/>
      </w:pPr>
      <w:r>
        <w:rPr>
          <w:rFonts w:ascii="Arial" w:cs="Arial" w:eastAsia="Arial" w:hAnsi="Arial"/>
          <w:color w:val="22223B"/>
          <w:sz w:val="22"/>
          <w:szCs w:val="22"/>
        </w:rPr>
        <w:t xml:space="preserve">Basic vector embedding and search</w:t>
      </w:r>
    </w:p>
    <w:p>
      <w:pPr>
        <w:pStyle w:val="ListParagraph"/>
        <w:numPr>
          <w:ilvl w:val="0"/>
          <w:numId w:val="2"/>
        </w:numPr>
        <w:spacing w:after="60" w:before="40"/>
      </w:pPr>
      <w:r>
        <w:rPr>
          <w:rFonts w:ascii="Arial" w:cs="Arial" w:eastAsia="Arial" w:hAnsi="Arial"/>
          <w:color w:val="22223B"/>
          <w:sz w:val="22"/>
          <w:szCs w:val="22"/>
        </w:rPr>
        <w:t xml:space="preserve">Reasoning Agent with novelty scoring and impact prediction</w:t>
      </w:r>
    </w:p>
    <w:p>
      <w:pPr>
        <w:pStyle w:val="ListParagraph"/>
        <w:numPr>
          <w:ilvl w:val="0"/>
          <w:numId w:val="2"/>
        </w:numPr>
        <w:spacing w:after="60" w:before="40"/>
      </w:pPr>
      <w:r>
        <w:rPr>
          <w:rFonts w:ascii="Arial" w:cs="Arial" w:eastAsia="Arial" w:hAnsi="Arial"/>
          <w:color w:val="22223B"/>
          <w:sz w:val="22"/>
          <w:szCs w:val="22"/>
        </w:rPr>
        <w:t xml:space="preserve">Product blueprint generation for top-10 techniques</w:t>
      </w:r>
    </w:p>
    <w:p>
      <w:pPr>
        <w:pStyle w:val="ListParagraph"/>
        <w:numPr>
          <w:ilvl w:val="0"/>
          <w:numId w:val="2"/>
        </w:numPr>
        <w:spacing w:after="60" w:before="40"/>
      </w:pPr>
      <w:r>
        <w:rPr>
          <w:rFonts w:ascii="Arial" w:cs="Arial" w:eastAsia="Arial" w:hAnsi="Arial"/>
          <w:color w:val="22223B"/>
          <w:sz w:val="22"/>
          <w:szCs w:val="22"/>
        </w:rPr>
        <w:t xml:space="preserve">ML pipeline generator for 5 task categories</w:t>
      </w:r>
    </w:p>
    <w:p>
      <w:pPr>
        <w:pStyle w:val="ListParagraph"/>
        <w:numPr>
          <w:ilvl w:val="0"/>
          <w:numId w:val="2"/>
        </w:numPr>
        <w:spacing w:after="60" w:before="40"/>
      </w:pPr>
      <w:r>
        <w:rPr>
          <w:rFonts w:ascii="Arial" w:cs="Arial" w:eastAsia="Arial" w:hAnsi="Arial"/>
          <w:color w:val="22223B"/>
          <w:sz w:val="22"/>
          <w:szCs w:val="22"/>
        </w:rPr>
        <w:t xml:space="preserve">Dashboard MVP and Telegram alerts</w:t>
      </w:r>
    </w:p>
    <w:p>
      <w:pPr>
        <w:spacing w:after="0" w:before="80"/>
      </w:pPr>
    </w:p>
    <w:p>
      <w:pPr>
        <w:pStyle w:val="Heading2"/>
        <w:spacing w:after="160" w:before="320"/>
      </w:pPr>
      <w:r>
        <w:rPr>
          <w:rFonts w:ascii="Arial" w:cs="Arial" w:eastAsia="Arial" w:hAnsi="Arial"/>
          <w:b/>
          <w:bCs/>
          <w:color w:val="0F3460"/>
          <w:sz w:val="28"/>
          <w:szCs w:val="28"/>
        </w:rPr>
        <w:t xml:space="preserve">Phase 2 — Production Beta (Q3 2025)</w:t>
      </w:r>
    </w:p>
    <w:p>
      <w:pPr>
        <w:pStyle w:val="ListParagraph"/>
        <w:numPr>
          <w:ilvl w:val="0"/>
          <w:numId w:val="2"/>
        </w:numPr>
        <w:spacing w:after="60" w:before="40"/>
      </w:pPr>
      <w:r>
        <w:rPr>
          <w:rFonts w:ascii="Arial" w:cs="Arial" w:eastAsia="Arial" w:hAnsi="Arial"/>
          <w:color w:val="22223B"/>
          <w:sz w:val="22"/>
          <w:szCs w:val="22"/>
        </w:rPr>
        <w:t xml:space="preserve">Full 6-source ingestion (arXiv, GitHub, patents, startups, social, blogs)</w:t>
      </w:r>
    </w:p>
    <w:p>
      <w:pPr>
        <w:pStyle w:val="ListParagraph"/>
        <w:numPr>
          <w:ilvl w:val="0"/>
          <w:numId w:val="2"/>
        </w:numPr>
        <w:spacing w:after="60" w:before="40"/>
      </w:pPr>
      <w:r>
        <w:rPr>
          <w:rFonts w:ascii="Arial" w:cs="Arial" w:eastAsia="Arial" w:hAnsi="Arial"/>
          <w:color w:val="22223B"/>
          <w:sz w:val="22"/>
          <w:szCs w:val="22"/>
        </w:rPr>
        <w:t xml:space="preserve">Memory Agent with cross-session personalization</w:t>
      </w:r>
    </w:p>
    <w:p>
      <w:pPr>
        <w:pStyle w:val="ListParagraph"/>
        <w:numPr>
          <w:ilvl w:val="0"/>
          <w:numId w:val="2"/>
        </w:numPr>
        <w:spacing w:after="60" w:before="40"/>
      </w:pPr>
      <w:r>
        <w:rPr>
          <w:rFonts w:ascii="Arial" w:cs="Arial" w:eastAsia="Arial" w:hAnsi="Arial"/>
          <w:color w:val="22223B"/>
          <w:sz w:val="22"/>
          <w:szCs w:val="22"/>
        </w:rPr>
        <w:t xml:space="preserve">Retraining Agent with automated model promotion</w:t>
      </w:r>
    </w:p>
    <w:p>
      <w:pPr>
        <w:pStyle w:val="ListParagraph"/>
        <w:numPr>
          <w:ilvl w:val="0"/>
          <w:numId w:val="2"/>
        </w:numPr>
        <w:spacing w:after="60" w:before="40"/>
      </w:pPr>
      <w:r>
        <w:rPr>
          <w:rFonts w:ascii="Arial" w:cs="Arial" w:eastAsia="Arial" w:hAnsi="Arial"/>
          <w:color w:val="22223B"/>
          <w:sz w:val="22"/>
          <w:szCs w:val="22"/>
        </w:rPr>
        <w:t xml:space="preserve">REST API with rate limiting and authentication</w:t>
      </w:r>
    </w:p>
    <w:p>
      <w:pPr>
        <w:pStyle w:val="ListParagraph"/>
        <w:numPr>
          <w:ilvl w:val="0"/>
          <w:numId w:val="2"/>
        </w:numPr>
        <w:spacing w:after="60" w:before="40"/>
      </w:pPr>
      <w:r>
        <w:rPr>
          <w:rFonts w:ascii="Arial" w:cs="Arial" w:eastAsia="Arial" w:hAnsi="Arial"/>
          <w:color w:val="22223B"/>
          <w:sz w:val="22"/>
          <w:szCs w:val="22"/>
        </w:rPr>
        <w:t xml:space="preserve">47-category ML task taxonomy for pipeline generation</w:t>
      </w:r>
    </w:p>
    <w:p>
      <w:pPr>
        <w:pStyle w:val="ListParagraph"/>
        <w:numPr>
          <w:ilvl w:val="0"/>
          <w:numId w:val="2"/>
        </w:numPr>
        <w:spacing w:after="60" w:before="40"/>
      </w:pPr>
      <w:r>
        <w:rPr>
          <w:rFonts w:ascii="Arial" w:cs="Arial" w:eastAsia="Arial" w:hAnsi="Arial"/>
          <w:color w:val="22223B"/>
          <w:sz w:val="22"/>
          <w:szCs w:val="22"/>
        </w:rPr>
        <w:t xml:space="preserve">Model export in ONNX, SafeTensors, and TFX formats</w:t>
      </w:r>
    </w:p>
    <w:p>
      <w:pPr>
        <w:spacing w:after="0" w:before="80"/>
      </w:pPr>
    </w:p>
    <w:p>
      <w:pPr>
        <w:pStyle w:val="Heading2"/>
        <w:spacing w:after="160" w:before="320"/>
      </w:pPr>
      <w:r>
        <w:rPr>
          <w:rFonts w:ascii="Arial" w:cs="Arial" w:eastAsia="Arial" w:hAnsi="Arial"/>
          <w:b/>
          <w:bCs/>
          <w:color w:val="0F3460"/>
          <w:sz w:val="28"/>
          <w:szCs w:val="28"/>
        </w:rPr>
        <w:t xml:space="preserve">Phase 3 — Enterprise Features (Q1 2026)</w:t>
      </w:r>
    </w:p>
    <w:p>
      <w:pPr>
        <w:pStyle w:val="ListParagraph"/>
        <w:numPr>
          <w:ilvl w:val="0"/>
          <w:numId w:val="2"/>
        </w:numPr>
        <w:spacing w:after="60" w:before="40"/>
      </w:pPr>
      <w:r>
        <w:rPr>
          <w:rFonts w:ascii="Arial" w:cs="Arial" w:eastAsia="Arial" w:hAnsi="Arial"/>
          <w:color w:val="22223B"/>
          <w:sz w:val="22"/>
          <w:szCs w:val="22"/>
        </w:rPr>
        <w:t xml:space="preserve">Competitive intelligence module with org-level monitoring</w:t>
      </w:r>
    </w:p>
    <w:p>
      <w:pPr>
        <w:pStyle w:val="ListParagraph"/>
        <w:numPr>
          <w:ilvl w:val="0"/>
          <w:numId w:val="2"/>
        </w:numPr>
        <w:spacing w:after="60" w:before="40"/>
      </w:pPr>
      <w:r>
        <w:rPr>
          <w:rFonts w:ascii="Arial" w:cs="Arial" w:eastAsia="Arial" w:hAnsi="Arial"/>
          <w:color w:val="22223B"/>
          <w:sz w:val="22"/>
          <w:szCs w:val="22"/>
        </w:rPr>
        <w:t xml:space="preserve">Patent landscape navigation with freedom-to-operate analysis</w:t>
      </w:r>
    </w:p>
    <w:p>
      <w:pPr>
        <w:pStyle w:val="ListParagraph"/>
        <w:numPr>
          <w:ilvl w:val="0"/>
          <w:numId w:val="2"/>
        </w:numPr>
        <w:spacing w:after="60" w:before="40"/>
      </w:pPr>
      <w:r>
        <w:rPr>
          <w:rFonts w:ascii="Arial" w:cs="Arial" w:eastAsia="Arial" w:hAnsi="Arial"/>
          <w:color w:val="22223B"/>
          <w:sz w:val="22"/>
          <w:szCs w:val="22"/>
        </w:rPr>
        <w:t xml:space="preserve">Cross-domain transfer detection across 12 scientific domains</w:t>
      </w:r>
    </w:p>
    <w:p>
      <w:pPr>
        <w:pStyle w:val="ListParagraph"/>
        <w:numPr>
          <w:ilvl w:val="0"/>
          <w:numId w:val="2"/>
        </w:numPr>
        <w:spacing w:after="60" w:before="40"/>
      </w:pPr>
      <w:r>
        <w:rPr>
          <w:rFonts w:ascii="Arial" w:cs="Arial" w:eastAsia="Arial" w:hAnsi="Arial"/>
          <w:color w:val="22223B"/>
          <w:sz w:val="22"/>
          <w:szCs w:val="22"/>
        </w:rPr>
        <w:t xml:space="preserve">Research team skill gap analysis and personalized learning paths</w:t>
      </w:r>
    </w:p>
    <w:p>
      <w:pPr>
        <w:pStyle w:val="ListParagraph"/>
        <w:numPr>
          <w:ilvl w:val="0"/>
          <w:numId w:val="2"/>
        </w:numPr>
        <w:spacing w:after="60" w:before="40"/>
      </w:pPr>
      <w:r>
        <w:rPr>
          <w:rFonts w:ascii="Arial" w:cs="Arial" w:eastAsia="Arial" w:hAnsi="Arial"/>
          <w:color w:val="22223B"/>
          <w:sz w:val="22"/>
          <w:szCs w:val="22"/>
        </w:rPr>
        <w:t xml:space="preserve">On-premise deployment option with private model registry</w:t>
      </w:r>
    </w:p>
    <w:p>
      <w:pPr>
        <w:pStyle w:val="ListParagraph"/>
        <w:numPr>
          <w:ilvl w:val="0"/>
          <w:numId w:val="2"/>
        </w:numPr>
        <w:spacing w:after="60" w:before="40"/>
      </w:pPr>
      <w:r>
        <w:rPr>
          <w:rFonts w:ascii="Arial" w:cs="Arial" w:eastAsia="Arial" w:hAnsi="Arial"/>
          <w:color w:val="22223B"/>
          <w:sz w:val="22"/>
          <w:szCs w:val="22"/>
        </w:rPr>
        <w:t xml:space="preserve">SSO integration, role-based access control, audit logging</w:t>
      </w:r>
    </w:p>
    <w:p>
      <w:pPr>
        <w:pBdr>
          <w:bottom w:val="single" w:color="DDDDDD" w:sz="4" w:space="1"/>
        </w:pBdr>
        <w:spacing w:after="200" w:before="200"/>
      </w:pPr>
    </w:p>
    <w:p>
      <w:pPr>
        <w:pStyle w:val="Heading1"/>
        <w:pBdr>
          <w:bottom w:val="single" w:color="E94560" w:sz="8" w:space="4"/>
        </w:pBdr>
        <w:spacing w:after="200" w:before="400"/>
      </w:pPr>
      <w:r>
        <w:rPr>
          <w:rFonts w:ascii="Arial" w:cs="Arial" w:eastAsia="Arial" w:hAnsi="Arial"/>
          <w:b/>
          <w:bCs/>
          <w:color w:val="1A1A2E"/>
          <w:sz w:val="36"/>
          <w:szCs w:val="36"/>
        </w:rPr>
        <w:t xml:space="preserve">12. Team &amp; Submission</w:t>
      </w:r>
    </w:p>
    <w:p>
      <w:pPr>
        <w:spacing w:after="120" w:before="80"/>
      </w:pPr>
      <w:r>
        <w:rPr>
          <w:rFonts w:ascii="Arial" w:cs="Arial" w:eastAsia="Arial" w:hAnsi="Arial"/>
          <w:color w:val="22223B"/>
          <w:sz w:val="22"/>
          <w:szCs w:val="22"/>
        </w:rPr>
        <w:t xml:space="preserve">This project is submitted by the Samsung R&amp;D team to the OpenClaw Hackathon under the GenAI Research theme. The platform is designed to serve R&amp;D organizations, corporate innovation labs, venture capital research teams, and startup founders who need to stay ahead of the AI research frontier without the overhead of manual paper curation.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94560" w:sz="4"/>
              <w:left w:val="single" w:color="E94560" w:sz="4"/>
              <w:bottom w:val="single" w:color="E94560" w:sz="4"/>
              <w:right w:val="single" w:color="E94560"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THEME FIT</w:t>
            </w:r>
          </w:p>
        </w:tc>
        <w:tc>
          <w:tcPr>
            <w:tcW w:type="dxa" w:w="8360"/>
            <w:tcBorders>
              <w:top w:val="single" w:color="EEEEEE" w:sz="4"/>
              <w:left w:val="single" w:color="EEEEEE" w:sz="4"/>
              <w:bottom w:val="single" w:color="EEEEEE" w:sz="4"/>
              <w:right w:val="single" w:color="EEEEEE" w:sz="4"/>
            </w:tcBorders>
            <w:shd w:fill="F9F9FB" w:val="clear"/>
            <w:tcMar>
              <w:top w:type="dxa" w:w="100"/>
              <w:left w:type="dxa" w:w="160"/>
              <w:bottom w:type="dxa" w:w="100"/>
              <w:right w:type="dxa" w:w="160"/>
            </w:tcMar>
          </w:tcPr>
          <w:p>
            <w:r>
              <w:rPr>
                <w:rFonts w:ascii="Arial" w:cs="Arial" w:eastAsia="Arial" w:hAnsi="Arial"/>
                <w:color w:val="22223B"/>
                <w:sz w:val="21"/>
                <w:szCs w:val="21"/>
              </w:rPr>
              <w:t xml:space="preserve">VectorMinds is a native GenAI Research platform. Every component — from the embedding engine to the blueprint generator to the pipeline launcher — is designed specifically to accelerate AI research intelligence. OpenClaw is not bolted on; it is the operational backbone.</w:t>
            </w:r>
          </w:p>
        </w:tc>
      </w:tr>
    </w:tbl>
    <w:p>
      <w:pPr>
        <w:spacing w:after="0" w:before="160"/>
      </w:pPr>
    </w:p>
    <w:p>
      <w:pPr>
        <w:spacing w:after="120" w:before="80"/>
      </w:pPr>
      <w:r>
        <w:rPr>
          <w:rFonts w:ascii="Arial" w:cs="Arial" w:eastAsia="Arial" w:hAnsi="Arial"/>
          <w:i/>
          <w:iCs/>
          <w:color w:val="4A4E69"/>
          <w:sz w:val="18"/>
          <w:szCs w:val="18"/>
        </w:rPr>
        <w:t xml:space="preserve">Document Version: 1.0 | Prepared for Samsung R&amp;D OpenClaw Hackathon | GenAI Research Theme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4A4E69"/>
        <w:sz w:val="16"/>
        <w:szCs w:val="16"/>
      </w:rPr>
      <w:t xml:space="preserve">OpenClaw Hackathon · Samsung R&amp;D · 2025</w:t>
    </w:r>
    <w:r>
      <w:rPr>
        <w:rFonts w:ascii="Arial" w:cs="Arial" w:eastAsia="Arial" w:hAnsi="Arial"/>
        <w:color w:val="4A4E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6" w:space="4"/>
      </w:pBdr>
    </w:pPr>
    <w:r>
      <w:rPr>
        <w:rFonts w:ascii="Arial" w:cs="Arial" w:eastAsia="Arial" w:hAnsi="Arial"/>
        <w:i/>
        <w:iCs/>
        <w:color w:val="4A4E69"/>
        <w:sz w:val="18"/>
        <w:szCs w:val="18"/>
      </w:rPr>
      <w:t xml:space="preserve">VectorMinds — GenAI Research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A4E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2026-05-04T14:56:25.827Z</dcterms:created>
  <dcterms:modified xsi:type="dcterms:W3CDTF">2026-05-04T14:56:25.828Z</dcterms:modified>
</cp:coreProperties>
</file>

<file path=docProps/custom.xml><?xml version="1.0" encoding="utf-8"?>
<Properties xmlns="http://schemas.openxmlformats.org/officeDocument/2006/custom-properties" xmlns:vt="http://schemas.openxmlformats.org/officeDocument/2006/docPropsVTypes"/>
</file>