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2B2734">
      <w:pPr>
        <w:spacing w:after="906" w:line="264" w:lineRule="auto"/>
        <w:ind w:left="0" w:right="0" w:firstLine="0"/>
        <w:jc w:val="left"/>
        <w:rPr>
          <w:sz w:val="34"/>
        </w:rPr>
      </w:pPr>
      <w:r>
        <w:rPr>
          <w:rFonts w:ascii="Verdana" w:hAnsi="Verdana" w:eastAsia="宋体" w:cs="Verdana"/>
          <w:i w:val="0"/>
          <w:iCs w:val="0"/>
          <w:caps w:val="0"/>
          <w:color w:val="000000"/>
          <w:spacing w:val="0"/>
          <w:sz w:val="16"/>
          <w:szCs w:val="16"/>
          <w:shd w:val="clear" w:fill="FFFFFF"/>
        </w:rPr>
        <w:t>Reviewer: 1</w:t>
      </w:r>
      <w:r>
        <w:rPr>
          <w:rFonts w:hint="default" w:ascii="Verdana" w:hAnsi="Verdana" w:eastAsia="宋体" w:cs="Verdana"/>
          <w:i w:val="0"/>
          <w:iCs w:val="0"/>
          <w:caps w:val="0"/>
          <w:color w:val="000000"/>
          <w:spacing w:val="0"/>
          <w:sz w:val="16"/>
          <w:szCs w:val="16"/>
          <w:shd w:val="clear" w:fill="FFFFFF"/>
        </w:rPr>
        <w:br w:type="textWrapping"/>
      </w:r>
      <w:r>
        <w:rPr>
          <w:rFonts w:hint="default" w:ascii="Verdana" w:hAnsi="Verdana" w:eastAsia="宋体" w:cs="Verdana"/>
          <w:i w:val="0"/>
          <w:iCs w:val="0"/>
          <w:caps w:val="0"/>
          <w:color w:val="000000"/>
          <w:spacing w:val="0"/>
          <w:sz w:val="16"/>
          <w:szCs w:val="16"/>
          <w:shd w:val="clear" w:fill="FFFFFF"/>
        </w:rPr>
        <w:br w:type="textWrapping"/>
      </w:r>
      <w:r>
        <w:rPr>
          <w:rFonts w:hint="default" w:ascii="Verdana" w:hAnsi="Verdana" w:eastAsia="宋体" w:cs="Verdana"/>
          <w:i w:val="0"/>
          <w:iCs w:val="0"/>
          <w:caps w:val="0"/>
          <w:color w:val="000000"/>
          <w:spacing w:val="0"/>
          <w:sz w:val="16"/>
          <w:szCs w:val="16"/>
          <w:shd w:val="clear" w:fill="FFFFFF"/>
        </w:rPr>
        <w:t>Comments to the Author</w:t>
      </w:r>
      <w:r>
        <w:rPr>
          <w:rFonts w:hint="default" w:ascii="Verdana" w:hAnsi="Verdana" w:eastAsia="宋体" w:cs="Verdana"/>
          <w:i w:val="0"/>
          <w:iCs w:val="0"/>
          <w:caps w:val="0"/>
          <w:color w:val="000000"/>
          <w:spacing w:val="0"/>
          <w:sz w:val="16"/>
          <w:szCs w:val="16"/>
          <w:shd w:val="clear" w:fill="FFFFFF"/>
        </w:rPr>
        <w:br w:type="textWrapping"/>
      </w:r>
      <w:r>
        <w:rPr>
          <w:rFonts w:hint="default" w:ascii="Verdana" w:hAnsi="Verdana" w:eastAsia="宋体" w:cs="Verdana"/>
          <w:i w:val="0"/>
          <w:iCs w:val="0"/>
          <w:caps w:val="0"/>
          <w:color w:val="000000"/>
          <w:spacing w:val="0"/>
          <w:sz w:val="16"/>
          <w:szCs w:val="16"/>
          <w:shd w:val="clear" w:fill="FFFFFF"/>
        </w:rPr>
        <w:t>This manuscript proposes a jointly optimized asynchronous neuromorphic architecture for wearable EEG emotion recognition, integrating a Dynamic Adaptive Spiking Neural Network (DA-SNN) with a globally asynchronous locally synchronous (GALS) hardware accelerator. The authors evaluate the proposed framework on multiple datasets, and the results demonstrate its effectiveness and potential for deployment. The cross-layer design that combines algorithmic sparsity with hardware-level optimization is interesting, and the work shows certain novelty with potential practical relevance in wearable scenarios. However, several issues need to be addressed:</w:t>
      </w:r>
      <w:r>
        <w:rPr>
          <w:rFonts w:hint="default" w:ascii="Verdana" w:hAnsi="Verdana" w:eastAsia="宋体" w:cs="Verdana"/>
          <w:i w:val="0"/>
          <w:iCs w:val="0"/>
          <w:caps w:val="0"/>
          <w:color w:val="000000"/>
          <w:spacing w:val="0"/>
          <w:sz w:val="16"/>
          <w:szCs w:val="16"/>
          <w:shd w:val="clear" w:fill="FFFFFF"/>
        </w:rPr>
        <w:br w:type="textWrapping"/>
      </w:r>
      <w:r>
        <w:rPr>
          <w:rFonts w:hint="default" w:ascii="Verdana" w:hAnsi="Verdana" w:eastAsia="宋体" w:cs="Verdana"/>
          <w:i w:val="0"/>
          <w:iCs w:val="0"/>
          <w:caps w:val="0"/>
          <w:color w:val="000000"/>
          <w:spacing w:val="0"/>
          <w:sz w:val="16"/>
          <w:szCs w:val="16"/>
          <w:shd w:val="clear" w:fill="FFFFFF"/>
        </w:rPr>
        <w:t>1. Although results are reported on five datasets, it is not clear how the experiments are actually conducted. For instance, the 96.98% accuracy on SEED is reported without specifying whether it is based on subject-dependent training or a cross-session setting. The same issue appears for DEAP and DREAMER, where the data splitting strategy is not described.</w:t>
      </w:r>
      <w:r>
        <w:rPr>
          <w:rFonts w:hint="default" w:ascii="Verdana" w:hAnsi="Verdana" w:eastAsia="宋体" w:cs="Verdana"/>
          <w:i w:val="0"/>
          <w:iCs w:val="0"/>
          <w:caps w:val="0"/>
          <w:color w:val="000000"/>
          <w:spacing w:val="0"/>
          <w:sz w:val="16"/>
          <w:szCs w:val="16"/>
          <w:shd w:val="clear" w:fill="FFFFFF"/>
        </w:rPr>
        <w:br w:type="textWrapping"/>
      </w:r>
      <w:r>
        <w:rPr>
          <w:rFonts w:hint="default" w:ascii="Verdana" w:hAnsi="Verdana" w:eastAsia="宋体" w:cs="Verdana"/>
          <w:i w:val="0"/>
          <w:iCs w:val="0"/>
          <w:caps w:val="0"/>
          <w:color w:val="000000"/>
          <w:spacing w:val="0"/>
          <w:sz w:val="16"/>
          <w:szCs w:val="16"/>
          <w:shd w:val="clear" w:fill="FFFFFF"/>
        </w:rPr>
        <w:t>2. The role of some key components is also not very clear. The paper attributes performance gains to the adaptive temporal window and the gating mechanisms, but the main text does not really show what is happening in practice. The supplementary material includes some theoretical discussion, but in the main paper there is little evidence to support these claims.</w:t>
      </w:r>
      <w:r>
        <w:rPr>
          <w:rFonts w:hint="default" w:ascii="Verdana" w:hAnsi="Verdana" w:eastAsia="宋体" w:cs="Verdana"/>
          <w:i w:val="0"/>
          <w:iCs w:val="0"/>
          <w:caps w:val="0"/>
          <w:color w:val="000000"/>
          <w:spacing w:val="0"/>
          <w:sz w:val="16"/>
          <w:szCs w:val="16"/>
          <w:shd w:val="clear" w:fill="FFFFFF"/>
        </w:rPr>
        <w:br w:type="textWrapping"/>
      </w:r>
      <w:r>
        <w:rPr>
          <w:rFonts w:hint="default" w:ascii="Verdana" w:hAnsi="Verdana" w:eastAsia="宋体" w:cs="Verdana"/>
          <w:i w:val="0"/>
          <w:iCs w:val="0"/>
          <w:caps w:val="0"/>
          <w:color w:val="000000"/>
          <w:spacing w:val="0"/>
          <w:sz w:val="16"/>
          <w:szCs w:val="16"/>
          <w:shd w:val="clear" w:fill="FFFFFF"/>
        </w:rPr>
        <w:t>3. The ablation study is quite limited. It is only done on the SEED dataset, and the main modules are not tested on DEAP or DREAMER, where the signal properties and channel configurations are different. Without these results, it is difficult to tell whether the improvements are consistent across datasets.</w:t>
      </w:r>
      <w:r>
        <w:rPr>
          <w:rFonts w:hint="default" w:ascii="Verdana" w:hAnsi="Verdana" w:eastAsia="宋体" w:cs="Verdana"/>
          <w:i w:val="0"/>
          <w:iCs w:val="0"/>
          <w:caps w:val="0"/>
          <w:color w:val="000000"/>
          <w:spacing w:val="0"/>
          <w:sz w:val="16"/>
          <w:szCs w:val="16"/>
          <w:shd w:val="clear" w:fill="FFFFFF"/>
        </w:rPr>
        <w:br w:type="textWrapping"/>
      </w:r>
      <w:r>
        <w:rPr>
          <w:rFonts w:hint="default" w:ascii="Verdana" w:hAnsi="Verdana" w:eastAsia="宋体" w:cs="Verdana"/>
          <w:i w:val="0"/>
          <w:iCs w:val="0"/>
          <w:caps w:val="0"/>
          <w:color w:val="000000"/>
          <w:spacing w:val="0"/>
          <w:sz w:val="16"/>
          <w:szCs w:val="16"/>
          <w:shd w:val="clear" w:fill="FFFFFF"/>
        </w:rPr>
        <w:t>4. The hardware section is not very easy to follow. In Fig. 4(a), the interaction between the synchronous and asynchronous parts is not clearly illustrated, and the handshake mechanism is only briefly mentioned. It is also not very clear how the claimed energy efficiency of the GALS design is achieved, for example, how it relates to event sparsity or clock gating.</w:t>
      </w:r>
      <w:r>
        <w:rPr>
          <w:rFonts w:hint="default" w:ascii="Verdana" w:hAnsi="Verdana" w:eastAsia="宋体" w:cs="Verdana"/>
          <w:i w:val="0"/>
          <w:iCs w:val="0"/>
          <w:caps w:val="0"/>
          <w:color w:val="000000"/>
          <w:spacing w:val="0"/>
          <w:sz w:val="16"/>
          <w:szCs w:val="16"/>
          <w:shd w:val="clear" w:fill="FFFFFF"/>
        </w:rPr>
        <w:br w:type="textWrapping"/>
      </w:r>
      <w:r>
        <w:rPr>
          <w:rFonts w:hint="default" w:ascii="Verdana" w:hAnsi="Verdana" w:eastAsia="宋体" w:cs="Verdana"/>
          <w:i w:val="0"/>
          <w:iCs w:val="0"/>
          <w:caps w:val="0"/>
          <w:color w:val="000000"/>
          <w:spacing w:val="0"/>
          <w:sz w:val="16"/>
          <w:szCs w:val="16"/>
          <w:shd w:val="clear" w:fill="FFFFFF"/>
        </w:rPr>
        <w:t>5. There are also some inconsistencies in terminology. Terms like “temporal window,” “time window,” and “spiking window” are used in different places without clear distinctions. The model naming is also not consistent (e.g., DA-SNN, ATSNN, adaptive SNN). In Table 1, metrics such as Acc, F1, and Spe are reported, but their definitions are not clearly given in the main text.</w:t>
      </w:r>
      <w:r>
        <w:rPr>
          <w:rFonts w:hint="default" w:ascii="Verdana" w:hAnsi="Verdana" w:eastAsia="宋体" w:cs="Verdana"/>
          <w:i w:val="0"/>
          <w:iCs w:val="0"/>
          <w:caps w:val="0"/>
          <w:color w:val="000000"/>
          <w:spacing w:val="0"/>
          <w:sz w:val="16"/>
          <w:szCs w:val="16"/>
          <w:shd w:val="clear" w:fill="FFFFFF"/>
        </w:rPr>
        <w:br w:type="textWrapping"/>
      </w:r>
      <w:r>
        <w:rPr>
          <w:rFonts w:hint="default" w:ascii="Verdana" w:hAnsi="Verdana" w:eastAsia="宋体" w:cs="Verdana"/>
          <w:i w:val="0"/>
          <w:iCs w:val="0"/>
          <w:caps w:val="0"/>
          <w:color w:val="000000"/>
          <w:spacing w:val="0"/>
          <w:sz w:val="16"/>
          <w:szCs w:val="16"/>
          <w:shd w:val="clear" w:fill="FFFFFF"/>
        </w:rPr>
        <w:t>6. Fig. 4 does not clearly indicate whether the data is represented as tensors or spike events, which makes the processing pipeline difficult to follow.</w:t>
      </w:r>
      <w:r>
        <w:rPr>
          <w:rFonts w:hint="default" w:ascii="Verdana" w:hAnsi="Verdana" w:eastAsia="宋体" w:cs="Verdana"/>
          <w:i w:val="0"/>
          <w:iCs w:val="0"/>
          <w:caps w:val="0"/>
          <w:color w:val="000000"/>
          <w:spacing w:val="0"/>
          <w:sz w:val="16"/>
          <w:szCs w:val="16"/>
          <w:shd w:val="clear" w:fill="FFFFFF"/>
        </w:rPr>
        <w:br w:type="textWrapping"/>
      </w:r>
      <w:r>
        <w:rPr>
          <w:rFonts w:hint="default" w:ascii="Verdana" w:hAnsi="Verdana" w:eastAsia="宋体" w:cs="Verdana"/>
          <w:i w:val="0"/>
          <w:iCs w:val="0"/>
          <w:caps w:val="0"/>
          <w:color w:val="000000"/>
          <w:spacing w:val="0"/>
          <w:sz w:val="16"/>
          <w:szCs w:val="16"/>
          <w:shd w:val="clear" w:fill="FFFFFF"/>
        </w:rPr>
        <w:t>7. The introduction provides general background, but the specific research gap is not stated very clearly. The motivation for combining asynchronous hardware with EEG-based SNNs could be explained more directly, especially in relation to existing methods.</w:t>
      </w:r>
      <w:r>
        <w:rPr>
          <w:rFonts w:hint="default" w:ascii="Verdana" w:hAnsi="Verdana" w:eastAsia="宋体" w:cs="Verdana"/>
          <w:i w:val="0"/>
          <w:iCs w:val="0"/>
          <w:caps w:val="0"/>
          <w:color w:val="000000"/>
          <w:spacing w:val="0"/>
          <w:sz w:val="16"/>
          <w:szCs w:val="16"/>
          <w:shd w:val="clear" w:fill="FFFFFF"/>
        </w:rPr>
        <w:br w:type="textWrapping"/>
      </w:r>
      <w:r>
        <w:rPr>
          <w:rFonts w:hint="default" w:ascii="Verdana" w:hAnsi="Verdana" w:eastAsia="宋体" w:cs="Verdana"/>
          <w:i w:val="0"/>
          <w:iCs w:val="0"/>
          <w:caps w:val="0"/>
          <w:color w:val="000000"/>
          <w:spacing w:val="0"/>
          <w:sz w:val="16"/>
          <w:szCs w:val="16"/>
          <w:shd w:val="clear" w:fill="FFFFFF"/>
        </w:rPr>
        <w:br w:type="textWrapping"/>
      </w:r>
      <w:r>
        <w:rPr>
          <w:rFonts w:hint="default" w:ascii="Verdana" w:hAnsi="Verdana" w:eastAsia="宋体" w:cs="Verdana"/>
          <w:i w:val="0"/>
          <w:iCs w:val="0"/>
          <w:caps w:val="0"/>
          <w:color w:val="000000"/>
          <w:spacing w:val="0"/>
          <w:sz w:val="16"/>
          <w:szCs w:val="16"/>
          <w:shd w:val="clear" w:fill="FFFFFF"/>
        </w:rPr>
        <w:br w:type="textWrapping"/>
      </w:r>
      <w:r>
        <w:rPr>
          <w:rFonts w:hint="default" w:ascii="Verdana" w:hAnsi="Verdana" w:eastAsia="宋体" w:cs="Verdana"/>
          <w:i w:val="0"/>
          <w:iCs w:val="0"/>
          <w:caps w:val="0"/>
          <w:color w:val="000000"/>
          <w:spacing w:val="0"/>
          <w:sz w:val="16"/>
          <w:szCs w:val="16"/>
          <w:shd w:val="clear" w:fill="FFFFFF"/>
        </w:rPr>
        <w:t>Reviewer: 2</w:t>
      </w:r>
      <w:r>
        <w:rPr>
          <w:rFonts w:hint="default" w:ascii="Verdana" w:hAnsi="Verdana" w:eastAsia="宋体" w:cs="Verdana"/>
          <w:i w:val="0"/>
          <w:iCs w:val="0"/>
          <w:caps w:val="0"/>
          <w:color w:val="000000"/>
          <w:spacing w:val="0"/>
          <w:sz w:val="16"/>
          <w:szCs w:val="16"/>
          <w:shd w:val="clear" w:fill="FFFFFF"/>
        </w:rPr>
        <w:br w:type="textWrapping"/>
      </w:r>
      <w:r>
        <w:rPr>
          <w:rFonts w:hint="default" w:ascii="Verdana" w:hAnsi="Verdana" w:eastAsia="宋体" w:cs="Verdana"/>
          <w:i w:val="0"/>
          <w:iCs w:val="0"/>
          <w:caps w:val="0"/>
          <w:color w:val="000000"/>
          <w:spacing w:val="0"/>
          <w:sz w:val="16"/>
          <w:szCs w:val="16"/>
          <w:shd w:val="clear" w:fill="FFFFFF"/>
        </w:rPr>
        <w:br w:type="textWrapping"/>
      </w:r>
      <w:r>
        <w:rPr>
          <w:rFonts w:hint="default" w:ascii="Verdana" w:hAnsi="Verdana" w:eastAsia="宋体" w:cs="Verdana"/>
          <w:i w:val="0"/>
          <w:iCs w:val="0"/>
          <w:caps w:val="0"/>
          <w:color w:val="000000"/>
          <w:spacing w:val="0"/>
          <w:sz w:val="16"/>
          <w:szCs w:val="16"/>
          <w:shd w:val="clear" w:fill="FFFFFF"/>
        </w:rPr>
        <w:t>Comments to the Author</w:t>
      </w:r>
      <w:r>
        <w:rPr>
          <w:rFonts w:hint="default" w:ascii="Verdana" w:hAnsi="Verdana" w:eastAsia="宋体" w:cs="Verdana"/>
          <w:i w:val="0"/>
          <w:iCs w:val="0"/>
          <w:caps w:val="0"/>
          <w:color w:val="000000"/>
          <w:spacing w:val="0"/>
          <w:sz w:val="16"/>
          <w:szCs w:val="16"/>
          <w:shd w:val="clear" w:fill="FFFFFF"/>
        </w:rPr>
        <w:br w:type="textWrapping"/>
      </w:r>
      <w:r>
        <w:rPr>
          <w:rFonts w:hint="default" w:ascii="Verdana" w:hAnsi="Verdana" w:eastAsia="宋体" w:cs="Verdana"/>
          <w:i w:val="0"/>
          <w:iCs w:val="0"/>
          <w:caps w:val="0"/>
          <w:color w:val="000000"/>
          <w:spacing w:val="0"/>
          <w:sz w:val="16"/>
          <w:szCs w:val="16"/>
          <w:shd w:val="clear" w:fill="FFFFFF"/>
        </w:rPr>
        <w:t>This paper proposes an end-to-end asynchronous neuromorphic architecture for wearable EEG emotion recognition. The authors achieve joint optimization from algorithms to hardware: at the algorithm level, they introduce a lightweight Dynamic Adaptive Spiking Neural Network (DA-SNN) that utilizes a Depthwise Separable Gating Module (DSGM) for feature extraction and a Division-Free Time-to-First-Spike (DF-TTFS) encoding to convert dense EEG signals into sparse spike events. At the hardware level, a Globally Asynchronous Locally Synchronous (GALS) accelerator is designed to perform event-driven computation. The system achieves a high accuracy of 96.98% on the SEED dataset. Hardware evaluation demonstrates a low energy consumption of 2.66 µJ per inference and a dynamic power of 40 mW. Overall, this work provides a highly promising, energy-efficient solution for resource-constrained wearable emotion monitoring.</w:t>
      </w:r>
      <w:r>
        <w:rPr>
          <w:rFonts w:hint="default" w:ascii="Verdana" w:hAnsi="Verdana" w:eastAsia="宋体" w:cs="Verdana"/>
          <w:i w:val="0"/>
          <w:iCs w:val="0"/>
          <w:caps w:val="0"/>
          <w:color w:val="000000"/>
          <w:spacing w:val="0"/>
          <w:sz w:val="16"/>
          <w:szCs w:val="16"/>
          <w:shd w:val="clear" w:fill="FFFFFF"/>
        </w:rPr>
        <w:br w:type="textWrapping"/>
      </w:r>
      <w:r>
        <w:rPr>
          <w:rFonts w:hint="default" w:ascii="Verdana" w:hAnsi="Verdana" w:eastAsia="宋体" w:cs="Verdana"/>
          <w:i w:val="0"/>
          <w:iCs w:val="0"/>
          <w:caps w:val="0"/>
          <w:color w:val="000000"/>
          <w:spacing w:val="0"/>
          <w:sz w:val="16"/>
          <w:szCs w:val="16"/>
          <w:shd w:val="clear" w:fill="FFFFFF"/>
        </w:rPr>
        <w:br w:type="textWrapping"/>
      </w:r>
      <w:r>
        <w:rPr>
          <w:rFonts w:hint="default" w:ascii="Verdana" w:hAnsi="Verdana" w:eastAsia="宋体" w:cs="Verdana"/>
          <w:i w:val="0"/>
          <w:iCs w:val="0"/>
          <w:caps w:val="0"/>
          <w:color w:val="000000"/>
          <w:spacing w:val="0"/>
          <w:sz w:val="16"/>
          <w:szCs w:val="16"/>
          <w:shd w:val="clear" w:fill="FFFFFF"/>
        </w:rPr>
        <w:t>However, there are several critical issues that must be addressed before the manuscript can be considered for publication:</w:t>
      </w:r>
      <w:r>
        <w:rPr>
          <w:rFonts w:hint="default" w:ascii="Verdana" w:hAnsi="Verdana" w:eastAsia="宋体" w:cs="Verdana"/>
          <w:i w:val="0"/>
          <w:iCs w:val="0"/>
          <w:caps w:val="0"/>
          <w:color w:val="000000"/>
          <w:spacing w:val="0"/>
          <w:sz w:val="16"/>
          <w:szCs w:val="16"/>
          <w:shd w:val="clear" w:fill="FFFFFF"/>
        </w:rPr>
        <w:br w:type="textWrapping"/>
      </w:r>
      <w:r>
        <w:rPr>
          <w:rFonts w:hint="default" w:ascii="Verdana" w:hAnsi="Verdana" w:eastAsia="宋体" w:cs="Verdana"/>
          <w:i w:val="0"/>
          <w:iCs w:val="0"/>
          <w:caps w:val="0"/>
          <w:color w:val="000000"/>
          <w:spacing w:val="0"/>
          <w:sz w:val="16"/>
          <w:szCs w:val="16"/>
          <w:shd w:val="clear" w:fill="FFFFFF"/>
        </w:rPr>
        <w:br w:type="textWrapping"/>
      </w:r>
      <w:r>
        <w:rPr>
          <w:rFonts w:hint="default" w:ascii="Verdana" w:hAnsi="Verdana" w:eastAsia="宋体" w:cs="Verdana"/>
          <w:i w:val="0"/>
          <w:iCs w:val="0"/>
          <w:caps w:val="0"/>
          <w:color w:val="000000"/>
          <w:spacing w:val="0"/>
          <w:sz w:val="16"/>
          <w:szCs w:val="16"/>
          <w:shd w:val="clear" w:fill="FFFFFF"/>
        </w:rPr>
        <w:t>1.In the efficiency analysis, the hardware comparison is fundamentally unbalanced. The energy efficiency of the proposed GALS accelerator, deployed on a customized FPGA, is compared directly against conventional lightweight CNNs running on a general-purpose ARM processor (Raspberry Pi 5). This "apples-to-oranges" comparison fails to objectively demonstrate the true architectural advantages of the asynchronous design against appropriate hardware-level baselines.</w:t>
      </w:r>
      <w:r>
        <w:rPr>
          <w:rFonts w:hint="default" w:ascii="Verdana" w:hAnsi="Verdana" w:eastAsia="宋体" w:cs="Verdana"/>
          <w:i w:val="0"/>
          <w:iCs w:val="0"/>
          <w:caps w:val="0"/>
          <w:color w:val="000000"/>
          <w:spacing w:val="0"/>
          <w:sz w:val="16"/>
          <w:szCs w:val="16"/>
          <w:shd w:val="clear" w:fill="FFFFFF"/>
        </w:rPr>
        <w:br w:type="textWrapping"/>
      </w:r>
      <w:r>
        <w:rPr>
          <w:rFonts w:hint="default" w:ascii="Verdana" w:hAnsi="Verdana" w:eastAsia="宋体" w:cs="Verdana"/>
          <w:i w:val="0"/>
          <w:iCs w:val="0"/>
          <w:caps w:val="0"/>
          <w:color w:val="000000"/>
          <w:spacing w:val="0"/>
          <w:sz w:val="16"/>
          <w:szCs w:val="16"/>
          <w:shd w:val="clear" w:fill="FFFFFF"/>
        </w:rPr>
        <w:br w:type="textWrapping"/>
      </w:r>
      <w:r>
        <w:rPr>
          <w:rFonts w:hint="default" w:ascii="Verdana" w:hAnsi="Verdana" w:eastAsia="宋体" w:cs="Verdana"/>
          <w:i w:val="0"/>
          <w:iCs w:val="0"/>
          <w:caps w:val="0"/>
          <w:color w:val="000000"/>
          <w:spacing w:val="0"/>
          <w:sz w:val="16"/>
          <w:szCs w:val="16"/>
          <w:shd w:val="clear" w:fill="FFFFFF"/>
        </w:rPr>
        <w:t>2.Affective EEG signals are highly subject-dependent. While the paper reports exceptionally high accuracies across datasets, it fails to explicitly state whether these results are derived from "within-subject" or"cross-subject" (leave-one-subject-out) cross-validation. Given the wearable context, the omission of clear cross-subject generalization metrics is a major empirical flaw.</w:t>
      </w:r>
      <w:r>
        <w:rPr>
          <w:rFonts w:hint="default" w:ascii="Verdana" w:hAnsi="Verdana" w:eastAsia="宋体" w:cs="Verdana"/>
          <w:i w:val="0"/>
          <w:iCs w:val="0"/>
          <w:caps w:val="0"/>
          <w:color w:val="000000"/>
          <w:spacing w:val="0"/>
          <w:sz w:val="16"/>
          <w:szCs w:val="16"/>
          <w:shd w:val="clear" w:fill="FFFFFF"/>
        </w:rPr>
        <w:br w:type="textWrapping"/>
      </w:r>
      <w:r>
        <w:rPr>
          <w:rFonts w:hint="default" w:ascii="Verdana" w:hAnsi="Verdana" w:eastAsia="宋体" w:cs="Verdana"/>
          <w:i w:val="0"/>
          <w:iCs w:val="0"/>
          <w:caps w:val="0"/>
          <w:color w:val="000000"/>
          <w:spacing w:val="0"/>
          <w:sz w:val="16"/>
          <w:szCs w:val="16"/>
          <w:shd w:val="clear" w:fill="FFFFFF"/>
        </w:rPr>
        <w:br w:type="textWrapping"/>
      </w:r>
      <w:r>
        <w:rPr>
          <w:rFonts w:hint="default" w:ascii="Verdana" w:hAnsi="Verdana" w:eastAsia="宋体" w:cs="Verdana"/>
          <w:i w:val="0"/>
          <w:iCs w:val="0"/>
          <w:caps w:val="0"/>
          <w:color w:val="000000"/>
          <w:spacing w:val="0"/>
          <w:sz w:val="16"/>
          <w:szCs w:val="16"/>
          <w:shd w:val="clear" w:fill="FFFFFF"/>
        </w:rPr>
        <w:t>3.The methodology relies heavily on Linear Dynamical System (LDS) smoothing to filter the feature sequences across windows. LDS smoothing inherently requires observing sequences over time, which introduces significant computational latency, memory buffering, and complex matrix operations. The manuscript entirely fails to address how this computationally expensive, latency-inducing smoothing process is executed in real-time on the proposed resource-constrained edge hardware. Ignoring the front-end preprocessing cost renders the "real-time wearable" deployment claims highly questionable.</w:t>
      </w:r>
      <w:r>
        <w:rPr>
          <w:rFonts w:hint="default" w:ascii="Verdana" w:hAnsi="Verdana" w:eastAsia="宋体" w:cs="Verdana"/>
          <w:i w:val="0"/>
          <w:iCs w:val="0"/>
          <w:caps w:val="0"/>
          <w:color w:val="000000"/>
          <w:spacing w:val="0"/>
          <w:sz w:val="16"/>
          <w:szCs w:val="16"/>
          <w:shd w:val="clear" w:fill="FFFFFF"/>
        </w:rPr>
        <w:br w:type="textWrapping"/>
      </w:r>
      <w:r>
        <w:rPr>
          <w:rFonts w:hint="default" w:ascii="Verdana" w:hAnsi="Verdana" w:eastAsia="宋体" w:cs="Verdana"/>
          <w:i w:val="0"/>
          <w:iCs w:val="0"/>
          <w:caps w:val="0"/>
          <w:color w:val="000000"/>
          <w:spacing w:val="0"/>
          <w:sz w:val="16"/>
          <w:szCs w:val="16"/>
          <w:shd w:val="clear" w:fill="FFFFFF"/>
        </w:rPr>
        <w:br w:type="textWrapping"/>
      </w:r>
      <w:r>
        <w:rPr>
          <w:rFonts w:hint="default" w:ascii="Verdana" w:hAnsi="Verdana" w:eastAsia="宋体" w:cs="Verdana"/>
          <w:i w:val="0"/>
          <w:iCs w:val="0"/>
          <w:caps w:val="0"/>
          <w:color w:val="000000"/>
          <w:spacing w:val="0"/>
          <w:sz w:val="16"/>
          <w:szCs w:val="16"/>
          <w:shd w:val="clear" w:fill="FFFFFF"/>
        </w:rPr>
        <w:t>4.The authors acknowledge in the Discussion that long-term wearable deployment faces severe challenges from individual state variations and electrode impedance drift. However, for a system whose primary selling point is enabling "continuous wearable monitoring," the complete absence of any implemented online adaptive or calibration mechanism is a critical functional gap in the proposed framework.</w:t>
      </w:r>
      <w:r>
        <w:rPr>
          <w:rFonts w:hint="default" w:ascii="Verdana" w:hAnsi="Verdana" w:eastAsia="宋体" w:cs="Verdana"/>
          <w:i w:val="0"/>
          <w:iCs w:val="0"/>
          <w:caps w:val="0"/>
          <w:color w:val="000000"/>
          <w:spacing w:val="0"/>
          <w:sz w:val="16"/>
          <w:szCs w:val="16"/>
          <w:shd w:val="clear" w:fill="FFFFFF"/>
        </w:rPr>
        <w:br w:type="textWrapping"/>
      </w:r>
      <w:r>
        <w:rPr>
          <w:rFonts w:hint="default" w:ascii="Verdana" w:hAnsi="Verdana" w:eastAsia="宋体" w:cs="Verdana"/>
          <w:i w:val="0"/>
          <w:iCs w:val="0"/>
          <w:caps w:val="0"/>
          <w:color w:val="000000"/>
          <w:spacing w:val="0"/>
          <w:sz w:val="16"/>
          <w:szCs w:val="16"/>
          <w:shd w:val="clear" w:fill="FFFFFF"/>
        </w:rPr>
        <w:br w:type="textWrapping"/>
      </w:r>
      <w:r>
        <w:rPr>
          <w:rFonts w:hint="default" w:ascii="Verdana" w:hAnsi="Verdana" w:eastAsia="宋体" w:cs="Verdana"/>
          <w:i w:val="0"/>
          <w:iCs w:val="0"/>
          <w:caps w:val="0"/>
          <w:color w:val="000000"/>
          <w:spacing w:val="0"/>
          <w:sz w:val="16"/>
          <w:szCs w:val="16"/>
          <w:shd w:val="clear" w:fill="FFFFFF"/>
        </w:rPr>
        <w:t>5.The Globally Asynchronous Locally Synchronous (GALS) architecture relies on a complex four-phase handshake protocol and Address-Event Representation (AER) routing to cross clock domains. The authors praise the energy reduction from sparse compute activation but completely ignore the significant dynamic power, physical area footprint, and latency overhead inherently introduced by the AER routing logic, threshold filters, and metastability-prevention synchronizers. Without a transparent, component-level breakdown of the GALS interface overhead, the isolated 40 mW dynamic power figure is incomplete and highly misleading.</w:t>
      </w:r>
      <w:r>
        <w:rPr>
          <w:rFonts w:hint="default" w:ascii="Verdana" w:hAnsi="Verdana" w:eastAsia="宋体" w:cs="Verdana"/>
          <w:i w:val="0"/>
          <w:iCs w:val="0"/>
          <w:caps w:val="0"/>
          <w:color w:val="000000"/>
          <w:spacing w:val="0"/>
          <w:sz w:val="16"/>
          <w:szCs w:val="16"/>
          <w:shd w:val="clear" w:fill="FFFFFF"/>
        </w:rPr>
        <w:br w:type="textWrapping"/>
      </w:r>
      <w:r>
        <w:rPr>
          <w:rFonts w:hint="default" w:ascii="Verdana" w:hAnsi="Verdana" w:eastAsia="宋体" w:cs="Verdana"/>
          <w:i w:val="0"/>
          <w:iCs w:val="0"/>
          <w:caps w:val="0"/>
          <w:color w:val="000000"/>
          <w:spacing w:val="0"/>
          <w:sz w:val="16"/>
          <w:szCs w:val="16"/>
          <w:shd w:val="clear" w:fill="FFFFFF"/>
        </w:rPr>
        <w:br w:type="textWrapping"/>
      </w:r>
      <w:r>
        <w:rPr>
          <w:rFonts w:hint="default" w:ascii="Verdana" w:hAnsi="Verdana" w:eastAsia="宋体" w:cs="Verdana"/>
          <w:i w:val="0"/>
          <w:iCs w:val="0"/>
          <w:caps w:val="0"/>
          <w:color w:val="000000"/>
          <w:spacing w:val="0"/>
          <w:sz w:val="16"/>
          <w:szCs w:val="16"/>
          <w:shd w:val="clear" w:fill="FFFFFF"/>
        </w:rPr>
        <w:t>6.There is a highly noticeable and strange inconsistency in the manuscript's formatting. Specifically, Table 1 and Table 2 are completely different in size, scale, and layout. This glaring visual discrepancy looks highly unprofessional and severely disrupts the reading experience.</w:t>
      </w:r>
      <w:r>
        <w:rPr>
          <w:rFonts w:hint="default" w:ascii="Verdana" w:hAnsi="Verdana" w:eastAsia="宋体" w:cs="Verdana"/>
          <w:i w:val="0"/>
          <w:iCs w:val="0"/>
          <w:caps w:val="0"/>
          <w:color w:val="000000"/>
          <w:spacing w:val="0"/>
          <w:sz w:val="16"/>
          <w:szCs w:val="16"/>
          <w:shd w:val="clear" w:fill="FFFFFF"/>
        </w:rPr>
        <w:br w:type="textWrapping"/>
      </w:r>
      <w:r>
        <w:rPr>
          <w:rFonts w:hint="default" w:ascii="Verdana" w:hAnsi="Verdana" w:eastAsia="宋体" w:cs="Verdana"/>
          <w:i w:val="0"/>
          <w:iCs w:val="0"/>
          <w:caps w:val="0"/>
          <w:color w:val="000000"/>
          <w:spacing w:val="0"/>
          <w:sz w:val="16"/>
          <w:szCs w:val="16"/>
          <w:shd w:val="clear" w:fill="FFFFFF"/>
        </w:rPr>
        <w:br w:type="textWrapping"/>
      </w:r>
      <w:r>
        <w:rPr>
          <w:rFonts w:hint="default" w:ascii="Verdana" w:hAnsi="Verdana" w:eastAsia="宋体" w:cs="Verdana"/>
          <w:i w:val="0"/>
          <w:iCs w:val="0"/>
          <w:caps w:val="0"/>
          <w:color w:val="000000"/>
          <w:spacing w:val="0"/>
          <w:sz w:val="16"/>
          <w:szCs w:val="16"/>
          <w:shd w:val="clear" w:fill="FFFFFF"/>
        </w:rPr>
        <w:t>Reviewer: 3</w:t>
      </w:r>
      <w:r>
        <w:rPr>
          <w:rFonts w:hint="default" w:ascii="Verdana" w:hAnsi="Verdana" w:eastAsia="宋体" w:cs="Verdana"/>
          <w:i w:val="0"/>
          <w:iCs w:val="0"/>
          <w:caps w:val="0"/>
          <w:color w:val="000000"/>
          <w:spacing w:val="0"/>
          <w:sz w:val="16"/>
          <w:szCs w:val="16"/>
          <w:shd w:val="clear" w:fill="FFFFFF"/>
        </w:rPr>
        <w:br w:type="textWrapping"/>
      </w:r>
      <w:r>
        <w:rPr>
          <w:rFonts w:hint="default" w:ascii="Verdana" w:hAnsi="Verdana" w:eastAsia="宋体" w:cs="Verdana"/>
          <w:i w:val="0"/>
          <w:iCs w:val="0"/>
          <w:caps w:val="0"/>
          <w:color w:val="000000"/>
          <w:spacing w:val="0"/>
          <w:sz w:val="16"/>
          <w:szCs w:val="16"/>
          <w:shd w:val="clear" w:fill="FFFFFF"/>
        </w:rPr>
        <w:br w:type="textWrapping"/>
      </w:r>
      <w:r>
        <w:rPr>
          <w:rFonts w:hint="default" w:ascii="Verdana" w:hAnsi="Verdana" w:eastAsia="宋体" w:cs="Verdana"/>
          <w:i w:val="0"/>
          <w:iCs w:val="0"/>
          <w:caps w:val="0"/>
          <w:color w:val="000000"/>
          <w:spacing w:val="0"/>
          <w:sz w:val="16"/>
          <w:szCs w:val="16"/>
          <w:shd w:val="clear" w:fill="FFFFFF"/>
        </w:rPr>
        <w:t>Comments to the Author</w:t>
      </w:r>
      <w:r>
        <w:rPr>
          <w:rFonts w:hint="default" w:ascii="Verdana" w:hAnsi="Verdana" w:eastAsia="宋体" w:cs="Verdana"/>
          <w:i w:val="0"/>
          <w:iCs w:val="0"/>
          <w:caps w:val="0"/>
          <w:color w:val="000000"/>
          <w:spacing w:val="0"/>
          <w:sz w:val="16"/>
          <w:szCs w:val="16"/>
          <w:shd w:val="clear" w:fill="FFFFFF"/>
        </w:rPr>
        <w:br w:type="textWrapping"/>
      </w:r>
      <w:r>
        <w:rPr>
          <w:rFonts w:hint="default" w:ascii="Verdana" w:hAnsi="Verdana" w:eastAsia="宋体" w:cs="Verdana"/>
          <w:i w:val="0"/>
          <w:iCs w:val="0"/>
          <w:caps w:val="0"/>
          <w:color w:val="000000"/>
          <w:spacing w:val="0"/>
          <w:sz w:val="16"/>
          <w:szCs w:val="16"/>
          <w:shd w:val="clear" w:fill="FFFFFF"/>
        </w:rPr>
        <w:t>This work investigates an asynchronous neuromorphic solution for wearable EEG-based emotion recognition, where a spiking neural model is coupled with a GALS-based hardware design. The study attempts to leverage temporal sparsity at the algorithmic level while aligning it with efficient hardware execution. Experimental results on several public datasets indicate that the approach is viable and achieves competitive performance. Despite these strengths, there remain several aspects that would benefit from further clarification and improvement:</w:t>
      </w:r>
      <w:r>
        <w:rPr>
          <w:rFonts w:hint="default" w:ascii="Verdana" w:hAnsi="Verdana" w:eastAsia="宋体" w:cs="Verdana"/>
          <w:i w:val="0"/>
          <w:iCs w:val="0"/>
          <w:caps w:val="0"/>
          <w:color w:val="000000"/>
          <w:spacing w:val="0"/>
          <w:sz w:val="16"/>
          <w:szCs w:val="16"/>
          <w:shd w:val="clear" w:fill="FFFFFF"/>
        </w:rPr>
        <w:br w:type="textWrapping"/>
      </w:r>
      <w:r>
        <w:rPr>
          <w:rFonts w:hint="default" w:ascii="Verdana" w:hAnsi="Verdana" w:eastAsia="宋体" w:cs="Verdana"/>
          <w:i w:val="0"/>
          <w:iCs w:val="0"/>
          <w:caps w:val="0"/>
          <w:color w:val="000000"/>
          <w:spacing w:val="0"/>
          <w:sz w:val="16"/>
          <w:szCs w:val="16"/>
          <w:shd w:val="clear" w:fill="FFFFFF"/>
        </w:rPr>
        <w:t>1. The manuscript reports only average performance metrics across datasets, without providing measures of variability such as standard deviation. Considering the inherent variability in EEG signals across subjects and trials, including statistical dispersion would improve the credibility and robustness of the reported results.</w:t>
      </w:r>
      <w:r>
        <w:rPr>
          <w:rFonts w:hint="default" w:ascii="Verdana" w:hAnsi="Verdana" w:eastAsia="宋体" w:cs="Verdana"/>
          <w:i w:val="0"/>
          <w:iCs w:val="0"/>
          <w:caps w:val="0"/>
          <w:color w:val="000000"/>
          <w:spacing w:val="0"/>
          <w:sz w:val="16"/>
          <w:szCs w:val="16"/>
          <w:shd w:val="clear" w:fill="FFFFFF"/>
        </w:rPr>
        <w:br w:type="textWrapping"/>
      </w:r>
      <w:r>
        <w:rPr>
          <w:rFonts w:hint="default" w:ascii="Verdana" w:hAnsi="Verdana" w:eastAsia="宋体" w:cs="Verdana"/>
          <w:i w:val="0"/>
          <w:iCs w:val="0"/>
          <w:caps w:val="0"/>
          <w:color w:val="000000"/>
          <w:spacing w:val="0"/>
          <w:sz w:val="16"/>
          <w:szCs w:val="16"/>
          <w:shd w:val="clear" w:fill="FFFFFF"/>
        </w:rPr>
        <w:t>2. The manuscript uses terms such as “temporal window,” “time window,” and “spiking window” interchangeably without clearly distinguishing their meanings. In addition, the model naming (e.g., DA-SNN, ATSNN, adaptive SNN) is not consistent throughout the paper, which may lead to confusion. A more consistent use of terminology would improve the overall readability.</w:t>
      </w:r>
      <w:r>
        <w:rPr>
          <w:rFonts w:hint="default" w:ascii="Verdana" w:hAnsi="Verdana" w:eastAsia="宋体" w:cs="Verdana"/>
          <w:i w:val="0"/>
          <w:iCs w:val="0"/>
          <w:caps w:val="0"/>
          <w:color w:val="000000"/>
          <w:spacing w:val="0"/>
          <w:sz w:val="16"/>
          <w:szCs w:val="16"/>
          <w:shd w:val="clear" w:fill="FFFFFF"/>
        </w:rPr>
        <w:br w:type="textWrapping"/>
      </w:r>
      <w:r>
        <w:rPr>
          <w:rFonts w:hint="default" w:ascii="Verdana" w:hAnsi="Verdana" w:eastAsia="宋体" w:cs="Verdana"/>
          <w:i w:val="0"/>
          <w:iCs w:val="0"/>
          <w:caps w:val="0"/>
          <w:color w:val="000000"/>
          <w:spacing w:val="0"/>
          <w:sz w:val="16"/>
          <w:szCs w:val="16"/>
          <w:shd w:val="clear" w:fill="FFFFFF"/>
        </w:rPr>
        <w:t>3. Although the manuscript presents results under different conditions (e.g., noise or quantization), these evaluations are not compared against a clear reference baseline under the same settings. Including a simple baseline curve would make the robustness claims more convincing and easier to interpret.</w:t>
      </w:r>
      <w:r>
        <w:rPr>
          <w:rFonts w:hint="default" w:ascii="Verdana" w:hAnsi="Verdana" w:eastAsia="宋体" w:cs="Verdana"/>
          <w:i w:val="0"/>
          <w:iCs w:val="0"/>
          <w:caps w:val="0"/>
          <w:color w:val="000000"/>
          <w:spacing w:val="0"/>
          <w:sz w:val="16"/>
          <w:szCs w:val="16"/>
          <w:shd w:val="clear" w:fill="FFFFFF"/>
        </w:rPr>
        <w:br w:type="textWrapping"/>
      </w:r>
      <w:r>
        <w:rPr>
          <w:rFonts w:hint="default" w:ascii="Verdana" w:hAnsi="Verdana" w:eastAsia="宋体" w:cs="Verdana"/>
          <w:i w:val="0"/>
          <w:iCs w:val="0"/>
          <w:caps w:val="0"/>
          <w:color w:val="000000"/>
          <w:spacing w:val="0"/>
          <w:sz w:val="16"/>
          <w:szCs w:val="16"/>
          <w:shd w:val="clear" w:fill="FFFFFF"/>
        </w:rPr>
        <w:t>4. While the overall pipeline is described, the connection between the continuous EEG features, the encoding process, and the spiking neural network is not sufficiently detailed. Providing a clearer description of data transformations at each stage would improve the understanding of the end-to-end system.</w:t>
      </w:r>
      <w:r>
        <w:rPr>
          <w:rFonts w:hint="default" w:ascii="Verdana" w:hAnsi="Verdana" w:eastAsia="宋体" w:cs="Verdana"/>
          <w:i w:val="0"/>
          <w:iCs w:val="0"/>
          <w:caps w:val="0"/>
          <w:color w:val="000000"/>
          <w:spacing w:val="0"/>
          <w:sz w:val="16"/>
          <w:szCs w:val="16"/>
          <w:shd w:val="clear" w:fill="FFFFFF"/>
        </w:rPr>
        <w:br w:type="textWrapping"/>
      </w:r>
      <w:r>
        <w:rPr>
          <w:rFonts w:hint="default" w:ascii="Verdana" w:hAnsi="Verdana" w:eastAsia="宋体" w:cs="Verdana"/>
          <w:i w:val="0"/>
          <w:iCs w:val="0"/>
          <w:caps w:val="0"/>
          <w:color w:val="000000"/>
          <w:spacing w:val="0"/>
          <w:sz w:val="16"/>
          <w:szCs w:val="16"/>
          <w:shd w:val="clear" w:fill="FFFFFF"/>
        </w:rPr>
        <w:t>5. Some important experimental settings, such as training epochs, optimization strategies, or hardware-related configurations, are only briefly mentioned or scattered across sections. Consolidating these details would improve reproducibility.</w:t>
      </w:r>
      <w:r>
        <w:rPr>
          <w:rFonts w:hint="default" w:ascii="Verdana" w:hAnsi="Verdana" w:eastAsia="宋体" w:cs="Verdana"/>
          <w:i w:val="0"/>
          <w:iCs w:val="0"/>
          <w:caps w:val="0"/>
          <w:color w:val="000000"/>
          <w:spacing w:val="0"/>
          <w:sz w:val="16"/>
          <w:szCs w:val="16"/>
          <w:shd w:val="clear" w:fill="FFFFFF"/>
        </w:rPr>
        <w:br w:type="textWrapping"/>
      </w:r>
      <w:r>
        <w:rPr>
          <w:rFonts w:hint="default" w:ascii="Verdana" w:hAnsi="Verdana" w:eastAsia="宋体" w:cs="Verdana"/>
          <w:i w:val="0"/>
          <w:iCs w:val="0"/>
          <w:caps w:val="0"/>
          <w:color w:val="000000"/>
          <w:spacing w:val="0"/>
          <w:sz w:val="16"/>
          <w:szCs w:val="16"/>
          <w:shd w:val="clear" w:fill="FFFFFF"/>
        </w:rPr>
        <w:t>6. While the manuscript emphasizes potential wearable applications, there is limited discussion on practical constraints such as latency stability, memory footprint in real devices, or deployment scenarios. Expanding this part would strengthen the real-world relevance of the work.</w:t>
      </w:r>
      <w:r>
        <w:rPr>
          <w:rFonts w:hint="default" w:ascii="Verdana" w:hAnsi="Verdana" w:eastAsia="宋体" w:cs="Verdana"/>
          <w:i w:val="0"/>
          <w:iCs w:val="0"/>
          <w:caps w:val="0"/>
          <w:color w:val="000000"/>
          <w:spacing w:val="0"/>
          <w:sz w:val="16"/>
          <w:szCs w:val="16"/>
          <w:shd w:val="clear" w:fill="FFFFFF"/>
        </w:rPr>
        <w:br w:type="textWrapping"/>
      </w:r>
      <w:r>
        <w:rPr>
          <w:rFonts w:hint="default" w:ascii="Verdana" w:hAnsi="Verdana" w:eastAsia="宋体" w:cs="Verdana"/>
          <w:i w:val="0"/>
          <w:iCs w:val="0"/>
          <w:caps w:val="0"/>
          <w:color w:val="000000"/>
          <w:spacing w:val="0"/>
          <w:sz w:val="16"/>
          <w:szCs w:val="16"/>
          <w:shd w:val="clear" w:fill="FFFFFF"/>
        </w:rPr>
        <w:br w:type="textWrapping"/>
      </w:r>
      <w:r>
        <w:rPr>
          <w:rFonts w:hint="default" w:ascii="Verdana" w:hAnsi="Verdana" w:eastAsia="宋体" w:cs="Verdana"/>
          <w:i w:val="0"/>
          <w:iCs w:val="0"/>
          <w:caps w:val="0"/>
          <w:color w:val="000000"/>
          <w:spacing w:val="0"/>
          <w:sz w:val="16"/>
          <w:szCs w:val="16"/>
          <w:shd w:val="clear" w:fill="FFFFFF"/>
        </w:rPr>
        <w:br w:type="textWrapping"/>
      </w:r>
      <w:r>
        <w:rPr>
          <w:rFonts w:hint="default" w:ascii="Verdana" w:hAnsi="Verdana" w:eastAsia="宋体" w:cs="Verdana"/>
          <w:i w:val="0"/>
          <w:iCs w:val="0"/>
          <w:caps w:val="0"/>
          <w:color w:val="000000"/>
          <w:spacing w:val="0"/>
          <w:sz w:val="16"/>
          <w:szCs w:val="16"/>
          <w:shd w:val="clear" w:fill="FFFFFF"/>
        </w:rPr>
        <w:t>Reviewer: 4</w:t>
      </w:r>
    </w:p>
    <w:p w14:paraId="002015B3">
      <w:pPr>
        <w:spacing w:after="906" w:line="264" w:lineRule="auto"/>
        <w:ind w:left="0" w:right="0" w:firstLine="0"/>
        <w:jc w:val="center"/>
        <w:rPr>
          <w:sz w:val="34"/>
        </w:rPr>
      </w:pPr>
    </w:p>
    <w:p w14:paraId="41463623">
      <w:pPr>
        <w:spacing w:after="906" w:line="264" w:lineRule="auto"/>
        <w:ind w:left="0" w:right="0" w:firstLine="0"/>
        <w:jc w:val="center"/>
        <w:rPr>
          <w:rFonts w:eastAsiaTheme="minorEastAsia"/>
        </w:rPr>
      </w:pPr>
      <w:r>
        <w:rPr>
          <w:sz w:val="34"/>
        </w:rPr>
        <w:t>Review Comments on “An Asynchronous Neuromorphic Architecture for Wearable EEG Emotion Recognition”</w:t>
      </w:r>
      <w:r>
        <w:rPr>
          <w:rFonts w:hint="eastAsia" w:eastAsiaTheme="minorEastAsia"/>
          <w:sz w:val="34"/>
        </w:rPr>
        <w:t xml:space="preserve"> </w:t>
      </w:r>
    </w:p>
    <w:p w14:paraId="3D97AE63">
      <w:pPr>
        <w:spacing w:after="159"/>
        <w:ind w:left="104" w:right="0" w:firstLine="344"/>
      </w:pPr>
      <w:r>
        <w:t xml:space="preserve">This manuscript proposes an asynchronous neuromorphic architecture for wearable EEG emotion recognition, combining a Dynamic Adaptive Spiking Neural Network (DA-SNN), a depthwise separable gating module (DSGM), a division-free TTFS encoder, an adaptive temporal spiking neural network (ATSNN), and a GALS FPGA accelerator. The work is potentially valuable because it attempts a cross-layer co-design between EEG feature extraction, spike-time coding, and low-power event-driven hardware. However, several mathematical, methodological, notation, validation, and presentation issues must be addressed before the paper can meet the standard required for publication in </w:t>
      </w:r>
      <w:r>
        <w:rPr>
          <w:i/>
        </w:rPr>
        <w:t>National Science Review</w:t>
      </w:r>
      <w:r>
        <w:t>. In particular, the original B1 model paper by Stanojevic et al. should be discussed in much greater depth, since the ATSNN formulation, TTFS coding, and claimed gradient-stability motivation appear to rely substantially on that theoretical framework. The manuscript should more clearly distinguish what is inherited from B1, what is modified, and what is genuinely new in the proposed DA-SNN/ATSNN architecture. Therefore, while the paper has value, publication would require major revision. I invite the authors to address the following observations.</w:t>
      </w:r>
    </w:p>
    <w:p w14:paraId="7F09E55A">
      <w:pPr>
        <w:numPr>
          <w:ilvl w:val="0"/>
          <w:numId w:val="1"/>
        </w:numPr>
        <w:ind w:right="0" w:hanging="382"/>
      </w:pPr>
      <w:r>
        <w:rPr>
          <w:b/>
        </w:rPr>
        <w:t xml:space="preserve">The abstract should distinguish EEG sparsity from model-induced SNN sparsity. </w:t>
      </w:r>
      <w:r>
        <w:t xml:space="preserve">The current wording suggests that affective EEG is intrinsically event-driven and temporally sparse, and that the hardware directly exploits this raw EEG sparsity. However, the model first transforms EEG into windowed PSE feature maps, applies spatial mapping and LDS smoothing, and only then imposes spike-time sparsity through DF-TTFS encoding. Unless the authors quantify sparsity in raw EEG or </w:t>
      </w:r>
      <w:bookmarkStart w:id="0" w:name="_GoBack"/>
      <w:bookmarkEnd w:id="0"/>
      <w:r>
        <w:t>pre-TTFS features, the abstract should state more accurately that DA-SNN converts EEG-derived spatial-spectral features into sparse spike-time events for efficient inference.</w:t>
      </w:r>
    </w:p>
    <w:p w14:paraId="39B0A249">
      <w:pPr>
        <w:numPr>
          <w:ilvl w:val="0"/>
          <w:numId w:val="1"/>
        </w:numPr>
        <w:ind w:right="0" w:hanging="382"/>
      </w:pPr>
      <w:r>
        <w:rPr>
          <w:b/>
        </w:rPr>
        <w:t xml:space="preserve">The prose should be revised carefully before publication. </w:t>
      </w:r>
      <w:r>
        <w:t>Several parts of the abstract and main text read overly generic and insufficiently polished. I recommend paragraph-by-paragraph language revision to improve specificity, scientific tone, and technical precision. We note that ChatGTPzero identifies 95% as generated by AI.</w:t>
      </w:r>
    </w:p>
    <w:p w14:paraId="484E9646">
      <w:pPr>
        <w:numPr>
          <w:ilvl w:val="0"/>
          <w:numId w:val="1"/>
        </w:numPr>
        <w:spacing w:after="83" w:line="344" w:lineRule="auto"/>
        <w:ind w:right="0" w:hanging="382"/>
      </w:pPr>
      <w:r>
        <w:rPr>
          <w:b/>
        </w:rPr>
        <w:t xml:space="preserve">The symbol “@” in Fig. 2 is unclear. </w:t>
      </w:r>
      <w:r>
        <w:t xml:space="preserve">The figure repeatedly uses the symbol “@”, but its meaning is not defined in the caption or main text. From context, it may refer to a tensor dimension such as </w:t>
      </w:r>
      <w:r>
        <w:rPr>
          <w:rFonts w:ascii="Cambria" w:hAnsi="Cambria" w:eastAsia="Cambria" w:cs="Cambria"/>
          <w:i/>
        </w:rPr>
        <w:t xml:space="preserve">C </w:t>
      </w:r>
      <w:r>
        <w:rPr>
          <w:rFonts w:ascii="Cambria" w:hAnsi="Cambria" w:eastAsia="Cambria" w:cs="Cambria"/>
        </w:rPr>
        <w:t>×</w:t>
      </w:r>
      <w:r>
        <w:rPr>
          <w:rFonts w:ascii="Cambria" w:hAnsi="Cambria" w:eastAsia="Cambria" w:cs="Cambria"/>
          <w:i/>
        </w:rPr>
        <w:t xml:space="preserve">H </w:t>
      </w:r>
      <w:r>
        <w:rPr>
          <w:rFonts w:ascii="Cambria" w:hAnsi="Cambria" w:eastAsia="Cambria" w:cs="Cambria"/>
        </w:rPr>
        <w:t>×</w:t>
      </w:r>
      <w:r>
        <w:rPr>
          <w:rFonts w:ascii="Cambria" w:hAnsi="Cambria" w:eastAsia="Cambria" w:cs="Cambria"/>
          <w:i/>
        </w:rPr>
        <w:t>W</w:t>
      </w:r>
      <w:r>
        <w:t>, but this should be explicitly clarified.</w:t>
      </w:r>
    </w:p>
    <w:p w14:paraId="09E7C769">
      <w:pPr>
        <w:numPr>
          <w:ilvl w:val="0"/>
          <w:numId w:val="1"/>
        </w:numPr>
        <w:ind w:right="0" w:hanging="382"/>
      </w:pPr>
      <w:r>
        <w:rPr>
          <w:b/>
        </w:rPr>
        <w:t xml:space="preserve">The dimensions </w:t>
      </w:r>
      <w:r>
        <w:rPr>
          <w:rFonts w:ascii="Cambria" w:hAnsi="Cambria" w:eastAsia="Cambria" w:cs="Cambria"/>
          <w:i/>
        </w:rPr>
        <w:t>C</w:t>
      </w:r>
      <w:r>
        <w:rPr>
          <w:b/>
        </w:rPr>
        <w:t xml:space="preserve">, </w:t>
      </w:r>
      <w:r>
        <w:rPr>
          <w:rFonts w:ascii="Cambria" w:hAnsi="Cambria" w:eastAsia="Cambria" w:cs="Cambria"/>
          <w:i/>
        </w:rPr>
        <w:t>H</w:t>
      </w:r>
      <w:r>
        <w:rPr>
          <w:b/>
        </w:rPr>
        <w:t xml:space="preserve">, and </w:t>
      </w:r>
      <w:r>
        <w:rPr>
          <w:rFonts w:ascii="Cambria" w:hAnsi="Cambria" w:eastAsia="Cambria" w:cs="Cambria"/>
          <w:i/>
        </w:rPr>
        <w:t xml:space="preserve">W </w:t>
      </w:r>
      <w:r>
        <w:rPr>
          <w:b/>
        </w:rPr>
        <w:t xml:space="preserve">should be precisely defined. </w:t>
      </w:r>
      <w:r>
        <w:t>The text suggests that these are the channel, height, and width dimensions of the model input, but it is not fully clear how the EEG-derived PSE feature map is mapped into this tensor. The relationship between EEG channels, PSE segments, spatial grid size, and the model input dimensions should be stated explicitly.</w:t>
      </w:r>
    </w:p>
    <w:p w14:paraId="1BD9C1AB">
      <w:pPr>
        <w:numPr>
          <w:ilvl w:val="0"/>
          <w:numId w:val="1"/>
        </w:numPr>
        <w:ind w:right="0" w:hanging="382"/>
      </w:pPr>
      <w:r>
        <w:rPr>
          <w:b/>
        </w:rPr>
        <w:t xml:space="preserve">Notation for elementwise multiplication should be unified. </w:t>
      </w:r>
      <w:r>
        <w:t>The main text uses the Hadamard product notation, while Fig. 2 appears to use a different machine-learning notation. The authors should adopt one notation consistently throughout the paper and figures.</w:t>
      </w:r>
    </w:p>
    <w:p w14:paraId="0BE76B48">
      <w:pPr>
        <w:numPr>
          <w:ilvl w:val="0"/>
          <w:numId w:val="1"/>
        </w:numPr>
        <w:ind w:right="0" w:hanging="382"/>
      </w:pPr>
      <w:r>
        <w:rPr>
          <w:b/>
        </w:rPr>
        <w:t xml:space="preserve">Equation punctuation and typesetting should be standardized. </w:t>
      </w:r>
      <w:r>
        <w:t>Some equations end without proper punctuation, while others use inconsistent punctuation. For a polished mathematical manuscript, equations should be integrated grammatically with commas or periods where appropriate.</w:t>
      </w:r>
    </w:p>
    <w:p w14:paraId="480B5870">
      <w:pPr>
        <w:numPr>
          <w:ilvl w:val="0"/>
          <w:numId w:val="1"/>
        </w:numPr>
        <w:spacing w:after="0" w:line="444" w:lineRule="auto"/>
        <w:ind w:right="0" w:hanging="382"/>
      </w:pPr>
      <w:r>
        <w:rPr>
          <w:b/>
        </w:rPr>
        <w:t xml:space="preserve">The DSGM tensor dimensions require clarification. </w:t>
      </w:r>
      <w:r>
        <w:t xml:space="preserve">The channel gate is written as </w:t>
      </w:r>
      <w:r>
        <w:rPr>
          <w:rFonts w:ascii="Cambria" w:hAnsi="Cambria" w:eastAsia="Cambria" w:cs="Cambria"/>
          <w:i/>
        </w:rPr>
        <w:t>G</w:t>
      </w:r>
      <w:r>
        <w:rPr>
          <w:vertAlign w:val="subscript"/>
        </w:rPr>
        <w:t xml:space="preserve">ch </w:t>
      </w:r>
      <w:r>
        <w:rPr>
          <w:rFonts w:ascii="Cambria" w:hAnsi="Cambria" w:eastAsia="Cambria" w:cs="Cambria"/>
        </w:rPr>
        <w:t>∈</w:t>
      </w:r>
      <w:r>
        <w:t>R</w:t>
      </w:r>
      <w:r>
        <w:rPr>
          <w:rFonts w:ascii="Cambria" w:hAnsi="Cambria" w:eastAsia="Cambria" w:cs="Cambria"/>
          <w:i/>
          <w:vertAlign w:val="superscript"/>
        </w:rPr>
        <w:t>C</w:t>
      </w:r>
      <w:r>
        <w:rPr>
          <w:rFonts w:ascii="Cambria" w:hAnsi="Cambria" w:eastAsia="Cambria" w:cs="Cambria"/>
          <w:sz w:val="16"/>
        </w:rPr>
        <w:t>×</w:t>
      </w:r>
      <w:r>
        <w:rPr>
          <w:rFonts w:ascii="Cambria" w:hAnsi="Cambria" w:eastAsia="Cambria" w:cs="Cambria"/>
          <w:vertAlign w:val="superscript"/>
        </w:rPr>
        <w:t>1</w:t>
      </w:r>
      <w:r>
        <w:rPr>
          <w:rFonts w:ascii="Cambria" w:hAnsi="Cambria" w:eastAsia="Cambria" w:cs="Cambria"/>
          <w:sz w:val="16"/>
        </w:rPr>
        <w:t>×</w:t>
      </w:r>
      <w:r>
        <w:rPr>
          <w:rFonts w:ascii="Cambria" w:hAnsi="Cambria" w:eastAsia="Cambria" w:cs="Cambria"/>
          <w:vertAlign w:val="superscript"/>
        </w:rPr>
        <w:t>1</w:t>
      </w:r>
      <w:r>
        <w:t xml:space="preserve">, while the spatial gate is </w:t>
      </w:r>
      <w:r>
        <w:rPr>
          <w:rFonts w:ascii="Cambria" w:hAnsi="Cambria" w:eastAsia="Cambria" w:cs="Cambria"/>
          <w:i/>
        </w:rPr>
        <w:t>G</w:t>
      </w:r>
      <w:r>
        <w:rPr>
          <w:vertAlign w:val="subscript"/>
        </w:rPr>
        <w:t xml:space="preserve">sp </w:t>
      </w:r>
      <w:r>
        <w:rPr>
          <w:rFonts w:ascii="Cambria" w:hAnsi="Cambria" w:eastAsia="Cambria" w:cs="Cambria"/>
        </w:rPr>
        <w:t>∈</w:t>
      </w:r>
      <w:r>
        <w:t>R</w:t>
      </w:r>
      <w:r>
        <w:rPr>
          <w:rFonts w:ascii="Cambria" w:hAnsi="Cambria" w:eastAsia="Cambria" w:cs="Cambria"/>
          <w:vertAlign w:val="superscript"/>
        </w:rPr>
        <w:t>1</w:t>
      </w:r>
      <w:r>
        <w:rPr>
          <w:rFonts w:ascii="Cambria" w:hAnsi="Cambria" w:eastAsia="Cambria" w:cs="Cambria"/>
          <w:sz w:val="16"/>
        </w:rPr>
        <w:t>×</w:t>
      </w:r>
      <w:r>
        <w:rPr>
          <w:rFonts w:ascii="Cambria" w:hAnsi="Cambria" w:eastAsia="Cambria" w:cs="Cambria"/>
          <w:i/>
          <w:vertAlign w:val="superscript"/>
        </w:rPr>
        <w:t>H</w:t>
      </w:r>
      <w:r>
        <w:rPr>
          <w:rFonts w:ascii="Cambria" w:hAnsi="Cambria" w:eastAsia="Cambria" w:cs="Cambria"/>
          <w:sz w:val="16"/>
        </w:rPr>
        <w:t>×</w:t>
      </w:r>
      <w:r>
        <w:rPr>
          <w:rFonts w:ascii="Cambria" w:hAnsi="Cambria" w:eastAsia="Cambria" w:cs="Cambria"/>
          <w:i/>
          <w:vertAlign w:val="superscript"/>
        </w:rPr>
        <w:t xml:space="preserve">W </w:t>
      </w:r>
      <w:r>
        <w:t>. If the pointwise convolution changes the number of channels</w:t>
      </w:r>
    </w:p>
    <w:p w14:paraId="764C8BC3">
      <w:pPr>
        <w:spacing w:after="54"/>
        <w:ind w:left="382" w:right="0" w:firstLine="0"/>
      </w:pPr>
      <w:r>
        <w:t>or the spatial size, then</w:t>
      </w:r>
    </w:p>
    <w:p w14:paraId="719AB830">
      <w:pPr>
        <w:spacing w:after="191" w:line="259" w:lineRule="auto"/>
        <w:ind w:left="332" w:right="0" w:firstLine="0"/>
        <w:jc w:val="center"/>
      </w:pPr>
      <w:r>
        <w:rPr>
          <w:rFonts w:ascii="Cambria" w:hAnsi="Cambria" w:eastAsia="Cambria" w:cs="Cambria"/>
          <w:i/>
        </w:rPr>
        <w:t>F</w:t>
      </w:r>
      <w:r>
        <w:rPr>
          <w:sz w:val="16"/>
        </w:rPr>
        <w:t xml:space="preserve">DS </w:t>
      </w:r>
      <w:r>
        <w:rPr>
          <w:rFonts w:ascii="Cambria" w:hAnsi="Cambria" w:eastAsia="Cambria" w:cs="Cambria"/>
        </w:rPr>
        <w:t xml:space="preserve">⊙ </w:t>
      </w:r>
      <w:r>
        <w:rPr>
          <w:rFonts w:ascii="Cambria" w:hAnsi="Cambria" w:eastAsia="Cambria" w:cs="Cambria"/>
          <w:i/>
        </w:rPr>
        <w:t>G</w:t>
      </w:r>
      <w:r>
        <w:rPr>
          <w:vertAlign w:val="subscript"/>
        </w:rPr>
        <w:t xml:space="preserve">ch </w:t>
      </w:r>
      <w:r>
        <w:rPr>
          <w:rFonts w:ascii="Cambria" w:hAnsi="Cambria" w:eastAsia="Cambria" w:cs="Cambria"/>
        </w:rPr>
        <w:t xml:space="preserve">⊙ </w:t>
      </w:r>
      <w:r>
        <w:rPr>
          <w:rFonts w:ascii="Cambria" w:hAnsi="Cambria" w:eastAsia="Cambria" w:cs="Cambria"/>
          <w:i/>
        </w:rPr>
        <w:t>G</w:t>
      </w:r>
      <w:r>
        <w:rPr>
          <w:sz w:val="16"/>
        </w:rPr>
        <w:t>sp</w:t>
      </w:r>
    </w:p>
    <w:p w14:paraId="57990F7C">
      <w:pPr>
        <w:ind w:left="382" w:right="0" w:firstLine="0"/>
      </w:pPr>
      <w:r>
        <w:t>is not well-defined unless broadcasting, padding, and resizing conventions are explicitly specified.</w:t>
      </w:r>
    </w:p>
    <w:p w14:paraId="25F3E03D">
      <w:pPr>
        <w:numPr>
          <w:ilvl w:val="0"/>
          <w:numId w:val="1"/>
        </w:numPr>
        <w:ind w:right="0" w:hanging="382"/>
      </w:pPr>
      <w:r>
        <w:rPr>
          <w:b/>
        </w:rPr>
        <w:t xml:space="preserve">The terminology “B1 spiking neuron model” should be aligned with the original paper. </w:t>
      </w:r>
      <w:r>
        <w:t>The original authors refer to the model as the “B1-model.” I recommend using the same terminology to avoid ambiguity and to make the connection to the reference framework clearer.</w:t>
      </w:r>
    </w:p>
    <w:p w14:paraId="17EE55FC">
      <w:pPr>
        <w:numPr>
          <w:ilvl w:val="0"/>
          <w:numId w:val="1"/>
        </w:numPr>
        <w:ind w:right="0" w:hanging="382"/>
      </w:pPr>
      <w:r>
        <w:rPr>
          <w:b/>
        </w:rPr>
        <w:t xml:space="preserve">The threshold </w:t>
      </w:r>
      <w:r>
        <w:rPr>
          <w:rFonts w:ascii="Cambria" w:hAnsi="Cambria" w:eastAsia="Cambria" w:cs="Cambria"/>
          <w:i/>
        </w:rPr>
        <w:t xml:space="preserve">ϑ </w:t>
      </w:r>
      <w:r>
        <w:rPr>
          <w:b/>
        </w:rPr>
        <w:t xml:space="preserve">should be defined before first use. </w:t>
      </w:r>
      <w:r>
        <w:t>The membrane threshold appears in Eq. (6) and later in the paper, but it is not clearly introduced in the main text before its first use. The authors should define its meaning, units, and role in the B1/ATSNN dynamics.</w:t>
      </w:r>
    </w:p>
    <w:p w14:paraId="2D656583">
      <w:pPr>
        <w:numPr>
          <w:ilvl w:val="0"/>
          <w:numId w:val="1"/>
        </w:numPr>
        <w:ind w:right="0" w:hanging="382"/>
      </w:pPr>
      <w:r>
        <w:rPr>
          <w:b/>
        </w:rPr>
        <w:t xml:space="preserve">The B1 reference model should be discussed more substantially. </w:t>
      </w:r>
      <w:r>
        <w:t>A substantial part of the ATSNN formulation appears to rely on the B1 model of Stanojevic et al. However, the paper only briefly cites it. The authors should explain why B1 was selected, especially because the B1 identity mapping is equivalent to a ReLU network, follows similar learning trajectories, and has known gradient-stability properties. The manuscript should also clarify whether the proposed model relies on these properties or only uses B1 as an inspiration.</w:t>
      </w:r>
    </w:p>
    <w:p w14:paraId="25F41893">
      <w:pPr>
        <w:numPr>
          <w:ilvl w:val="0"/>
          <w:numId w:val="1"/>
        </w:numPr>
        <w:ind w:right="0" w:hanging="382"/>
      </w:pPr>
      <w:r>
        <w:rPr>
          <w:b/>
        </w:rPr>
        <w:t xml:space="preserve">Basic B1 definitions and assumptions should be added to the supplement. </w:t>
      </w:r>
      <w:r>
        <w:t>Supplementary Section 2.1 currently gives only a minimal description. It should include the key assumptions of the B1 framework, including the role of the identity mapping, the active/inactive mask, the threshold-crossing slope, and the relation between spike time and ReLU activation.</w:t>
      </w:r>
    </w:p>
    <w:p w14:paraId="205F8BE8">
      <w:pPr>
        <w:numPr>
          <w:ilvl w:val="0"/>
          <w:numId w:val="1"/>
        </w:numPr>
        <w:spacing w:after="0"/>
        <w:ind w:right="0" w:hanging="382"/>
      </w:pPr>
      <w:r>
        <w:rPr>
          <w:b/>
        </w:rPr>
        <w:t xml:space="preserve">Eq. (6) is not entirely the closed-form integral of Eq. (5). </w:t>
      </w:r>
      <w:r>
        <w:t>Around lines 30–31, the authors state that Eq. (6) is the closed-form solution obtained by integrating Eq. (5). This is not strictly correct. The first</w:t>
      </w:r>
    </w:p>
    <w:p w14:paraId="0C870838">
      <w:pPr>
        <w:spacing w:after="0" w:line="216" w:lineRule="auto"/>
        <w:ind w:left="382" w:right="0" w:firstLine="0"/>
      </w:pPr>
      <w:r>
        <w:t>B1-type neuron. However, the second expression,</w:t>
      </w:r>
      <w:r>
        <w:rPr>
          <w:rFonts w:ascii="Cambria" w:hAnsi="Cambria" w:eastAsia="Cambria" w:cs="Cambria"/>
        </w:rPr>
        <w:t xml:space="preserve">e </w:t>
      </w:r>
      <w:r>
        <w:t>expression defining</w:t>
      </w:r>
      <w:r>
        <w:drawing>
          <wp:inline distT="0" distB="0" distL="0" distR="0">
            <wp:extent cx="240665" cy="194945"/>
            <wp:effectExtent l="0" t="0" r="0" b="0"/>
            <wp:docPr id="4229" name="Picture 4229"/>
            <wp:cNvGraphicFramePr/>
            <a:graphic xmlns:a="http://schemas.openxmlformats.org/drawingml/2006/main">
              <a:graphicData uri="http://schemas.openxmlformats.org/drawingml/2006/picture">
                <pic:pic xmlns:pic="http://schemas.openxmlformats.org/drawingml/2006/picture">
                  <pic:nvPicPr>
                    <pic:cNvPr id="4229" name="Picture 4229"/>
                    <pic:cNvPicPr/>
                  </pic:nvPicPr>
                  <pic:blipFill>
                    <a:blip r:embed="rId9"/>
                    <a:stretch>
                      <a:fillRect/>
                    </a:stretch>
                  </pic:blipFill>
                  <pic:spPr>
                    <a:xfrm>
                      <a:off x="0" y="0"/>
                      <a:ext cx="240792" cy="195072"/>
                    </a:xfrm>
                    <a:prstGeom prst="rect">
                      <a:avLst/>
                    </a:prstGeom>
                  </pic:spPr>
                </pic:pic>
              </a:graphicData>
            </a:graphic>
          </wp:inline>
        </w:drawing>
      </w:r>
      <w:r>
        <w:t xml:space="preserve"> can be interpreted as the closed-form threshold-crossing time of a simplified</w:t>
      </w:r>
    </w:p>
    <w:p w14:paraId="33530404">
      <w:pPr>
        <w:spacing w:after="126" w:line="259" w:lineRule="auto"/>
        <w:ind w:left="1276" w:right="971" w:hanging="10"/>
        <w:jc w:val="center"/>
      </w:pPr>
      <w:r>
        <w:drawing>
          <wp:inline distT="0" distB="0" distL="0" distR="0">
            <wp:extent cx="1398905" cy="249555"/>
            <wp:effectExtent l="0" t="0" r="0" b="0"/>
            <wp:docPr id="4230" name="Picture 4230"/>
            <wp:cNvGraphicFramePr/>
            <a:graphic xmlns:a="http://schemas.openxmlformats.org/drawingml/2006/main">
              <a:graphicData uri="http://schemas.openxmlformats.org/drawingml/2006/picture">
                <pic:pic xmlns:pic="http://schemas.openxmlformats.org/drawingml/2006/picture">
                  <pic:nvPicPr>
                    <pic:cNvPr id="4230" name="Picture 4230"/>
                    <pic:cNvPicPr/>
                  </pic:nvPicPr>
                  <pic:blipFill>
                    <a:blip r:embed="rId10"/>
                    <a:stretch>
                      <a:fillRect/>
                    </a:stretch>
                  </pic:blipFill>
                  <pic:spPr>
                    <a:xfrm>
                      <a:off x="0" y="0"/>
                      <a:ext cx="1399032" cy="249936"/>
                    </a:xfrm>
                    <a:prstGeom prst="rect">
                      <a:avLst/>
                    </a:prstGeom>
                  </pic:spPr>
                </pic:pic>
              </a:graphicData>
            </a:graphic>
          </wp:inline>
        </w:drawing>
      </w:r>
      <w:r>
        <w:rPr>
          <w:rFonts w:ascii="Cambria" w:hAnsi="Cambria" w:eastAsia="Cambria" w:cs="Cambria"/>
          <w:i/>
        </w:rPr>
        <w:t xml:space="preserve"> ,</w:t>
      </w:r>
    </w:p>
    <w:p w14:paraId="12CDE5B9">
      <w:pPr>
        <w:spacing w:after="84"/>
        <w:ind w:left="382" w:right="0" w:firstLine="0"/>
      </w:pPr>
      <w:r>
        <w:t>is not obtained by direct integration of the ODE. It is an additional hybrid censoring or timeout rule imposed at the upper temporal boundary. The authors should reformulate Eq. (6) as a censored firstpassage-time model and introduce an explicit active-spike mask</w:t>
      </w:r>
    </w:p>
    <w:p w14:paraId="7FF29CA1">
      <w:pPr>
        <w:spacing w:after="243" w:line="259" w:lineRule="auto"/>
        <w:ind w:left="1276" w:right="0" w:hanging="10"/>
        <w:jc w:val="center"/>
      </w:pPr>
      <w:r>
        <w:drawing>
          <wp:anchor distT="0" distB="0" distL="114300" distR="114300" simplePos="0" relativeHeight="251660288" behindDoc="0" locked="0" layoutInCell="1" allowOverlap="1">
            <wp:simplePos x="0" y="0"/>
            <wp:positionH relativeFrom="column">
              <wp:posOffset>2315210</wp:posOffset>
            </wp:positionH>
            <wp:positionV relativeFrom="paragraph">
              <wp:posOffset>6985</wp:posOffset>
            </wp:positionV>
            <wp:extent cx="740410" cy="252730"/>
            <wp:effectExtent l="0" t="0" r="2540" b="0"/>
            <wp:wrapNone/>
            <wp:docPr id="4232" name="Picture 4232"/>
            <wp:cNvGraphicFramePr/>
            <a:graphic xmlns:a="http://schemas.openxmlformats.org/drawingml/2006/main">
              <a:graphicData uri="http://schemas.openxmlformats.org/drawingml/2006/picture">
                <pic:pic xmlns:pic="http://schemas.openxmlformats.org/drawingml/2006/picture">
                  <pic:nvPicPr>
                    <pic:cNvPr id="4232" name="Picture 423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40410" cy="252730"/>
                    </a:xfrm>
                    <a:prstGeom prst="rect">
                      <a:avLst/>
                    </a:prstGeom>
                  </pic:spPr>
                </pic:pic>
              </a:graphicData>
            </a:graphic>
          </wp:anchor>
        </w:drawing>
      </w:r>
      <w:r>
        <w:drawing>
          <wp:anchor distT="0" distB="0" distL="114300" distR="114300" simplePos="0" relativeHeight="251659264" behindDoc="0" locked="0" layoutInCell="1" allowOverlap="0">
            <wp:simplePos x="0" y="0"/>
            <wp:positionH relativeFrom="column">
              <wp:posOffset>1604010</wp:posOffset>
            </wp:positionH>
            <wp:positionV relativeFrom="paragraph">
              <wp:posOffset>8890</wp:posOffset>
            </wp:positionV>
            <wp:extent cx="804545" cy="557530"/>
            <wp:effectExtent l="0" t="0" r="0" b="0"/>
            <wp:wrapSquare wrapText="bothSides"/>
            <wp:docPr id="4231" name="Picture 4231"/>
            <wp:cNvGraphicFramePr/>
            <a:graphic xmlns:a="http://schemas.openxmlformats.org/drawingml/2006/main">
              <a:graphicData uri="http://schemas.openxmlformats.org/drawingml/2006/picture">
                <pic:pic xmlns:pic="http://schemas.openxmlformats.org/drawingml/2006/picture">
                  <pic:nvPicPr>
                    <pic:cNvPr id="4231" name="Picture 4231"/>
                    <pic:cNvPicPr/>
                  </pic:nvPicPr>
                  <pic:blipFill>
                    <a:blip r:embed="rId12"/>
                    <a:stretch>
                      <a:fillRect/>
                    </a:stretch>
                  </pic:blipFill>
                  <pic:spPr>
                    <a:xfrm>
                      <a:off x="0" y="0"/>
                      <a:ext cx="804672" cy="557784"/>
                    </a:xfrm>
                    <a:prstGeom prst="rect">
                      <a:avLst/>
                    </a:prstGeom>
                  </pic:spPr>
                </pic:pic>
              </a:graphicData>
            </a:graphic>
          </wp:anchor>
        </w:drawing>
      </w:r>
    </w:p>
    <w:p w14:paraId="196FD60F">
      <w:pPr>
        <w:tabs>
          <w:tab w:val="center" w:pos="1978"/>
          <w:tab w:val="center" w:pos="5706"/>
        </w:tabs>
        <w:ind w:left="0" w:right="0" w:firstLine="0"/>
        <w:jc w:val="left"/>
      </w:pPr>
      <w:r>
        <w:rPr>
          <w:rFonts w:ascii="Calibri" w:hAnsi="Calibri" w:eastAsia="Calibri" w:cs="Calibri"/>
        </w:rPr>
        <w:tab/>
      </w:r>
      <w:r>
        <w:t>The model should propagate the pair</w:t>
      </w:r>
      <w:r>
        <w:tab/>
      </w:r>
      <w:r>
        <w:t>through the network.</w:t>
      </w:r>
    </w:p>
    <w:p w14:paraId="7273C3CE">
      <w:pPr>
        <w:numPr>
          <w:ilvl w:val="0"/>
          <w:numId w:val="1"/>
        </w:numPr>
        <w:spacing w:after="124"/>
        <w:ind w:right="0" w:hanging="382"/>
      </w:pPr>
      <w:r>
        <w:rPr>
          <w:b/>
        </w:rPr>
        <w:t xml:space="preserve">Eq. (8) needs a numerical safeguard. </w:t>
      </w:r>
      <w:r>
        <w:t xml:space="preserve">The DF-TTFS scaling factor becomes unstable if </w:t>
      </w:r>
      <w:r>
        <w:rPr>
          <w:rFonts w:ascii="Cambria" w:hAnsi="Cambria" w:eastAsia="Cambria" w:cs="Cambria"/>
          <w:i/>
        </w:rPr>
        <w:t>V</w:t>
      </w:r>
      <w:r>
        <w:rPr>
          <w:vertAlign w:val="subscript"/>
        </w:rPr>
        <w:t xml:space="preserve">max </w:t>
      </w:r>
      <w:r>
        <w:rPr>
          <w:rFonts w:ascii="Cambria" w:hAnsi="Cambria" w:eastAsia="Cambria" w:cs="Cambria"/>
        </w:rPr>
        <w:t xml:space="preserve">= </w:t>
      </w:r>
      <w:r>
        <w:rPr>
          <w:rFonts w:ascii="Cambria" w:hAnsi="Cambria" w:eastAsia="Cambria" w:cs="Cambria"/>
          <w:i/>
        </w:rPr>
        <w:t>V</w:t>
      </w:r>
      <w:r>
        <w:rPr>
          <w:vertAlign w:val="subscript"/>
        </w:rPr>
        <w:t>min</w:t>
      </w:r>
      <w:r>
        <w:t>. The authors should use a safeguarded expression such as</w:t>
      </w:r>
    </w:p>
    <w:p w14:paraId="5E2BA52E">
      <w:pPr>
        <w:spacing w:after="170" w:line="259" w:lineRule="auto"/>
        <w:ind w:left="342" w:right="0" w:firstLine="0"/>
        <w:jc w:val="center"/>
      </w:pPr>
      <w:r>
        <w:rPr>
          <w:rFonts w:ascii="Cambria" w:hAnsi="Cambria" w:eastAsia="Cambria" w:cs="Cambria"/>
          <w:i/>
        </w:rPr>
        <w:t>S</w:t>
      </w:r>
      <w:r>
        <w:rPr>
          <w:rFonts w:ascii="Cambria" w:hAnsi="Cambria" w:eastAsia="Cambria" w:cs="Cambria"/>
          <w:i/>
          <w:vertAlign w:val="subscript"/>
        </w:rPr>
        <w:t xml:space="preserve">p </w:t>
      </w:r>
      <w:r>
        <w:rPr>
          <w:rFonts w:ascii="Cambria" w:hAnsi="Cambria" w:eastAsia="Cambria" w:cs="Cambria"/>
          <w:sz w:val="34"/>
          <w:vertAlign w:val="subscript"/>
        </w:rPr>
        <w:t>= 2</w:t>
      </w:r>
      <w:r>
        <w:rPr>
          <w:rFonts w:ascii="Cambria" w:hAnsi="Cambria" w:eastAsia="Cambria" w:cs="Cambria"/>
          <w:sz w:val="16"/>
        </w:rPr>
        <w:t>⌈</w:t>
      </w:r>
      <w:r>
        <w:rPr>
          <w:sz w:val="16"/>
        </w:rPr>
        <w:t>log</w:t>
      </w:r>
      <w:r>
        <w:rPr>
          <w:rFonts w:ascii="Cambria" w:hAnsi="Cambria" w:eastAsia="Cambria" w:cs="Cambria"/>
          <w:sz w:val="16"/>
          <w:vertAlign w:val="subscript"/>
        </w:rPr>
        <w:t>2</w:t>
      </w:r>
      <w:r>
        <w:rPr>
          <w:rFonts w:ascii="Cambria" w:hAnsi="Cambria" w:eastAsia="Cambria" w:cs="Cambria"/>
          <w:sz w:val="16"/>
        </w:rPr>
        <w:t>(</w:t>
      </w:r>
      <w:r>
        <w:rPr>
          <w:sz w:val="16"/>
        </w:rPr>
        <w:t>max</w:t>
      </w:r>
      <w:r>
        <w:rPr>
          <w:rFonts w:ascii="Cambria" w:hAnsi="Cambria" w:eastAsia="Cambria" w:cs="Cambria"/>
          <w:sz w:val="16"/>
        </w:rPr>
        <w:t>(</w:t>
      </w:r>
      <w:r>
        <w:rPr>
          <w:rFonts w:ascii="Cambria" w:hAnsi="Cambria" w:eastAsia="Cambria" w:cs="Cambria"/>
          <w:i/>
          <w:sz w:val="16"/>
        </w:rPr>
        <w:t>V</w:t>
      </w:r>
      <w:r>
        <w:rPr>
          <w:sz w:val="12"/>
        </w:rPr>
        <w:t>max</w:t>
      </w:r>
      <w:r>
        <w:rPr>
          <w:rFonts w:ascii="Cambria" w:hAnsi="Cambria" w:eastAsia="Cambria" w:cs="Cambria"/>
          <w:sz w:val="16"/>
        </w:rPr>
        <w:t>−</w:t>
      </w:r>
      <w:r>
        <w:rPr>
          <w:rFonts w:ascii="Cambria" w:hAnsi="Cambria" w:eastAsia="Cambria" w:cs="Cambria"/>
          <w:i/>
          <w:sz w:val="16"/>
        </w:rPr>
        <w:t>V</w:t>
      </w:r>
      <w:r>
        <w:rPr>
          <w:sz w:val="12"/>
        </w:rPr>
        <w:t>min</w:t>
      </w:r>
      <w:r>
        <w:rPr>
          <w:rFonts w:ascii="Cambria" w:hAnsi="Cambria" w:eastAsia="Cambria" w:cs="Cambria"/>
          <w:i/>
          <w:sz w:val="16"/>
        </w:rPr>
        <w:t>,δ</w:t>
      </w:r>
      <w:r>
        <w:rPr>
          <w:rFonts w:ascii="Cambria" w:hAnsi="Cambria" w:eastAsia="Cambria" w:cs="Cambria"/>
          <w:sz w:val="16"/>
        </w:rPr>
        <w:t>))⌉</w:t>
      </w:r>
      <w:r>
        <w:rPr>
          <w:rFonts w:ascii="Cambria" w:hAnsi="Cambria" w:eastAsia="Cambria" w:cs="Cambria"/>
          <w:i/>
        </w:rPr>
        <w:t>,</w:t>
      </w:r>
    </w:p>
    <w:p w14:paraId="4B6CAC8D">
      <w:pPr>
        <w:ind w:left="374" w:right="0" w:firstLine="0"/>
      </w:pPr>
      <w:r>
        <w:t xml:space="preserve">with a small </w:t>
      </w:r>
      <w:r>
        <w:rPr>
          <w:rFonts w:ascii="Cambria" w:hAnsi="Cambria" w:eastAsia="Cambria" w:cs="Cambria"/>
          <w:i/>
        </w:rPr>
        <w:t xml:space="preserve">δ &gt; </w:t>
      </w:r>
      <w:r>
        <w:rPr>
          <w:rFonts w:ascii="Cambria" w:hAnsi="Cambria" w:eastAsia="Cambria" w:cs="Cambria"/>
        </w:rPr>
        <w:t>0</w:t>
      </w:r>
      <w:r>
        <w:t>.</w:t>
      </w:r>
    </w:p>
    <w:p w14:paraId="23248B12">
      <w:pPr>
        <w:numPr>
          <w:ilvl w:val="0"/>
          <w:numId w:val="1"/>
        </w:numPr>
        <w:ind w:right="0" w:hanging="382"/>
      </w:pPr>
      <w:r>
        <w:rPr>
          <w:b/>
        </w:rPr>
        <w:t xml:space="preserve">Boundary cases should be treated more carefully. </w:t>
      </w:r>
      <w:r>
        <w:t xml:space="preserve">The behavior at </w:t>
      </w:r>
      <w:r>
        <w:rPr>
          <w:rFonts w:ascii="Cambria" w:hAnsi="Cambria" w:eastAsia="Cambria" w:cs="Cambria"/>
          <w:i/>
        </w:rPr>
        <w:t xml:space="preserve">T </w:t>
      </w:r>
      <w:r>
        <w:rPr>
          <w:rFonts w:ascii="Cambria" w:hAnsi="Cambria" w:eastAsia="Cambria" w:cs="Cambria"/>
        </w:rPr>
        <w:t xml:space="preserve">= </w:t>
      </w:r>
      <w:r>
        <w:rPr>
          <w:rFonts w:ascii="Cambria" w:hAnsi="Cambria" w:eastAsia="Cambria" w:cs="Cambria"/>
          <w:i/>
        </w:rPr>
        <w:t>T</w:t>
      </w:r>
      <w:r>
        <w:rPr>
          <w:vertAlign w:val="subscript"/>
        </w:rPr>
        <w:t xml:space="preserve">max </w:t>
      </w:r>
      <w:r>
        <w:t xml:space="preserve">is ambiguous. A neuron firing exactly at </w:t>
      </w:r>
      <w:r>
        <w:rPr>
          <w:rFonts w:ascii="Cambria" w:hAnsi="Cambria" w:eastAsia="Cambria" w:cs="Cambria"/>
          <w:i/>
        </w:rPr>
        <w:t>T</w:t>
      </w:r>
      <w:r>
        <w:rPr>
          <w:vertAlign w:val="subscript"/>
        </w:rPr>
        <w:t xml:space="preserve">max </w:t>
      </w:r>
      <w:r>
        <w:t xml:space="preserve">and a silent neuron clipped to </w:t>
      </w:r>
      <w:r>
        <w:rPr>
          <w:rFonts w:ascii="Cambria" w:hAnsi="Cambria" w:eastAsia="Cambria" w:cs="Cambria"/>
          <w:i/>
        </w:rPr>
        <w:t>T</w:t>
      </w:r>
      <w:r>
        <w:rPr>
          <w:vertAlign w:val="subscript"/>
        </w:rPr>
        <w:t xml:space="preserve">max </w:t>
      </w:r>
      <w:r>
        <w:t>are represented by the same scalar value. This affects forward propagation, output readout, and gradients. The active-spike mask would resolve this ambiguity.</w:t>
      </w:r>
    </w:p>
    <w:p w14:paraId="4BF7EFF4">
      <w:pPr>
        <w:numPr>
          <w:ilvl w:val="0"/>
          <w:numId w:val="1"/>
        </w:numPr>
        <w:ind w:right="0" w:hanging="382"/>
      </w:pPr>
      <w:r>
        <w:rPr>
          <w:b/>
        </w:rPr>
        <w:t xml:space="preserve">The gradient-stability argument around Eq. (9) is too weak. </w:t>
      </w:r>
      <w:r>
        <w:t>Eq. (9) gives only the local derivative of an active neuron’s spike time with respect to a synaptic weight. However, vanishing or exploding gradients in a deep TTFS network are controlled by the product of layer-wise spike-time Jacobians, not by this local temporal offset alone. The B1 paper analyzes the full masked Jacobian, whose spectrum depends on the active-neuron mask and the fixed-slope identity condition. The submitted manuscript does not derive the corresponding Jacobian for DA-SNN and does not show that the adaptive window keeps the multilayer Jacobian spectrum bounded.</w:t>
      </w:r>
    </w:p>
    <w:p w14:paraId="01BD493F">
      <w:pPr>
        <w:numPr>
          <w:ilvl w:val="0"/>
          <w:numId w:val="1"/>
        </w:numPr>
        <w:spacing w:after="107"/>
        <w:ind w:right="0" w:hanging="382"/>
      </w:pPr>
      <w:r>
        <w:rPr>
          <w:b/>
        </w:rPr>
        <w:t xml:space="preserve">The authors should reproduce a B1-style Jacobian-spectrum experiment. </w:t>
      </w:r>
      <w:r>
        <w:t>To support the claim that ATSNN stabilizes gradients, the authors should reproduce an analogue of Fig. 2 from the B1 paper under their own DA-SNN/ATSNN conditions. They should initialize weights using standard deep-learning initialization, compute the layer-wise spike-time Jacobian with active-neuron masks, and examine whether eigenvalues remain inside or near the unit circle. This should be shown for both fixed-window and adaptive-window ATSNN. Without this analysis, the stability claim remains heuristic.</w:t>
      </w:r>
    </w:p>
    <w:p w14:paraId="55AFB50D">
      <w:pPr>
        <w:numPr>
          <w:ilvl w:val="0"/>
          <w:numId w:val="1"/>
        </w:numPr>
        <w:ind w:right="0" w:hanging="382"/>
      </w:pPr>
      <w:r>
        <w:rPr>
          <w:b/>
        </w:rPr>
        <w:t xml:space="preserve">Algorithm 1 has an undefined-variable issue. </w:t>
      </w:r>
      <w:r>
        <w:t>In training mode,</w:t>
      </w:r>
      <w:r>
        <w:drawing>
          <wp:inline distT="0" distB="0" distL="0" distR="0">
            <wp:extent cx="280035" cy="173355"/>
            <wp:effectExtent l="0" t="0" r="0" b="0"/>
            <wp:docPr id="4233" name="Picture 4233"/>
            <wp:cNvGraphicFramePr/>
            <a:graphic xmlns:a="http://schemas.openxmlformats.org/drawingml/2006/main">
              <a:graphicData uri="http://schemas.openxmlformats.org/drawingml/2006/picture">
                <pic:pic xmlns:pic="http://schemas.openxmlformats.org/drawingml/2006/picture">
                  <pic:nvPicPr>
                    <pic:cNvPr id="4233" name="Picture 4233"/>
                    <pic:cNvPicPr/>
                  </pic:nvPicPr>
                  <pic:blipFill>
                    <a:blip r:embed="rId13"/>
                    <a:stretch>
                      <a:fillRect/>
                    </a:stretch>
                  </pic:blipFill>
                  <pic:spPr>
                    <a:xfrm>
                      <a:off x="0" y="0"/>
                      <a:ext cx="280416" cy="173736"/>
                    </a:xfrm>
                    <a:prstGeom prst="rect">
                      <a:avLst/>
                    </a:prstGeom>
                  </pic:spPr>
                </pic:pic>
              </a:graphicData>
            </a:graphic>
          </wp:inline>
        </w:drawing>
      </w:r>
      <w:r>
        <w:t xml:space="preserve"> is assigned only if the valid-spike set </w:t>
      </w:r>
      <w:r>
        <w:rPr>
          <w:rFonts w:ascii="Cambria" w:hAnsi="Cambria" w:eastAsia="Cambria" w:cs="Cambria"/>
          <w:i/>
        </w:rPr>
        <w:t xml:space="preserve">V </w:t>
      </w:r>
      <w:r>
        <w:t xml:space="preserve">is nonempty. If all neurons are silent or censored, then </w:t>
      </w:r>
      <w:r>
        <w:rPr>
          <w:rFonts w:ascii="Cambria" w:hAnsi="Cambria" w:eastAsia="Cambria" w:cs="Cambria"/>
          <w:i/>
        </w:rPr>
        <w:t xml:space="preserve">V </w:t>
      </w:r>
      <w:r>
        <w:rPr>
          <w:rFonts w:ascii="Cambria" w:hAnsi="Cambria" w:eastAsia="Cambria" w:cs="Cambria"/>
        </w:rPr>
        <w:t xml:space="preserve">= </w:t>
      </w:r>
      <w:r>
        <w:t>∅, line 11 is skipped, and line 13 still uses</w:t>
      </w:r>
      <w:r>
        <w:drawing>
          <wp:inline distT="0" distB="0" distL="0" distR="0">
            <wp:extent cx="280035" cy="176530"/>
            <wp:effectExtent l="0" t="0" r="0" b="0"/>
            <wp:docPr id="4234" name="Picture 4234"/>
            <wp:cNvGraphicFramePr/>
            <a:graphic xmlns:a="http://schemas.openxmlformats.org/drawingml/2006/main">
              <a:graphicData uri="http://schemas.openxmlformats.org/drawingml/2006/picture">
                <pic:pic xmlns:pic="http://schemas.openxmlformats.org/drawingml/2006/picture">
                  <pic:nvPicPr>
                    <pic:cNvPr id="4234" name="Picture 4234"/>
                    <pic:cNvPicPr/>
                  </pic:nvPicPr>
                  <pic:blipFill>
                    <a:blip r:embed="rId14"/>
                    <a:stretch>
                      <a:fillRect/>
                    </a:stretch>
                  </pic:blipFill>
                  <pic:spPr>
                    <a:xfrm>
                      <a:off x="0" y="0"/>
                      <a:ext cx="280416" cy="176784"/>
                    </a:xfrm>
                    <a:prstGeom prst="rect">
                      <a:avLst/>
                    </a:prstGeom>
                  </pic:spPr>
                </pic:pic>
              </a:graphicData>
            </a:graphic>
          </wp:inline>
        </w:drawing>
      </w:r>
      <w:r>
        <w:t>. The authors should define a fallback rule, such as keeping</w:t>
      </w:r>
      <w:r>
        <w:drawing>
          <wp:inline distT="0" distB="0" distL="0" distR="0">
            <wp:extent cx="762000" cy="176530"/>
            <wp:effectExtent l="0" t="0" r="0" b="0"/>
            <wp:docPr id="4235" name="Picture 4235"/>
            <wp:cNvGraphicFramePr/>
            <a:graphic xmlns:a="http://schemas.openxmlformats.org/drawingml/2006/main">
              <a:graphicData uri="http://schemas.openxmlformats.org/drawingml/2006/picture">
                <pic:pic xmlns:pic="http://schemas.openxmlformats.org/drawingml/2006/picture">
                  <pic:nvPicPr>
                    <pic:cNvPr id="4235" name="Picture 4235"/>
                    <pic:cNvPicPr/>
                  </pic:nvPicPr>
                  <pic:blipFill>
                    <a:blip r:embed="rId15"/>
                    <a:stretch>
                      <a:fillRect/>
                    </a:stretch>
                  </pic:blipFill>
                  <pic:spPr>
                    <a:xfrm>
                      <a:off x="0" y="0"/>
                      <a:ext cx="762000" cy="176784"/>
                    </a:xfrm>
                    <a:prstGeom prst="rect">
                      <a:avLst/>
                    </a:prstGeom>
                  </pic:spPr>
                </pic:pic>
              </a:graphicData>
            </a:graphic>
          </wp:inline>
        </w:drawing>
      </w:r>
      <w:r>
        <w:t xml:space="preserve"> or expanding the window when no valid spikes occur.</w:t>
      </w:r>
    </w:p>
    <w:p w14:paraId="50C19249">
      <w:pPr>
        <w:numPr>
          <w:ilvl w:val="0"/>
          <w:numId w:val="1"/>
        </w:numPr>
        <w:spacing w:after="172" w:line="269" w:lineRule="auto"/>
        <w:ind w:right="0" w:hanging="382"/>
      </w:pPr>
      <w:r>
        <w:rPr>
          <w:b/>
        </w:rPr>
        <w:t xml:space="preserve">Eq. (11) should include an active-spike mask. </w:t>
      </w:r>
      <w:r>
        <w:t xml:space="preserve">The output logit sums over presynaptic spike times, but if silent neurons are represented numerically by </w:t>
      </w:r>
      <w:r>
        <w:rPr>
          <w:rFonts w:ascii="Cambria" w:hAnsi="Cambria" w:eastAsia="Cambria" w:cs="Cambria"/>
          <w:i/>
        </w:rPr>
        <w:t>T</w:t>
      </w:r>
      <w:r>
        <w:rPr>
          <w:vertAlign w:val="subscript"/>
        </w:rPr>
        <w:t>max</w:t>
      </w:r>
      <w:r>
        <w:t>, they may be treated as valid late spikes. The logit should include a presynaptic mask so that only neurons that actually fired contribute to the readout.</w:t>
      </w:r>
    </w:p>
    <w:p w14:paraId="2D15CDD7">
      <w:pPr>
        <w:numPr>
          <w:ilvl w:val="0"/>
          <w:numId w:val="1"/>
        </w:numPr>
        <w:ind w:right="0" w:hanging="382"/>
      </w:pPr>
      <w:r>
        <w:rPr>
          <w:b/>
        </w:rPr>
        <w:t xml:space="preserve">The INT8 quantization formula should be checked. </w:t>
      </w:r>
      <w:r>
        <w:t>The signed INT8 quantization uses a factor of 128. Standard symmetric INT8 quantization usually uses 127 to avoid mapping the largest positive value to 128 and then clipping it to 127. The authors should clarify whether the use of 128 is intentional and justify it.</w:t>
      </w:r>
    </w:p>
    <w:p w14:paraId="38868A59">
      <w:pPr>
        <w:numPr>
          <w:ilvl w:val="0"/>
          <w:numId w:val="1"/>
        </w:numPr>
        <w:ind w:right="0" w:hanging="382"/>
      </w:pPr>
      <w:r>
        <w:rPr>
          <w:b/>
        </w:rPr>
        <w:t xml:space="preserve">The validation protocol is under-specified and may inflate accuracy. </w:t>
      </w:r>
      <w:r>
        <w:t>The paper reports high accuracy across SEED, SEED-IV, SEED-V, DEAP, and DREAMER, but it does not clearly state whether splits are subject-dependent, subject-independent, cross-session, cross-trial, or random window-level. This is critical because the preprocessing uses overlapping windows. If adjacent windows from the same trial enter both training and test sets, the reported performance may be inflated.</w:t>
      </w:r>
    </w:p>
    <w:p w14:paraId="1C76389F">
      <w:pPr>
        <w:numPr>
          <w:ilvl w:val="0"/>
          <w:numId w:val="1"/>
        </w:numPr>
        <w:ind w:right="0" w:hanging="382"/>
      </w:pPr>
      <w:r>
        <w:rPr>
          <w:b/>
        </w:rPr>
        <w:t xml:space="preserve">The DF-TTFS contribution should be framed as hardware efficiency, not accuracy improvement. </w:t>
      </w:r>
      <w:r>
        <w:t>In the ablation, replacing DF-TTFS with standard min-max normalization slightly improves accuracy from 96.98% to 97.04%. Therefore, DF-TTFS should not be presented as the best-performing encoding method in terms of accuracy. Its contribution is hardware efficiency through division removal.</w:t>
      </w:r>
    </w:p>
    <w:p w14:paraId="7E66FFC1">
      <w:pPr>
        <w:numPr>
          <w:ilvl w:val="0"/>
          <w:numId w:val="1"/>
        </w:numPr>
        <w:spacing w:after="172" w:line="269" w:lineRule="auto"/>
        <w:ind w:right="0" w:hanging="382"/>
      </w:pPr>
      <w:r>
        <w:rPr>
          <w:b/>
        </w:rPr>
        <w:t xml:space="preserve">The robustness experiment is insufficient for wearable deployment claims. </w:t>
      </w:r>
      <w:r>
        <w:t xml:space="preserve">Noise is injected into feature maps after fine-tuning, not into raw EEG before preprocessing. This does not model realistic wearable artifacts such as motion, EMG, EOG, electrode detachment, impedance drift, or sweat. The experiment is useful as a synthetic perturbation test, but it is not sufficient evidence for real wearable robustness. </w:t>
      </w:r>
    </w:p>
    <w:p w14:paraId="1CA23D95">
      <w:pPr>
        <w:numPr>
          <w:ilvl w:val="0"/>
          <w:numId w:val="1"/>
        </w:numPr>
        <w:spacing w:after="172" w:line="269" w:lineRule="auto"/>
        <w:ind w:right="0" w:hanging="382"/>
        <w:rPr>
          <w:bCs/>
        </w:rPr>
      </w:pPr>
      <w:r>
        <w:rPr>
          <w:b/>
        </w:rPr>
        <w:t>Robustness should be tested with realistic Singal to noise ratio for common EEG experiments</w:t>
      </w:r>
      <w:r>
        <w:rPr>
          <w:bCs/>
        </w:rPr>
        <w:t>. One reference cites values Relative Noise Level (NL) ranging from 0.05 to 0.125.</w:t>
      </w:r>
    </w:p>
    <w:p w14:paraId="506E80B4">
      <w:pPr>
        <w:ind w:left="109" w:right="0" w:firstLine="339"/>
      </w:pPr>
      <w:r>
        <w:t>Overall, these points do not diminish the potential value of the work, but they indicate that the current manuscript needs major revision. The most important issues are the unclear relationship to the B1 model, the incomplete mathematical treatment of active/silent neurons, the weak gradient-stability evidence, and the under-specified validation protocol. Addressing these points would substantially improve the rigor and credibility of the paper.</w:t>
      </w:r>
    </w:p>
    <w:sectPr>
      <w:footerReference r:id="rId7" w:type="first"/>
      <w:footerReference r:id="rId5" w:type="default"/>
      <w:footerReference r:id="rId6" w:type="even"/>
      <w:pgSz w:w="12240" w:h="15840"/>
      <w:pgMar w:top="1507" w:right="1401" w:bottom="1393" w:left="1331" w:header="720" w:footer="795"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0000000000000000000"/>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Verdana">
    <w:panose1 w:val="020B0604030504040204"/>
    <w:charset w:val="00"/>
    <w:family w:val="auto"/>
    <w:pitch w:val="default"/>
    <w:sig w:usb0="A00006FF" w:usb1="4000205B" w:usb2="0000001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CF1A76">
    <w:pPr>
      <w:spacing w:after="0" w:line="259" w:lineRule="auto"/>
      <w:ind w:left="70" w:righ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DBE894">
    <w:pPr>
      <w:spacing w:after="0" w:line="259" w:lineRule="auto"/>
      <w:ind w:left="70" w:right="0"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461114">
    <w:pPr>
      <w:spacing w:after="0" w:line="259" w:lineRule="auto"/>
      <w:ind w:left="70" w:righ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8" w:lineRule="auto"/>
      </w:pPr>
      <w:r>
        <w:separator/>
      </w:r>
    </w:p>
  </w:footnote>
  <w:footnote w:type="continuationSeparator" w:id="1">
    <w:p>
      <w:pPr>
        <w:spacing w:before="0" w:after="0" w:line="26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8D7406E"/>
    <w:multiLevelType w:val="multilevel"/>
    <w:tmpl w:val="68D7406E"/>
    <w:lvl w:ilvl="0" w:tentative="0">
      <w:start w:val="1"/>
      <w:numFmt w:val="decimal"/>
      <w:lvlText w:val="%1."/>
      <w:lvlJc w:val="left"/>
      <w:pPr>
        <w:ind w:left="382"/>
      </w:pPr>
      <w:rPr>
        <w:rFonts w:ascii="Times New Roman" w:hAnsi="Times New Roman" w:eastAsia="Times New Roman" w:cs="Times New Roman"/>
        <w:b/>
        <w:bCs/>
        <w:i w:val="0"/>
        <w:strike w:val="0"/>
        <w:dstrike w:val="0"/>
        <w:color w:val="000000"/>
        <w:sz w:val="22"/>
        <w:szCs w:val="22"/>
        <w:u w:val="none" w:color="000000"/>
        <w:shd w:val="clear" w:color="auto" w:fill="auto"/>
        <w:vertAlign w:val="baseline"/>
      </w:rPr>
    </w:lvl>
    <w:lvl w:ilvl="1" w:tentative="0">
      <w:start w:val="1"/>
      <w:numFmt w:val="lowerLetter"/>
      <w:lvlText w:val="%2"/>
      <w:lvlJc w:val="left"/>
      <w:pPr>
        <w:ind w:left="1097"/>
      </w:pPr>
      <w:rPr>
        <w:rFonts w:ascii="Times New Roman" w:hAnsi="Times New Roman" w:eastAsia="Times New Roman" w:cs="Times New Roman"/>
        <w:b/>
        <w:bCs/>
        <w:i w:val="0"/>
        <w:strike w:val="0"/>
        <w:dstrike w:val="0"/>
        <w:color w:val="000000"/>
        <w:sz w:val="22"/>
        <w:szCs w:val="22"/>
        <w:u w:val="none" w:color="000000"/>
        <w:shd w:val="clear" w:color="auto" w:fill="auto"/>
        <w:vertAlign w:val="baseline"/>
      </w:rPr>
    </w:lvl>
    <w:lvl w:ilvl="2" w:tentative="0">
      <w:start w:val="1"/>
      <w:numFmt w:val="lowerRoman"/>
      <w:lvlText w:val="%3"/>
      <w:lvlJc w:val="left"/>
      <w:pPr>
        <w:ind w:left="1817"/>
      </w:pPr>
      <w:rPr>
        <w:rFonts w:ascii="Times New Roman" w:hAnsi="Times New Roman" w:eastAsia="Times New Roman" w:cs="Times New Roman"/>
        <w:b/>
        <w:bCs/>
        <w:i w:val="0"/>
        <w:strike w:val="0"/>
        <w:dstrike w:val="0"/>
        <w:color w:val="000000"/>
        <w:sz w:val="22"/>
        <w:szCs w:val="22"/>
        <w:u w:val="none" w:color="000000"/>
        <w:shd w:val="clear" w:color="auto" w:fill="auto"/>
        <w:vertAlign w:val="baseline"/>
      </w:rPr>
    </w:lvl>
    <w:lvl w:ilvl="3" w:tentative="0">
      <w:start w:val="1"/>
      <w:numFmt w:val="decimal"/>
      <w:lvlText w:val="%4"/>
      <w:lvlJc w:val="left"/>
      <w:pPr>
        <w:ind w:left="2537"/>
      </w:pPr>
      <w:rPr>
        <w:rFonts w:ascii="Times New Roman" w:hAnsi="Times New Roman" w:eastAsia="Times New Roman" w:cs="Times New Roman"/>
        <w:b/>
        <w:bCs/>
        <w:i w:val="0"/>
        <w:strike w:val="0"/>
        <w:dstrike w:val="0"/>
        <w:color w:val="000000"/>
        <w:sz w:val="22"/>
        <w:szCs w:val="22"/>
        <w:u w:val="none" w:color="000000"/>
        <w:shd w:val="clear" w:color="auto" w:fill="auto"/>
        <w:vertAlign w:val="baseline"/>
      </w:rPr>
    </w:lvl>
    <w:lvl w:ilvl="4" w:tentative="0">
      <w:start w:val="1"/>
      <w:numFmt w:val="lowerLetter"/>
      <w:lvlText w:val="%5"/>
      <w:lvlJc w:val="left"/>
      <w:pPr>
        <w:ind w:left="3257"/>
      </w:pPr>
      <w:rPr>
        <w:rFonts w:ascii="Times New Roman" w:hAnsi="Times New Roman" w:eastAsia="Times New Roman" w:cs="Times New Roman"/>
        <w:b/>
        <w:bCs/>
        <w:i w:val="0"/>
        <w:strike w:val="0"/>
        <w:dstrike w:val="0"/>
        <w:color w:val="000000"/>
        <w:sz w:val="22"/>
        <w:szCs w:val="22"/>
        <w:u w:val="none" w:color="000000"/>
        <w:shd w:val="clear" w:color="auto" w:fill="auto"/>
        <w:vertAlign w:val="baseline"/>
      </w:rPr>
    </w:lvl>
    <w:lvl w:ilvl="5" w:tentative="0">
      <w:start w:val="1"/>
      <w:numFmt w:val="lowerRoman"/>
      <w:lvlText w:val="%6"/>
      <w:lvlJc w:val="left"/>
      <w:pPr>
        <w:ind w:left="3977"/>
      </w:pPr>
      <w:rPr>
        <w:rFonts w:ascii="Times New Roman" w:hAnsi="Times New Roman" w:eastAsia="Times New Roman" w:cs="Times New Roman"/>
        <w:b/>
        <w:bCs/>
        <w:i w:val="0"/>
        <w:strike w:val="0"/>
        <w:dstrike w:val="0"/>
        <w:color w:val="000000"/>
        <w:sz w:val="22"/>
        <w:szCs w:val="22"/>
        <w:u w:val="none" w:color="000000"/>
        <w:shd w:val="clear" w:color="auto" w:fill="auto"/>
        <w:vertAlign w:val="baseline"/>
      </w:rPr>
    </w:lvl>
    <w:lvl w:ilvl="6" w:tentative="0">
      <w:start w:val="1"/>
      <w:numFmt w:val="decimal"/>
      <w:lvlText w:val="%7"/>
      <w:lvlJc w:val="left"/>
      <w:pPr>
        <w:ind w:left="4697"/>
      </w:pPr>
      <w:rPr>
        <w:rFonts w:ascii="Times New Roman" w:hAnsi="Times New Roman" w:eastAsia="Times New Roman" w:cs="Times New Roman"/>
        <w:b/>
        <w:bCs/>
        <w:i w:val="0"/>
        <w:strike w:val="0"/>
        <w:dstrike w:val="0"/>
        <w:color w:val="000000"/>
        <w:sz w:val="22"/>
        <w:szCs w:val="22"/>
        <w:u w:val="none" w:color="000000"/>
        <w:shd w:val="clear" w:color="auto" w:fill="auto"/>
        <w:vertAlign w:val="baseline"/>
      </w:rPr>
    </w:lvl>
    <w:lvl w:ilvl="7" w:tentative="0">
      <w:start w:val="1"/>
      <w:numFmt w:val="lowerLetter"/>
      <w:lvlText w:val="%8"/>
      <w:lvlJc w:val="left"/>
      <w:pPr>
        <w:ind w:left="5417"/>
      </w:pPr>
      <w:rPr>
        <w:rFonts w:ascii="Times New Roman" w:hAnsi="Times New Roman" w:eastAsia="Times New Roman" w:cs="Times New Roman"/>
        <w:b/>
        <w:bCs/>
        <w:i w:val="0"/>
        <w:strike w:val="0"/>
        <w:dstrike w:val="0"/>
        <w:color w:val="000000"/>
        <w:sz w:val="22"/>
        <w:szCs w:val="22"/>
        <w:u w:val="none" w:color="000000"/>
        <w:shd w:val="clear" w:color="auto" w:fill="auto"/>
        <w:vertAlign w:val="baseline"/>
      </w:rPr>
    </w:lvl>
    <w:lvl w:ilvl="8" w:tentative="0">
      <w:start w:val="1"/>
      <w:numFmt w:val="lowerRoman"/>
      <w:lvlText w:val="%9"/>
      <w:lvlJc w:val="left"/>
      <w:pPr>
        <w:ind w:left="6137"/>
      </w:pPr>
      <w:rPr>
        <w:rFonts w:ascii="Times New Roman" w:hAnsi="Times New Roman" w:eastAsia="Times New Roman" w:cs="Times New Roman"/>
        <w:b/>
        <w:bCs/>
        <w:i w:val="0"/>
        <w:strike w:val="0"/>
        <w:dstrike w:val="0"/>
        <w:color w:val="000000"/>
        <w:sz w:val="22"/>
        <w:szCs w:val="22"/>
        <w:u w:val="none" w:color="000000"/>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7459"/>
    <w:rsid w:val="001D4CB7"/>
    <w:rsid w:val="005E71F8"/>
    <w:rsid w:val="00C80BE6"/>
    <w:rsid w:val="00C86300"/>
    <w:rsid w:val="00D81C1F"/>
    <w:rsid w:val="00D852FA"/>
    <w:rsid w:val="00DB3B84"/>
    <w:rsid w:val="00F62EF5"/>
    <w:rsid w:val="00F869BD"/>
    <w:rsid w:val="00FC7459"/>
    <w:rsid w:val="00FE5828"/>
    <w:rsid w:val="60411F14"/>
    <w:rsid w:val="77AD69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82" w:line="268" w:lineRule="auto"/>
      <w:ind w:left="484" w:right="2" w:hanging="380"/>
      <w:jc w:val="both"/>
    </w:pPr>
    <w:rPr>
      <w:rFonts w:ascii="Times New Roman" w:hAnsi="Times New Roman" w:eastAsia="Times New Roman" w:cs="Times New Roman"/>
      <w:color w:val="000000"/>
      <w:kern w:val="2"/>
      <w:sz w:val="22"/>
      <w:szCs w:val="24"/>
      <w:lang w:val="en-US" w:eastAsia="zh-CN" w:bidi="ar-SA"/>
      <w14:ligatures w14:val="standardContextual"/>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6</Pages>
  <Words>879</Words>
  <Characters>5052</Characters>
  <Lines>122</Lines>
  <Paragraphs>40</Paragraphs>
  <TotalTime>180</TotalTime>
  <ScaleCrop>false</ScaleCrop>
  <LinksUpToDate>false</LinksUpToDate>
  <CharactersWithSpaces>5913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2026-05-20T05:37:00Z</dcterms:created>
  <dc:creator>VECTOR</dc:creator>
  <cp:lastModifiedBy>James·harden</cp:lastModifiedBy>
  <dcterms:modified xsi:type="dcterms:W3CDTF">2026-08-08T09:50:45Z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eyJoZGlkIjoiMGIzOTcxNTdkNTNjMWJjNTA0MWQ5MDQ1OWVjODgzODciLCJ1c2VySWQiOiI0MzM1MDEyMDgifQ==</vt:lpwstr>
  </property>
  <property fmtid="{D5CDD505-2E9C-101B-9397-08002B2CF9AE}" pid="3" name="KSOProductBuildVer">
    <vt:lpwstr>2052-12.1.0.28043</vt:lpwstr>
  </property>
  <property fmtid="{D5CDD505-2E9C-101B-9397-08002B2CF9AE}" pid="4" name="ICV">
    <vt:lpwstr>D4710EB5EAB34154ACB467D08D4B4612_12</vt:lpwstr>
  </property>
</Properties>
</file>