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Gov.br e apps bancários: ciclos, infraestrutura e acesso</w:t>
      </w:r>
    </w:p>
    <w:p>
      <w:pPr/>
      <w:r>
        <w:t xml:space="preserve">Oct 20, 2026</w:t>
      </w:r>
      <w:r>
        <w:t xml:space="preserve"> · </w:t>
      </w:r>
      <w:r>
        <w:t xml:space="preserve">@Mayck Lopes</w:t>
      </w:r>
    </w:p>
    <w:p>
      <w:pPr/>
      <w:r>
        <w:t xml:space="preserve">Mayck Gabriel, Felipe Rodrigues e Daniel Almeida · Design Profissional · UDF · Atividade Reflexiva: Tecnologia, Ciclos e Acessos (Etapa 3)</w:t>
      </w:r>
    </w:p>
    <w:p>
      <w:pPr/>
      <w:r>
        <w:t xml:space="preserve">O Gov.br e os aplicativos bancários entregam eficiência a milhões de pessoas, mas a condicionam a um celular recente, a uma boa conexão e a uma infraestrutura de alto consumo; propomos redesenhá-los para durar mais, gastar menos e chegar a quem tem menos.</w:t>
      </w:r>
    </w:p>
    <w:p>
      <w:pPr>
        <w:pStyle w:val="Heading2"/>
      </w:pPr>
      <w:r>
        <w:t xml:space="preserve">1 Introdução</w:t>
      </w:r>
    </w:p>
    <w:p>
      <w:pPr/>
      <w:r>
        <w:t xml:space="preserve">O curta-metragem </w:t>
      </w:r>
      <w:r>
        <w:rPr>
          <w:i/>
        </w:rPr>
        <w:t xml:space="preserve">Ilha das Flores</w:t>
      </w:r>
      <w:r>
        <w:t xml:space="preserve"> (FURTADO, 1989) acompanha um tomate desde a plantação até o lixão e mostra que a eficiência de uma ponta da cadeia pode gerar descarte e exclusão na outra. A mesma lógica aparece na tecnologia que usamos todos os dias: um serviço rápido, seguro e moderno para uns pode ser um serviço inacessível para outros.</w:t>
      </w:r>
    </w:p>
    <w:p>
      <w:pPr/>
      <w:r>
        <w:t xml:space="preserve">Neste trabalho, analisamos o Gov.br e os aplicativos de bancos sob os três eixos propostos pela atividade: a cadeia física (produção, distribuição e retorno), a infraestrutura invisível (data centers, processamento e conexão) e o acesso humano (inclusão e aparelhos). A pergunta que guia o artigo é a da diretriz de projeto ético: como redesenhar esse sistema para que ele dure mais, consuma menos recursos e chegue a quem tem menos posse ou mais limitações físicas?</w:t>
      </w:r>
    </w:p>
    <w:p>
      <w:pPr/>
      <w:r>
        <w:t xml:space="preserve">A resposta que defendemos é que durabilidade, sustentabilidade e inclusão são o mesmo problema de projeto. Um aplicativo que exige um celular novo descarta hardware, pesa mais nos servidores e deixa pessoas de fora ao mesmo tempo.</w:t>
      </w:r>
    </w:p>
    <w:p>
      <w:pPr>
        <w:pStyle w:val="Heading2"/>
      </w:pPr>
      <w:r>
        <w:t xml:space="preserve">2 O sistema analisado</w:t>
      </w:r>
    </w:p>
    <w:p>
      <w:pPr/>
      <w:r>
        <w:t xml:space="preserve">Escolhemos o Gov.br e os aplicativos bancários porque, na prática, eles são a porta de entrada da cidadania e do dinheiro no Brasil. Segundo a reportagem de Merli (2026), no Mobile Time, a plataforma Gov.br, criada em 2019, chegou a 175 milhões de usuários cadastrados em março de 2026, sendo 83,4 milhões com conta de nível ouro, a de maior segurança. O mesmo texto informa, citando o Ministério da Gestão e da Inovação em Serviços Públicos, cerca de 1 bilhão de acessos em janeiro e fevereiro de 2026.</w:t>
      </w:r>
    </w:p>
    <w:p>
      <w:pPr/>
      <w:r>
        <w:t xml:space="preserve">A pesquisa TIC Domicílios 2025 mostra que esse uso já é massivo: 56% dos usuários de internet usaram a plataforma Gov.br (CETIC.BR, 2026). Ou seja, não se trata de um serviço opcional. Quem fica de fora perde acesso a benefícios, documentos e serviços de saúde.</w:t>
      </w:r>
    </w:p>
    <w:p>
      <w:pPr/>
      <w:r>
        <w:t xml:space="preserve">Os aplicativos de bancos seguem a mesma lógica, com Pix, abertura de conta e crédito feitos pelo celular. Em ambos os casos, a experiência na tela depende de uma cadeia longa e quase invisível, que descrevemos a seguir pelos três eixos.</w:t>
      </w:r>
    </w:p>
    <w:p>
      <w:pPr>
        <w:pStyle w:val="Heading2"/>
      </w:pPr>
      <w:r>
        <w:t xml:space="preserve">3 Eixo 1: cadeia física, do código ao descarte</w:t>
      </w:r>
    </w:p>
    <w:p>
      <w:pPr/>
      <w:r>
        <w:rPr>
          <w:b/>
        </w:rPr>
        <w:t xml:space="preserve">Produção.</w:t>
      </w:r>
      <w:r>
        <w:t xml:space="preserve"> Um aplicativo é feito por equipes de desenvolvimento, segurança e operação, em um ciclo contínuo de programação, teste e atualização. Esse ciclo traduz regras do Banco Central e da Lei Geral de Proteção de Dados (BRASIL, 2018) em criptografia, autenticação e biometria facial, e passa por testes de invasão feitos por especialistas em segurança. Atrás do Pix ou do documento digital funcionando a qualquer hora há, portanto, muita gente em turnos de monitoramento, suporte e resposta a incidentes, nos órgãos públicos de tecnologia e nas equipes dos bancos.</w:t>
      </w:r>
    </w:p>
    <w:p>
      <w:pPr/>
      <w:r>
        <w:rPr>
          <w:b/>
        </w:rPr>
        <w:t xml:space="preserve">Hardware.</w:t>
      </w:r>
      <w:r>
        <w:t xml:space="preserve"> O software não existe sem máquinas. Crawford (2023) lembra que a "nuvem" depende de minerais, energia e trabalho humano, e que o extrativismo está na base de cada celular e de cada servidor. O aparelho que roda o aplicativo é a parte mais visível dessa cadeia, e também a que o usuário é obrigado a renovar.</w:t>
      </w:r>
    </w:p>
    <w:p>
      <w:pPr/>
      <w:r>
        <w:rPr>
          <w:b/>
        </w:rPr>
        <w:t xml:space="preserve">Obsolescência por software.</w:t>
      </w:r>
      <w:r>
        <w:t xml:space="preserve"> Quando um aplicativo atualiza suas bibliotecas de segurança, ele passa a exigir versões mais novas do sistema operacional. A decisão é tecnicamente defensável, mas empurra para o lixo aparelhos que ainda funcionam. O Global E-waste Monitor 2024 estima que o mundo gerou 62 milhões de toneladas de lixo eletrônico em 2022 e que apenas 22,3% foram coletadas e recicladas de forma documentada; a projeção é de 82 milhões de toneladas em 2030, com a taxa de reciclagem caindo para 20% (BALDÉ et al., 2024; UNITAR, 2024).</w:t>
      </w:r>
    </w:p>
    <w:p>
      <w:pPr/>
      <w:r>
        <w:rPr>
          <w:b/>
        </w:rPr>
        <w:t xml:space="preserve">Retorno.</w:t>
      </w:r>
      <w:r>
        <w:t xml:space="preserve"> Para o código, reciclar significa reaproveitar: bibliotecas, componentes de interface e sistemas de projeto reutilizados em novas versões, além da limpeza de dados e de servidores antigos, o que também reduz custo e risco. Para o aparelho, o retorno depende de reduzir as funções pesadas, manter versões "Lite" e permitir o acesso pelo navegador, de modo que um celular antigo continue útil por mais tempo.</w:t>
      </w:r>
    </w:p>
    <w:p>
      <w:pPr>
        <w:pStyle w:val="Heading2"/>
      </w:pPr>
      <w:r>
        <w:t xml:space="preserve">4 Eixo 2: a infraestrutura que não vemos</w:t>
      </w:r>
    </w:p>
    <w:p>
      <w:pPr/>
      <w:r>
        <w:rPr>
          <w:b/>
        </w:rPr>
        <w:t xml:space="preserve">Onde tudo acontece.</w:t>
      </w:r>
      <w:r>
        <w:t xml:space="preserve"> Quando abrimos o Gov.br ou o app do banco, parece que tudo ocorre na tela. Na verdade, cada login e cada consulta viaja até servidores em data centers que funcionam 24 horas por dia. Essa infraestrutura consome energia elétrica para processar e para resfriar, e parte dela também usa água. Segundo a Agência Internacional de Energia, os data centers responderam por cerca de 1,5% do consumo mundial de eletricidade em 2024, algo como 415 TWh, e esse número deve mais que dobrar, chegando a cerca de 945 TWh em 2030 (IEA, 2025). Não encontramos dados públicos de consumo específicos do Gov.br ou de bancos, por isso usamos esse retrato global como referência do problema.</w:t>
      </w:r>
    </w:p>
    <w:p>
      <w:pPr/>
      <w:r>
        <w:rPr>
          <w:b/>
        </w:rPr>
        <w:t xml:space="preserve">Disponibilidade e redundância.</w:t>
      </w:r>
      <w:r>
        <w:t xml:space="preserve"> Serviços como o Gov.br e o Pix não podem sair do ar. Por isso mantêm servidores reserva ligados, prontos para assumir a carga. A escolha é legítima do ponto de vista da segurança, mas tem um custo ambiental: energia e equipamentos que ficam em espera para o caso de uma falha.</w:t>
      </w:r>
    </w:p>
    <w:p>
      <w:pPr/>
      <w:r>
        <w:rPr>
          <w:b/>
        </w:rPr>
        <w:t xml:space="preserve">O papel do código.</w:t>
      </w:r>
      <w:r>
        <w:t xml:space="preserve"> O consumo também nasce no software. Um aplicativo mal otimizado exige mais processamento, faz mais requisições e transfere mais dados, o que pesa no servidor, na rede e na bateria do celular. Um código eficiente faz o contrário: o servidor trabalha menos e gasta menos energia. Escrever código limpo, com imagens leves, cache e consultas enxutas, é uma forma concreta de reduzir o impacto ambiental, e também de atender melhor quem tem pouca franquia de dados.</w:t>
      </w:r>
    </w:p>
    <w:p>
      <w:pPr/>
      <w:r>
        <w:t xml:space="preserve">O eixo 2 mostra que o "digital" tem peso físico, e que esse peso é invisível para quem usa. Quem projeta o sistema é quem pode torná-lo mais leve.</w:t>
      </w:r>
    </w:p>
    <w:p>
      <w:pPr>
        <w:pStyle w:val="Heading2"/>
      </w:pPr>
      <w:r>
        <w:t xml:space="preserve">5 Eixo 3: acesso humano, a Ilha das Flores digital</w:t>
      </w:r>
    </w:p>
    <w:p>
      <w:pPr/>
      <w:r>
        <w:rPr>
          <w:b/>
        </w:rPr>
        <w:t xml:space="preserve">O direito condicionado a uma tela nova.</w:t>
      </w:r>
      <w:r>
        <w:t xml:space="preserve"> A cidadania digital exige smartphone. A TIC Domicílios 2025 mostra que 86% dos domicílios brasileiros têm internet, mas esse índice cai para 73% nas classes D e E, e que 65% dos usuários acessam a rede apenas pelo celular, proporção que chega a 87% nas classes D e E (CETIC.BR, 2026). Para quem depende de um único aparelho, um aplicativo que deixa de funcionar nele equivale a perder o serviço, e a troca do hardware tem de ser paga pelo próprio cidadão.</w:t>
      </w:r>
    </w:p>
    <w:p>
      <w:pPr/>
      <w:r>
        <w:rPr>
          <w:b/>
        </w:rPr>
        <w:t xml:space="preserve">Barreiras técnicas e de habilidade.</w:t>
      </w:r>
      <w:r>
        <w:t xml:space="preserve"> Biometria facial pesada, redes 3G instáveis e telas confusas formam um funil que deixa algumas pessoas para trás. Entre os brasileiros que não usam internet, 47% apontam a falta de habilidade como motivo principal, e 12% dos usuários do Gov.br pediram que outra pessoa acessasse a plataforma por eles (CETIC.BR, 2026). Quando é preciso depender de terceiros para um serviço público, a autonomia já foi perdida.</w:t>
      </w:r>
    </w:p>
    <w:p>
      <w:pPr/>
      <w:r>
        <w:rPr>
          <w:b/>
        </w:rPr>
        <w:t xml:space="preserve">Acessibilidade inclusiva.</w:t>
      </w:r>
      <w:r>
        <w:t xml:space="preserve"> A Lei Brasileira de Inclusão exige acessibilidade nos sítios eletrônicos de órgãos públicos (BRASIL, 2015), e o Modelo de Acessibilidade em Governo Eletrônico (eMAG) e as diretrizes WCAG orientam como cumpri-la, com leitores de tela, alto contraste e comandos simples (W3C BRASIL, 2013). O Gov.br já avança em alguns pontos, como a orientação por voz e o tempo maior de validação facial para pessoas com deficiência, e mantém 153 unidades de atendimento presencial em 17 estados (MERLI, 2026). Falta, porém, que a acessibilidade seja o padrão do projeto, e não um ajuste posterior.</w:t>
      </w:r>
    </w:p>
    <w:p>
      <w:pPr/>
      <w:r>
        <w:rPr>
          <w:b/>
        </w:rPr>
        <w:t xml:space="preserve">Acesso socioeconômico.</w:t>
      </w:r>
      <w:r>
        <w:t xml:space="preserve"> O conhecimento e os serviços gerados pela tecnologia não podem ficar restritos a quem pode pagar por aparelhos mais caros. Esse é o ponto da </w:t>
      </w:r>
      <w:r>
        <w:rPr>
          <w:i/>
        </w:rPr>
        <w:t xml:space="preserve">Ilha das Flores</w:t>
      </w:r>
      <w:r>
        <w:t xml:space="preserve">: o sistema funciona bem para quem está no centro e trata como resíduo quem está na margem.</w:t>
      </w:r>
    </w:p>
    <w:p>
      <w:pPr>
        <w:pStyle w:val="Heading2"/>
      </w:pPr>
      <w:r>
        <w:t xml:space="preserve">6 Pontos críticos de melhoria</w:t>
      </w:r>
    </w:p>
    <w:p>
      <w:pPr/>
      <w:r>
        <w:t xml:space="preserve">A análise concentra seis pontos críticos, dois por eixo, cada um apoiado em evidência.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64"/>
        <w:gridCol w:w="2894"/>
        <w:gridCol w:w="4402"/>
      </w:tblGrid>
      <w:tr>
        <w:trPr>
          <w:tblHeader/>
        </w:trPr>
        <w:tc>
          <w:tcPr>
            <w:tcW w:w="2064" w:type="dxa"/>
            <w:shd w:val="clear" w:color="auto" w:fill="F2F2F2"/>
          </w:tcPr>
          <w:p>
            <w:pPr/>
            <w:r>
              <w:t xml:space="preserve">Eixo</w:t>
            </w:r>
          </w:p>
        </w:tc>
        <w:tc>
          <w:tcPr>
            <w:tcW w:w="2894" w:type="dxa"/>
            <w:shd w:val="clear" w:color="auto" w:fill="F2F2F2"/>
          </w:tcPr>
          <w:p>
            <w:pPr/>
            <w:r>
              <w:t xml:space="preserve">Ponto crítico</w:t>
            </w:r>
          </w:p>
        </w:tc>
        <w:tc>
          <w:tcPr>
            <w:tcW w:w="4402" w:type="dxa"/>
            <w:shd w:val="clear" w:color="auto" w:fill="F2F2F2"/>
          </w:tcPr>
          <w:p>
            <w:pPr/>
            <w:r>
              <w:t xml:space="preserve">Evidência</w:t>
            </w:r>
          </w:p>
        </w:tc>
      </w:tr>
      <w:tr>
        <w:tc>
          <w:tcPr>
            <w:tcW w:w="2064" w:type="dxa"/>
          </w:tcPr>
          <w:p>
            <w:pPr/>
            <w:r>
              <w:t xml:space="preserve">1 Cadeia física</w:t>
            </w:r>
          </w:p>
        </w:tc>
        <w:tc>
          <w:tcPr>
            <w:tcW w:w="2894" w:type="dxa"/>
          </w:tcPr>
          <w:p>
            <w:pPr/>
            <w:r>
              <w:t xml:space="preserve">Exigência de sistemas operacionais recentes empurra aparelhos funcionais ao descarte</w:t>
            </w:r>
          </w:p>
        </w:tc>
        <w:tc>
          <w:tcPr>
            <w:tcW w:w="4402" w:type="dxa"/>
          </w:tcPr>
          <w:p>
            <w:pPr/>
            <w:r>
              <w:t xml:space="preserve">62 milhões de toneladas de lixo eletrônico em 2022, com 22,3% reciclado de forma documentada (BALDÉ et al., 2024)</w:t>
            </w:r>
          </w:p>
        </w:tc>
      </w:tr>
      <w:tr>
        <w:tc>
          <w:tcPr>
            <w:tcW w:w="2064" w:type="dxa"/>
          </w:tcPr>
          <w:p>
            <w:pPr/>
            <w:r>
              <w:t xml:space="preserve">1 Cadeia física</w:t>
            </w:r>
          </w:p>
        </w:tc>
        <w:tc>
          <w:tcPr>
            <w:tcW w:w="2894" w:type="dxa"/>
          </w:tcPr>
          <w:p>
            <w:pPr/>
            <w:r>
              <w:t xml:space="preserve">Poucas portas leves (versão Lite, navegador) para aparelhos antigos</w:t>
            </w:r>
          </w:p>
        </w:tc>
        <w:tc>
          <w:tcPr>
            <w:tcW w:w="4402" w:type="dxa"/>
          </w:tcPr>
          <w:p>
            <w:pPr/>
            <w:r>
              <w:t xml:space="preserve">87% dos usuários das classes D e E acessam a internet só pelo celular (CETIC.BR, 2026)</w:t>
            </w:r>
          </w:p>
        </w:tc>
      </w:tr>
      <w:tr>
        <w:tc>
          <w:tcPr>
            <w:tcW w:w="2064" w:type="dxa"/>
          </w:tcPr>
          <w:p>
            <w:pPr/>
            <w:r>
              <w:t xml:space="preserve">2 Infraestrutura</w:t>
            </w:r>
          </w:p>
        </w:tc>
        <w:tc>
          <w:tcPr>
            <w:tcW w:w="2894" w:type="dxa"/>
          </w:tcPr>
          <w:p>
            <w:pPr/>
            <w:r>
              <w:t xml:space="preserve">Consumo de energia e redundância sem métrica pública por serviço</w:t>
            </w:r>
          </w:p>
        </w:tc>
        <w:tc>
          <w:tcPr>
            <w:tcW w:w="4402" w:type="dxa"/>
          </w:tcPr>
          <w:p>
            <w:pPr/>
            <w:r>
              <w:t xml:space="preserve">Data centers: 415 TWh em 2024 e cerca de 945 TWh em 2030 (IEA, 2025); sem dados específicos do Gov.br</w:t>
            </w:r>
          </w:p>
        </w:tc>
      </w:tr>
      <w:tr>
        <w:tc>
          <w:tcPr>
            <w:tcW w:w="2064" w:type="dxa"/>
          </w:tcPr>
          <w:p>
            <w:pPr/>
            <w:r>
              <w:t xml:space="preserve">2 Infraestrutura</w:t>
            </w:r>
          </w:p>
        </w:tc>
        <w:tc>
          <w:tcPr>
            <w:tcW w:w="2894" w:type="dxa"/>
          </w:tcPr>
          <w:p>
            <w:pPr/>
            <w:r>
              <w:t xml:space="preserve">Código pesado aumenta processamento, dados transferidos e bateria gasta</w:t>
            </w:r>
          </w:p>
        </w:tc>
        <w:tc>
          <w:tcPr>
            <w:tcW w:w="4402" w:type="dxa"/>
          </w:tcPr>
          <w:p>
            <w:pPr/>
            <w:r>
              <w:t xml:space="preserve">Análise técnica do grupo; efeito sentido no servidor, na rede e na franquia de dados</w:t>
            </w:r>
          </w:p>
        </w:tc>
      </w:tr>
      <w:tr>
        <w:tc>
          <w:tcPr>
            <w:tcW w:w="2064" w:type="dxa"/>
          </w:tcPr>
          <w:p>
            <w:pPr/>
            <w:r>
              <w:t xml:space="preserve">3 Acesso humano</w:t>
            </w:r>
          </w:p>
        </w:tc>
        <w:tc>
          <w:tcPr>
            <w:tcW w:w="2894" w:type="dxa"/>
          </w:tcPr>
          <w:p>
            <w:pPr/>
            <w:r>
              <w:t xml:space="preserve">Biometria facial e interfaces complexas funcionam como barreira</w:t>
            </w:r>
          </w:p>
        </w:tc>
        <w:tc>
          <w:tcPr>
            <w:tcW w:w="4402" w:type="dxa"/>
          </w:tcPr>
          <w:p>
            <w:pPr/>
            <w:r>
              <w:t xml:space="preserve">12% dos usuários do Gov.br pediram que outra pessoa acessasse por eles; 47% dos não usuários citam falta de habilidade (CETIC.BR, 2026)</w:t>
            </w:r>
          </w:p>
        </w:tc>
      </w:tr>
      <w:tr>
        <w:tc>
          <w:tcPr>
            <w:tcW w:w="2064" w:type="dxa"/>
          </w:tcPr>
          <w:p>
            <w:pPr/>
            <w:r>
              <w:t xml:space="preserve">3 Acesso humano</w:t>
            </w:r>
          </w:p>
        </w:tc>
        <w:tc>
          <w:tcPr>
            <w:tcW w:w="2894" w:type="dxa"/>
          </w:tcPr>
          <w:p>
            <w:pPr/>
            <w:r>
              <w:t xml:space="preserve">Acessibilidade tratada como ajuste, e não como padrão de projeto</w:t>
            </w:r>
          </w:p>
        </w:tc>
        <w:tc>
          <w:tcPr>
            <w:tcW w:w="4402" w:type="dxa"/>
          </w:tcPr>
          <w:p>
            <w:pPr/>
            <w:r>
              <w:t xml:space="preserve">Exigida por lei e pelo eMAG (BRASIL, 2015; W3C BRASIL, 2013); recursos de voz e tempo maior de validação são recentes (MERLI, 2026)</w:t>
            </w:r>
          </w:p>
        </w:tc>
      </w:tr>
    </w:tbl>
    <w:p>
      <w:pPr>
        <w:pStyle w:val="Heading2"/>
      </w:pPr>
      <w:r>
        <w:t xml:space="preserve">7 Diretriz de projeto ético e proposta prática</w:t>
      </w:r>
    </w:p>
    <w:p>
      <w:pPr/>
      <w:r>
        <w:rPr>
          <w:b/>
        </w:rPr>
        <w:t xml:space="preserve">Diretriz:</w:t>
      </w:r>
      <w:r>
        <w:t xml:space="preserve"> nenhum direito de cidadania ou serviço financeiro essencial deve depender da troca de um aparelho que ainda funciona.</w:t>
      </w:r>
    </w:p>
    <w:p>
      <w:pPr/>
      <w:r>
        <w:t xml:space="preserve">O caminho que propomos é a permacomputação, movimento que aplica princípios da permacultura à tecnologia: maximizar a vida útil dos equipamentos, minimizar a energia usada e projetar sistemas que funcionem em cenários de escassez (ENGELS, [s.d.]). Em vez de perguntar "qual é o aparelho mais novo que podemos exigir?", o projeto passa a perguntar "qual é o aparelho mais simples em que isso deve funcionar?".</w:t>
      </w:r>
    </w:p>
    <w:p>
      <w:pPr/>
      <w:r>
        <w:t xml:space="preserve">Há um conflito real a considerar: manter compatibilidade com sistemas antigos pode abrir brechas de segurança. Por isso a proposta não é afrouxar o app principal, e sim oferecer um segundo caminho seguro, por navegador, em que a autenticação forte e as regras críticas ficam no servidor e a tela do aparelho só exibe a informação. Assim, segurança e inclusão deixam de competir.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41"/>
        <w:gridCol w:w="4920"/>
        <w:gridCol w:w="2499"/>
      </w:tblGrid>
      <w:tr>
        <w:trPr>
          <w:tblHeader/>
        </w:trPr>
        <w:tc>
          <w:tcPr>
            <w:tcW w:w="1941" w:type="dxa"/>
            <w:shd w:val="clear" w:color="auto" w:fill="F2F2F2"/>
          </w:tcPr>
          <w:p>
            <w:pPr/>
            <w:r>
              <w:t xml:space="preserve">Medida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O que muda</w:t>
            </w:r>
          </w:p>
        </w:tc>
        <w:tc>
          <w:tcPr>
            <w:tcW w:w="2499" w:type="dxa"/>
            <w:shd w:val="clear" w:color="auto" w:fill="F2F2F2"/>
          </w:tcPr>
          <w:p>
            <w:pPr/>
            <w:r>
              <w:t xml:space="preserve">Como medir</w:t>
            </w:r>
          </w:p>
        </w:tc>
      </w:tr>
      <w:tr>
        <w:tc>
          <w:tcPr>
            <w:tcW w:w="1941" w:type="dxa"/>
          </w:tcPr>
          <w:p>
            <w:pPr/>
            <w:r>
              <w:t xml:space="preserve">Janela mínima de compatibilidade</w:t>
            </w:r>
          </w:p>
        </w:tc>
        <w:tc>
          <w:tcPr>
            <w:tcW w:w="4920" w:type="dxa"/>
          </w:tcPr>
          <w:p>
            <w:pPr/>
            <w:r>
              <w:t xml:space="preserve">Publicar por quantos anos cada app suporta versões antigas do sistema operacional (por exemplo, 5 anos)</w:t>
            </w:r>
          </w:p>
        </w:tc>
        <w:tc>
          <w:tcPr>
            <w:tcW w:w="2499" w:type="dxa"/>
          </w:tcPr>
          <w:p>
            <w:pPr/>
            <w:r>
              <w:t xml:space="preserve">Percentual de aparelhos ativos atendidos</w:t>
            </w:r>
          </w:p>
        </w:tc>
      </w:tr>
      <w:tr>
        <w:tc>
          <w:tcPr>
            <w:tcW w:w="1941" w:type="dxa"/>
          </w:tcPr>
          <w:p>
            <w:pPr/>
            <w:r>
              <w:t xml:space="preserve">Porta web leve</w:t>
            </w:r>
          </w:p>
        </w:tc>
        <w:tc>
          <w:tcPr>
            <w:tcW w:w="4920" w:type="dxa"/>
          </w:tcPr>
          <w:p>
            <w:pPr/>
            <w:r>
              <w:t xml:space="preserve">Versão Lite por navegador para documentos, benefícios e saúde, com limite de peso por tela</w:t>
            </w:r>
          </w:p>
        </w:tc>
        <w:tc>
          <w:tcPr>
            <w:tcW w:w="2499" w:type="dxa"/>
          </w:tcPr>
          <w:p>
            <w:pPr/>
            <w:r>
              <w:t xml:space="preserve">KB por tela e tempo de carregamento em 3G</w:t>
            </w:r>
          </w:p>
        </w:tc>
      </w:tr>
      <w:tr>
        <w:tc>
          <w:tcPr>
            <w:tcW w:w="1941" w:type="dxa"/>
          </w:tcPr>
          <w:p>
            <w:pPr/>
            <w:r>
              <w:t xml:space="preserve">Autenticação com alternativas</w:t>
            </w:r>
          </w:p>
        </w:tc>
        <w:tc>
          <w:tcPr>
            <w:tcW w:w="4920" w:type="dxa"/>
          </w:tcPr>
          <w:p>
            <w:pPr/>
            <w:r>
              <w:t xml:space="preserve">Biometria opcional, com validação presencial ou por banco como opções equivalentes</w:t>
            </w:r>
          </w:p>
        </w:tc>
        <w:tc>
          <w:tcPr>
            <w:tcW w:w="2499" w:type="dxa"/>
          </w:tcPr>
          <w:p>
            <w:pPr/>
            <w:r>
              <w:t xml:space="preserve">Taxa de falha e de abandono por perfil de usuário</w:t>
            </w:r>
          </w:p>
        </w:tc>
      </w:tr>
      <w:tr>
        <w:tc>
          <w:tcPr>
            <w:tcW w:w="1941" w:type="dxa"/>
          </w:tcPr>
          <w:p>
            <w:pPr/>
            <w:r>
              <w:t xml:space="preserve">Modo offline e de baixo consumo de dados</w:t>
            </w:r>
          </w:p>
        </w:tc>
        <w:tc>
          <w:tcPr>
            <w:tcW w:w="4920" w:type="dxa"/>
          </w:tcPr>
          <w:p>
            <w:pPr/>
            <w:r>
              <w:t xml:space="preserve">Documentos digitais guardados no aparelho e consultas com cache</w:t>
            </w:r>
          </w:p>
        </w:tc>
        <w:tc>
          <w:tcPr>
            <w:tcW w:w="2499" w:type="dxa"/>
          </w:tcPr>
          <w:p>
            <w:pPr/>
            <w:r>
              <w:t xml:space="preserve">Serviços disponíveis sem internet</w:t>
            </w:r>
          </w:p>
        </w:tc>
      </w:tr>
      <w:tr>
        <w:tc>
          <w:tcPr>
            <w:tcW w:w="1941" w:type="dxa"/>
          </w:tcPr>
          <w:p>
            <w:pPr/>
            <w:r>
              <w:t xml:space="preserve">Acessibilidade por padrão</w:t>
            </w:r>
          </w:p>
        </w:tc>
        <w:tc>
          <w:tcPr>
            <w:tcW w:w="4920" w:type="dxa"/>
          </w:tcPr>
          <w:p>
            <w:pPr/>
            <w:r>
              <w:t xml:space="preserve">eMAG e WCAG no processo de desenvolvimento, com testes feitos com PCDs e idosos antes do lançamento</w:t>
            </w:r>
          </w:p>
        </w:tc>
        <w:tc>
          <w:tcPr>
            <w:tcW w:w="2499" w:type="dxa"/>
          </w:tcPr>
          <w:p>
            <w:pPr/>
            <w:r>
              <w:t xml:space="preserve">Conformidade auditada e resultado dos testes</w:t>
            </w:r>
          </w:p>
        </w:tc>
      </w:tr>
      <w:tr>
        <w:tc>
          <w:tcPr>
            <w:tcW w:w="1941" w:type="dxa"/>
          </w:tcPr>
          <w:p>
            <w:pPr/>
            <w:r>
              <w:t xml:space="preserve">Código e infraestrutura eficientes</w:t>
            </w:r>
          </w:p>
        </w:tc>
        <w:tc>
          <w:tcPr>
            <w:tcW w:w="4920" w:type="dxa"/>
          </w:tcPr>
          <w:p>
            <w:pPr/>
            <w:r>
              <w:t xml:space="preserve">Meta de energia e dados por transação, revisão da redundância e relatório público de consumo</w:t>
            </w:r>
          </w:p>
        </w:tc>
        <w:tc>
          <w:tcPr>
            <w:tcW w:w="2499" w:type="dxa"/>
          </w:tcPr>
          <w:p>
            <w:pPr/>
            <w:r>
              <w:t xml:space="preserve">kWh e MB por transação</w:t>
            </w:r>
          </w:p>
        </w:tc>
      </w:tr>
    </w:tbl>
    <w:p>
      <w:pPr/>
      <w:r>
        <w:t xml:space="preserve">Para o aparelho, o resultado esperado é mais anos de uso e menos descarte. Para o servidor, é menos processamento e menos dados trafegados. Para a pessoa, é poder usar o serviço mesmo com um celular antigo, conexão fraca ou alguma limitação física. Reconhecemos os limites da proposta: manter mais de uma porta de acesso custa dinheiro e equipe, e os números de referência (como os 5 anos) são sugestões que precisariam ser calibradas com dados reais de aparelhos ativos.</w:t>
      </w:r>
    </w:p>
    <w:p>
      <w:pPr>
        <w:pStyle w:val="Heading2"/>
      </w:pPr>
      <w:r>
        <w:t xml:space="preserve">8 Considerações finais</w:t>
      </w:r>
    </w:p>
    <w:p>
      <w:pPr/>
      <w:r>
        <w:t xml:space="preserve">O Gov.br e os aplicativos bancários mostram o que a tecnologia pode entregar quando funciona: serviços rápidos, seguros e disponíveis a qualquer hora. Mostram também, pelos três eixos, que essa eficiência tem custos distribuídos de forma desigual: aparelhos descartados na cadeia física, energia consumida na infraestrutura invisível e pessoas deixadas de fora no acesso.</w:t>
      </w:r>
    </w:p>
    <w:p>
      <w:pPr/>
      <w:r>
        <w:t xml:space="preserve">Nossa conclusão é que durar mais, consumir menos e incluir mais não são metas separadas. Um app leve gasta menos energia, roda em aparelhos antigos e funciona melhor em redes fracas. Por isso a diretriz de projeto que propomos é simples de enunciar e exigente de cumprir: projetar para o aparelho mais simples, e não para o mais novo. A inovação pública que vale o nome é a que não deixa ninguém na margem da Ilha das Flores.</w:t>
      </w:r>
    </w:p>
    <w:p>
      <w:pPr>
        <w:pStyle w:val="Heading2"/>
      </w:pPr>
      <w:r>
        <w:t xml:space="preserve">Referências</w:t>
      </w:r>
    </w:p>
    <w:p>
      <w:pPr/>
      <w:r>
        <w:t xml:space="preserve">BALDÉ, C. P. et al. </w:t>
      </w:r>
      <w:r>
        <w:rPr>
          <w:b/>
        </w:rPr>
        <w:t xml:space="preserve">The Global E-waste Monitor 2024</w:t>
      </w:r>
      <w:r>
        <w:t xml:space="preserve">. Geneva; Bonn: United Nations Institute for Training and Research (UNITAR), 2024.</w:t>
      </w:r>
    </w:p>
    <w:p>
      <w:pPr/>
      <w:r>
        <w:t xml:space="preserve">BRASIL. </w:t>
      </w:r>
      <w:r>
        <w:rPr>
          <w:b/>
        </w:rPr>
        <w:t xml:space="preserve">Lei nº 13.146, de 6 de julho de 2015</w:t>
      </w:r>
      <w:r>
        <w:t xml:space="preserve">. Institui a Lei Brasileira de Inclusão da Pessoa com Deficiência (Estatuto da Pessoa com Deficiência). Brasília, DF: Presidência da República, 2015.</w:t>
      </w:r>
    </w:p>
    <w:p>
      <w:pPr/>
      <w:r>
        <w:t xml:space="preserve">BRASIL. </w:t>
      </w:r>
      <w:r>
        <w:rPr>
          <w:b/>
        </w:rPr>
        <w:t xml:space="preserve">Lei nº 13.709, de 14 de agosto de 2018</w:t>
      </w:r>
      <w:r>
        <w:t xml:space="preserve">. Lei Geral de Proteção de Dados Pessoais (LGPD). Brasília, DF: Presidência da República, 2018.</w:t>
      </w:r>
    </w:p>
    <w:p>
      <w:pPr/>
      <w:r>
        <w:t xml:space="preserve">CETIC.BR. </w:t>
      </w:r>
      <w:r>
        <w:rPr>
          <w:b/>
        </w:rPr>
        <w:t xml:space="preserve">TIC Domicílios 2025</w:t>
      </w:r>
      <w:r>
        <w:t xml:space="preserve">: resumo executivo. São Paulo: Comitê Gestor da Internet no Brasil, 2026. Disponível em: </w:t>
      </w:r>
      <w:hyperlink r:id="rId3" w:history="1">
        <w:r>
          <w:rPr>
            <w:rStyle w:val="Hyperlink"/>
          </w:rPr>
          <w:t xml:space="preserve">cetic.br</w:t>
        </w:r>
      </w:hyperlink>
      <w:r>
        <w:t xml:space="preserve">. Acesso em: 20 out. 2026.</w:t>
      </w:r>
    </w:p>
    <w:p>
      <w:pPr/>
      <w:r>
        <w:t xml:space="preserve">CRAWFORD, Kate. </w:t>
      </w:r>
      <w:r>
        <w:rPr>
          <w:b/>
        </w:rPr>
        <w:t xml:space="preserve">Atlas da AI</w:t>
      </w:r>
      <w:r>
        <w:t xml:space="preserve">: poder, política e os custos planetários da inteligência artificial. São Paulo: Editora Contracorrente, 2023.</w:t>
      </w:r>
    </w:p>
    <w:p>
      <w:pPr/>
      <w:r>
        <w:t xml:space="preserve">ENGELS, Robert H. P. Redefinindo nossas necessidades: permacomputação e computação vernacular. </w:t>
      </w:r>
      <w:r>
        <w:rPr>
          <w:b/>
        </w:rPr>
        <w:t xml:space="preserve">LinkedIn</w:t>
      </w:r>
      <w:r>
        <w:t xml:space="preserve">, [s.d.]. Disponível em: </w:t>
      </w:r>
      <w:hyperlink r:id="rId4" w:history="1">
        <w:r>
          <w:rPr>
            <w:rStyle w:val="Hyperlink"/>
          </w:rPr>
          <w:t xml:space="preserve">linkedin.com</w:t>
        </w:r>
      </w:hyperlink>
      <w:r>
        <w:t xml:space="preserve">. Acesso em: 20 out. 2026.</w:t>
      </w:r>
    </w:p>
    <w:p>
      <w:pPr/>
      <w:r>
        <w:t xml:space="preserve">FURTADO, Jorge. </w:t>
      </w:r>
      <w:r>
        <w:rPr>
          <w:b/>
        </w:rPr>
        <w:t xml:space="preserve">Ilha das Flores</w:t>
      </w:r>
      <w:r>
        <w:t xml:space="preserve">. Porto Alegre: Casa de Cinema de Porto Alegre, 1989. 1 curta-metragem (13 min), son., color.</w:t>
      </w:r>
    </w:p>
    <w:p>
      <w:pPr/>
      <w:r>
        <w:t xml:space="preserve">IEA. </w:t>
      </w:r>
      <w:r>
        <w:rPr>
          <w:b/>
        </w:rPr>
        <w:t xml:space="preserve">Energy and AI</w:t>
      </w:r>
      <w:r>
        <w:t xml:space="preserve">. Paris: International Energy Agency, 2025. Disponível em: </w:t>
      </w:r>
      <w:hyperlink r:id="rId5" w:history="1">
        <w:r>
          <w:rPr>
            <w:rStyle w:val="Hyperlink"/>
          </w:rPr>
          <w:t xml:space="preserve">iea.org</w:t>
        </w:r>
      </w:hyperlink>
      <w:r>
        <w:t xml:space="preserve">. Acesso em: 20 out. 2026.</w:t>
      </w:r>
    </w:p>
    <w:p>
      <w:pPr/>
      <w:r>
        <w:t xml:space="preserve">MERLI, Karina. Gov.br chega a 175 milhões de usuários. </w:t>
      </w:r>
      <w:r>
        <w:rPr>
          <w:b/>
        </w:rPr>
        <w:t xml:space="preserve">Mobile Time</w:t>
      </w:r>
      <w:r>
        <w:t xml:space="preserve">, 24 mar. 2026. Disponível em: </w:t>
      </w:r>
      <w:hyperlink r:id="rId6" w:history="1">
        <w:r>
          <w:rPr>
            <w:rStyle w:val="Hyperlink"/>
          </w:rPr>
          <w:t xml:space="preserve">mobiletime.com.br</w:t>
        </w:r>
      </w:hyperlink>
      <w:r>
        <w:t xml:space="preserve">. Acesso em: 20 out. 2026.</w:t>
      </w:r>
    </w:p>
    <w:p>
      <w:pPr/>
      <w:r>
        <w:t xml:space="preserve">UNITAR. </w:t>
      </w:r>
      <w:r>
        <w:rPr>
          <w:b/>
        </w:rPr>
        <w:t xml:space="preserve">Global e-Waste Monitor 2024</w:t>
      </w:r>
      <w:r>
        <w:t xml:space="preserve">: electronic waste rising five times faster than documented e-waste recycling. Bonn: UNITAR, 2024. Disponível em: </w:t>
      </w:r>
      <w:hyperlink r:id="rId7" w:history="1">
        <w:r>
          <w:rPr>
            <w:rStyle w:val="Hyperlink"/>
          </w:rPr>
          <w:t xml:space="preserve">unitar.org</w:t>
        </w:r>
      </w:hyperlink>
      <w:r>
        <w:t xml:space="preserve">. Acesso em: 20 out. 2026.</w:t>
      </w:r>
    </w:p>
    <w:p>
      <w:pPr/>
      <w:r>
        <w:t xml:space="preserve">W3C BRASIL. </w:t>
      </w:r>
      <w:r>
        <w:rPr>
          <w:b/>
        </w:rPr>
        <w:t xml:space="preserve">Cartilha de Acessibilidade na Web</w:t>
      </w:r>
      <w:r>
        <w:t xml:space="preserve">. São Paulo: W3C Brasil, 2013.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www.cetic.br/media/docs/publicacoes/2/pt-br/20260511173151/tic_domicilios_2025_resumoexecutivo%20pt.pdf" TargetMode="External"/><Relationship Id="rId4" Type="http://schemas.openxmlformats.org/officeDocument/2006/relationships/hyperlink" Target="https://pt.linkedin.com/pulse/redefining-our-needs-permacomputing-vernacular-robert-h-p-engels-?tl=pt" TargetMode="External"/><Relationship Id="rId5" Type="http://schemas.openxmlformats.org/officeDocument/2006/relationships/hyperlink" Target="https://www.iea.org/reports/energy-and-ai/executive-summary" TargetMode="External"/><Relationship Id="rId6" Type="http://schemas.openxmlformats.org/officeDocument/2006/relationships/hyperlink" Target="https://www.mobiletime.com.br/noticias/24/03/2026/govbr-175-milhoes/" TargetMode="External"/><Relationship Id="rId7" Type="http://schemas.openxmlformats.org/officeDocument/2006/relationships/hyperlink" Target="https://www.unitar.org/about/news-stories/press/global-e-waste-monitor-2024-electronic-waste-rising-five-times-faster-documented-e-waste-recycling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Gov.br e apps bancários ciclos, infraestrutura e acesso</dc:title>
  <dc:description>Claude Docs node/3d394e7f-025d@13 docx-w7</dc:description>
  <cp:revision>13</cp:revision>
</cp:coreProperties>
</file>