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0"/>
          <w:szCs w:val="20"/>
        </w:rPr>
        <w:t xml:space="preserve">MKM Research Labs</w:t>
      </w:r>
    </w:p>
    <w:p>
      <w:pPr>
        <w:spacing w:after="80"/>
      </w:pPr>
      <w:r>
        <w:rPr>
          <w:b/>
          <w:bCs/>
          <w:sz w:val="36"/>
          <w:szCs w:val="36"/>
        </w:rPr>
        <w:t xml:space="preserve">AI &amp; Agentic Model Governance Module</w:t>
      </w:r>
    </w:p>
    <w:p>
      <w:pPr>
        <w:spacing w:after="240"/>
      </w:pPr>
      <w:r>
        <w:rPr>
          <w:b/>
          <w:bCs/>
          <w:sz w:val="24"/>
          <w:szCs w:val="24"/>
        </w:rPr>
        <w:t xml:space="preserve">Unified Specification — One Shared Foundation, Two Model-Class Workflows</w:t>
      </w:r>
    </w:p>
    <w:p>
      <w:pPr>
        <w:spacing w:after="160"/>
      </w:pPr>
      <w:r>
        <w:rPr>
          <w:b/>
          <w:bCs/>
        </w:rPr>
        <w:t xml:space="preserve">Status:</w:t>
      </w:r>
      <w:r>
        <w:t xml:space="preserve"> Draft v0.5 — for review — supersedes v0.3</w:t>
      </w:r>
    </w:p>
    <w:p>
      <w:pPr>
        <w:spacing w:after="160"/>
      </w:pPr>
      <w:r>
        <w:rPr>
          <w:b/>
          <w:bCs/>
        </w:rPr>
        <w:t xml:space="preserve">Source frameworks:</w:t>
      </w:r>
      <w:r>
        <w:t xml:space="preserve"> FINOS AI Governance Framework (AIGF) v2.0; Moody's "Model Risk Management in the Age of AI" (April 2026); Moody's "From Principles to Practice: Governing Generative and Agentic AI Systems" (August 2026); existing Moody's Analytics model tiering and validation standards</w:t>
      </w:r>
    </w:p>
    <w:p>
      <w:pPr>
        <w:spacing w:after="160"/>
      </w:pPr>
      <w:r>
        <w:rPr>
          <w:b/>
          <w:bCs/>
        </w:rPr>
        <w:t xml:space="preserve">Prepared for:</w:t>
      </w:r>
      <w:r>
        <w:t xml:space="preserve"> David Kelly, MKM Research Labs / Kerr Shearer Limited</w:t>
      </w:r>
    </w:p>
    <w:p>
      <w:pPr>
        <w:spacing w:after="160"/>
      </w:pPr>
      <w:r>
        <w:rPr>
          <w:b/>
          <w:bCs/>
        </w:rPr>
        <w:t xml:space="preserve">Provenance:</w:t>
      </w:r>
      <w:r>
        <w:t xml:space="preserve"> The AI Systems workflow is informed by, not replicated from, the two Moody's Credit Center of Excellence papers by Grevenbrock, Zhao and Patel. The August 2026 material was reviewed in presentation form. Where this specification adds structure the papers do not prescribe — graph-edit distance scoring, judge-model governance, the FINOS register mapping, the shared core — that structure is MKM's and is identified as such.</w:t>
      </w:r>
    </w:p>
    <w:p>
      <w:pPr>
        <w:spacing w:after="160"/>
      </w:pPr>
      <w:r>
        <w:rPr>
          <w:b/>
          <w:bCs/>
        </w:rPr>
        <w:t xml:space="preserve">What changed from v0.3:</w:t>
      </w:r>
      <w:r>
        <w:t xml:space="preserve"> Four changes carry structural weight. First, AI Systems gain a second complexity axis — autonomy and usage frequency — layered on top of the unchanged materiality and risk classification, so that governance intensity for an AI System is read from a materiality × AI-complexity grid (§2.2). Second, the data model now carries every evidence item the August 2026 practice paper names for its nine concepts, which in v0.3 were described in prose but had no home: the run trace, the benchmark and its scoring method, the envelope-derived controls, the ACE calibration record, the stress-test suite, and the exception record with its decision outcome (§9, §11). Third, adversarial and operational stress testing moves from Escalate into Operate &amp; Measure, matching the practice paper's lifecycle, while the failure-mode register stays in Escalate with explicit preventive-control and detection-signal fields. Fourth, the §6 inconsistency is corrected: ML Apps adopt the shared change-classification engine fully, as §3.5 and the decision log already stated. The phased plan in §13 is rewritten to carry each of these into a specific phase.</w:t>
      </w:r>
    </w:p>
    <w:p>
      <w:pPr>
        <w:spacing w:after="200" w:before="360"/>
      </w:pPr>
      <w:r>
        <w:rPr>
          <w:b/>
          <w:bCs/>
          <w:sz w:val="26"/>
          <w:szCs w:val="26"/>
        </w:rPr>
        <w:t xml:space="preserve">PART A — SHARED FOUNDATION</w:t>
      </w:r>
    </w:p>
    <w:p>
      <w:pPr>
        <w:pStyle w:val="Heading1"/>
      </w:pPr>
      <w:r>
        <w:t xml:space="preserve">1. Purpose and Deployment Context</w:t>
      </w:r>
    </w:p>
    <w:p>
      <w:pPr>
        <w:spacing w:after="160"/>
      </w:pPr>
      <w:r>
        <w:t xml:space="preserve">ML Apps and AI Systems share a classification field that separates them and the platform infrastructure both rely on; Parts B and C cover what each does differently. The build location is decided — open-source ModelRisk core, forked into Moody's ModelOne — and §4 sets out what that decision requires of the architecture.</w:t>
      </w:r>
    </w:p>
    <w:p>
      <w:pPr>
        <w:spacing w:after="160"/>
      </w:pPr>
      <w:r>
        <w:t xml:space="preserve">Moody's Analytics has no governance framework for generative or agentic AI. SR 26-2 is therefore the starting point for both workflows even though it places generative and agentic AI outside Model Risk Management scope: its structure of materiality-based tiering, independent review, monitoring, and change control is the scaffold the AI Systems workflow extends, rather than a regime it claims to satisfy.</w:t>
      </w:r>
    </w:p>
    <w:p>
      <w:pPr>
        <w:pStyle w:val="Heading1"/>
      </w:pPr>
      <w:r>
        <w:t xml:space="preserve">2. Model Classification</w:t>
      </w:r>
    </w:p>
    <w:p>
      <w:pPr>
        <w:pStyle w:val="Heading2"/>
      </w:pPr>
      <w:r>
        <w:t xml:space="preserve">2.1 The SR 26-2 boundary</w:t>
      </w:r>
    </w:p>
    <w:p>
      <w:pPr>
        <w:spacing w:after="160"/>
      </w:pPr>
      <w:r>
        <w:t xml:space="preserve">SR 26-2 draws an explicit line: generative and agentic AI are excluded from Model Risk Management scope; traditional quantitative models — VaR, IRB PD, logistic regression credit scoring, and the like — remain in it. That line is a structural field in the model record, not a judgment call buried inside a larger classification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Field</w:t>
            </w:r>
          </w:p>
        </w:tc>
        <w:tc>
          <w:tcPr>
            <w:tcW w:type="dxa" w:w="2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Values</w:t>
            </w:r>
          </w:p>
        </w:tc>
        <w:tc>
          <w:tcPr>
            <w:tcW w:type="dxa" w:w="42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Notes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model_class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ML_APP · AI_SYSTEM</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SR 26-2 boundary itself. This is the field an exam response or coverage report filters on first.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ai_system_type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GENERATIVE · AGENTIC</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Populated only when model_class = AI_SYSTEM. Drives which FINOS risks and which of Moody's nine concepts apply.</w:t>
            </w:r>
          </w:p>
        </w:tc>
      </w:tr>
    </w:tbl>
    <w:p>
      <w:pPr>
        <w:spacing w:after="120"/>
      </w:pPr>
    </w:p>
    <w:p>
      <w:pPr>
        <w:spacing w:after="160"/>
      </w:pPr>
      <w:r>
        <w:t xml:space="preserve">A binary top-level split is harder to be careless with than a flat four-value enum: mislabelling a thin generative wrapper as traditional ML inside one enum is a quiet mistake, whereas misclassifying it against a structural ML_APP / AI_SYSTEM field is the kind of error a review step is designed to catch.</w:t>
      </w:r>
    </w:p>
    <w:p>
      <w:pPr>
        <w:spacing w:after="160"/>
      </w:pPr>
      <w:r>
        <w:t xml:space="preserve">Composition is a lineage relationship, not a classification value. A traditional ML fraud-detection model called as a tool by an agentic system keeps its own model_class = ML_APP record, governed entirely through the ML Apps workflow; the agentic system's lineage (§3.4) carries a reference to it as an upstream dependency.</w:t>
      </w:r>
    </w:p>
    <w:p>
      <w:pPr>
        <w:pStyle w:val="Heading2"/>
      </w:pPr>
      <w:r>
        <w:t xml:space="preserve">2.2 AI complexity axis</w:t>
      </w:r>
    </w:p>
    <w:p>
      <w:pPr>
        <w:spacing w:after="160"/>
      </w:pPr>
      <w:r>
        <w:t xml:space="preserve">Materiality and the existing risk classification apply to every model record unchanged. For AI Systems they are not sufficient, because the difficulty an AI System introduces into governance is driven by two things the existing complexity attribute does not capture: how much of its path the system chooses at runtime, and how often it runs. AI Systems therefore carry an additional complexity axis made of two fields, populated only when model_class = AI_SYSTEM. The existing complexity attribute is not repurposed or overwritten.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Field</w:t>
            </w:r>
          </w:p>
        </w:tc>
        <w:tc>
          <w:tcPr>
            <w:tcW w:type="dxa" w:w="2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Values</w:t>
            </w:r>
          </w:p>
        </w:tc>
        <w:tc>
          <w:tcPr>
            <w:tcW w:type="dxa" w:w="42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Notes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ai_autonomy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SINGLE_CALL · WORKFLOW · AGENT</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Anchored to the practice paper's system taxonomy: one inference step; a fixed sequence of steps; a trajectory chosen at runtime. The same value sets the required trace depth (§9.1).</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ai_usage_frequency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Levels defined in configuration</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No scale is prescribed by the source material. Levels are defined as configuration data in Phase 2 and are an open decision (§12).</w:t>
            </w:r>
          </w:p>
        </w:tc>
      </w:tr>
    </w:tbl>
    <w:p>
      <w:pPr>
        <w:spacing w:after="120"/>
      </w:pPr>
    </w:p>
    <w:p>
      <w:pPr>
        <w:spacing w:after="160"/>
      </w:pPr>
      <w:r>
        <w:t xml:space="preserve">Governance intensity for an AI System is read from its position on a materiality × AI-complexity grid, following the proportionality principle SR 26-2 applies to models generally. The rule that combines autonomy and frequency into a single complexity position, and the table stating which evidence each grid cell requires, are both configuration data rather than code, and both remain open (§12). A system's grid position is recorded on the model record and feeds committee routing (§3.3) and coverage reporting (Phase 6).</w:t>
      </w:r>
    </w:p>
    <w:p>
      <w:pPr>
        <w:pStyle w:val="Heading1"/>
      </w:pPr>
      <w:r>
        <w:t xml:space="preserve">3. Shared Infrastructure (Core Package)</w:t>
      </w:r>
    </w:p>
    <w:p>
      <w:pPr>
        <w:spacing w:after="160"/>
      </w:pPr>
      <w:r>
        <w:t xml:space="preserve">Everything below is used by both workflows without modification. Nothing in Part B or Part C reimplements any of it.</w:t>
      </w:r>
    </w:p>
    <w:p>
      <w:pPr>
        <w:pStyle w:val="Heading2"/>
      </w:pPr>
      <w:r>
        <w:t xml:space="preserve">3.1 Model inventory and classification</w:t>
      </w:r>
    </w:p>
    <w:p>
      <w:pPr>
        <w:spacing w:after="160"/>
      </w:pPr>
      <w:r>
        <w:t xml:space="preserve">The model_class and ai_system_type fields, the existing materiality and complexity attributes, and — for AI Systems only — the ai_autonomy and ai_usage_frequency fields sit on the model record.</w:t>
      </w:r>
    </w:p>
    <w:p>
      <w:pPr>
        <w:pStyle w:val="Heading2"/>
      </w:pPr>
      <w:r>
        <w:t xml:space="preserve">3.2 Event log and bi-temporal stamping</w:t>
      </w:r>
    </w:p>
    <w:p>
      <w:pPr>
        <w:spacing w:after="160"/>
      </w:pPr>
      <w:r>
        <w:t xml:space="preserve">The existing immutable, hash-chained event log and bi-temporal stamping apply to every event and versioned artefact produced by either workflow: validation sign-offs and recertifications for ML Apps; configuration snapshots, benchmarks, envelopes, calibration records, stress-test results, trajectory scores, and exception decisions for AI Systems.</w:t>
      </w:r>
    </w:p>
    <w:p>
      <w:pPr>
        <w:pStyle w:val="Heading2"/>
      </w:pPr>
      <w:r>
        <w:t xml:space="preserve">3.3 Committee coverage model</w:t>
      </w:r>
    </w:p>
    <w:p>
      <w:pPr>
        <w:spacing w:after="160"/>
      </w:pPr>
      <w:r>
        <w:t xml:space="preserve">Both classes route through the existing Company MRC / division MRC structure. model_class and, for AI Systems, ai_system_type and grid position become additional routing inputs alongside the existing materiality and mission-criticality fields — not a parallel committee track.</w:t>
      </w:r>
    </w:p>
    <w:p>
      <w:pPr>
        <w:pStyle w:val="Heading2"/>
      </w:pPr>
      <w:r>
        <w:t xml:space="preserve">3.4 Model chain lineage</w:t>
      </w:r>
    </w:p>
    <w:p>
      <w:pPr>
        <w:spacing w:after="160"/>
      </w:pPr>
      <w:r>
        <w:t xml:space="preserve">Extended, not replaced: lineage nodes can be ML_APP or AI_SYSTEM, and an AI System's harness can reference an ML App as a tool dependency. Foundation models and MCP servers appear as lineage nodes for AI Systems only. Judge models appear as dependencies of every model whose monitoring they feed (§9.6).</w:t>
      </w:r>
    </w:p>
    <w:p>
      <w:pPr>
        <w:pStyle w:val="Heading2"/>
      </w:pPr>
      <w:r>
        <w:t xml:space="preserve">3.5 Change-classification engine</w:t>
      </w:r>
    </w:p>
    <w:p>
      <w:pPr>
        <w:spacing w:after="160"/>
      </w:pPr>
      <w:r>
        <w:t xml:space="preserve">Moody's four-tier change taxonomy is generalised as a shared engine and adopted fully by both workflows; for ML Apps it replaces the existing change-management triggers rather than running alongside them. The mapping from change type to class is held as configuration rules, so class assignment is a lookup against a reviewed rule set rather than a judgment made fresh on each change. The revalidation depth each class calls for is interpreted per workflow: a Material change to an ML App triggers the existing validation-pack refresh; a Material change to an AI System triggers re-baselining per §9.5. In both cases only the evidence affected by the change is rebuilt.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Change class</w:t>
            </w:r>
          </w:p>
        </w:tc>
        <w:tc>
          <w:tcPr>
            <w:tcW w:type="dxa" w:w="4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AI Systems examples (rule set seed)</w:t>
            </w:r>
          </w:p>
        </w:tc>
        <w:tc>
          <w:tcPr>
            <w:tcW w:type="dxa" w:w="30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Revalidation depth</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Administrative</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Documentation, dashboard labels, access metadata</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Traceability checks</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Bounded</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Prompt wording within the validated intent, dependency patch, threshold display</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Targeted regression checks</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Measurement</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Gold set, rubric, judge, metric definition, trigger threshold, monitoring setup, FINOS taxonomy version</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Revalidation of the measurement system</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Material</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Model snapshot, output schema, sampling setting, tool permission, data source, orchestration</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Re-baseline of evaluation metrics, variability envelope, stress-test suite, and trigger calibration</w:t>
            </w:r>
          </w:p>
        </w:tc>
      </w:tr>
    </w:tbl>
    <w:p>
      <w:pPr>
        <w:spacing w:after="120"/>
      </w:pPr>
    </w:p>
    <w:p>
      <w:pPr>
        <w:pStyle w:val="Heading2"/>
      </w:pPr>
      <w:r>
        <w:t xml:space="preserve">3.6 Mechanically-verifiable-field monitoring library</w:t>
      </w:r>
    </w:p>
    <w:p>
      <w:pPr>
        <w:spacing w:after="160"/>
      </w:pPr>
      <w:r>
        <w:t xml:space="preserve">Numeric, categorical, and ordinal output fields are monitored the same way regardless of what produced them: backtesting against realised outcomes, distribution and transition-matrix monitoring, rank correlation, and population stability index. ML Apps already use this. AI Systems reuse the identical library for their mechanically verifiable output fields rather than a second implementation; only free-form text and trajectories need AI-specific monitoring (§9.3).</w:t>
      </w:r>
    </w:p>
    <w:p>
      <w:pPr>
        <w:pStyle w:val="Heading2"/>
      </w:pPr>
      <w:r>
        <w:t xml:space="preserve">3.7 Risk / mitigation mapping engine</w:t>
      </w:r>
    </w:p>
    <w:p>
      <w:pPr>
        <w:spacing w:after="160"/>
      </w:pPr>
      <w:r>
        <w:t xml:space="preserve">A generic engine accepts any risk taxonomy as configuration: SR 26-2 validation criteria populate it for ML Apps, the FINOS AIGF catalogue for AI Systems. One engine, two data sets.</w:t>
      </w:r>
    </w:p>
    <w:p>
      <w:pPr>
        <w:pStyle w:val="Heading2"/>
      </w:pPr>
      <w:r>
        <w:t xml:space="preserve">3.8 Concept–property coverage matrix</w:t>
      </w:r>
    </w:p>
    <w:p>
      <w:pPr>
        <w:spacing w:after="160"/>
      </w:pPr>
      <w:r>
        <w:t xml:space="preserve">The practice paper maps each of its nine concepts to the four properties it advances. That mapping is held as configuration and drives the property coverage view in Phase 6, so that for any AI System the platform can show which of correctness, consistency, robustness, and predictability currently rest on live evidence and which do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Concept</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Correctness</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Consistency</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Robustness</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Predictability</w:t>
            </w: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Design-time choices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 Observability &amp; trace completion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Expert-grounded benchmarking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 Variability envelope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 Continuous monitoring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 Agentic trajectory governance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 Adversarial &amp; operational robustness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 Triggers, escalations &amp; fallback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r>
      <w:tr>
        <w:trPr>
          <w:tblHeader w:val="false"/>
        </w:trPr>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 Revalidation &amp; version control</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bl>
    <w:p>
      <w:pPr>
        <w:spacing w:after="120"/>
      </w:pPr>
    </w:p>
    <w:p>
      <w:pPr>
        <w:pStyle w:val="Heading1"/>
      </w:pPr>
      <w:r>
        <w:t xml:space="preserve">4. Build Once, Configure Twice</w:t>
      </w:r>
    </w:p>
    <w:p>
      <w:pPr>
        <w:spacing w:after="160"/>
      </w:pPr>
      <w:r>
        <w:t xml:space="preserve">The module is built once in open-source ModelRisk, with Moody's ModelOne as a downstream fork. The relationship is one-way: ModelOne consumes the core package and there is no contribution path back upstream. Anything likely to diverge between deployments — branding, thresholds, committee routing, jurisdictional regime data, judge model selection, the AI complexity scales, and the grid-to-intensity table — must live in configuration, not code. With a one-way fork, any logic that leaks into ModelOne instead of staying in configuration is permanent divergence from day one: it will never be reviewed against the core package again, and every future core fix has to be re-applied to it by hand. The core package ships as a versioned, fully tested Python package with a stable public API; ModelOne imports it and supplies configuration and a thin integration layer only.</w:t>
      </w:r>
    </w:p>
    <w:p>
      <w:pPr>
        <w:spacing w:after="200" w:before="360"/>
      </w:pPr>
      <w:r>
        <w:rPr>
          <w:b/>
          <w:bCs/>
          <w:sz w:val="26"/>
          <w:szCs w:val="26"/>
        </w:rPr>
        <w:t xml:space="preserve">PART B — ML APPS WORKFLOW</w:t>
      </w:r>
    </w:p>
    <w:p>
      <w:pPr>
        <w:pStyle w:val="Heading1"/>
      </w:pPr>
      <w:r>
        <w:t xml:space="preserve">5. Scope and Existing Basis</w:t>
      </w:r>
    </w:p>
    <w:p>
      <w:pPr>
        <w:spacing w:after="160"/>
      </w:pPr>
      <w:r>
        <w:t xml:space="preserve">ML Apps covers everything SR 26-2 leaves inside Model Risk Management scope: traditional quantitative and machine-learning models with no generative or agentic component. The workflow formalises what already operates — the existing Core Engines / Analytics and Science Models / Product and Deployment Models tiering, the existing validation template structure, and the existing MRC artefact set of model database, ToR, minutes, monitoring reports, recertification, and annual audit. What this specification adds is only the wiring into the shared infrastructure in Part A.</w:t>
      </w:r>
    </w:p>
    <w:p>
      <w:pPr>
        <w:pStyle w:val="Heading1"/>
      </w:pPr>
      <w:r>
        <w:t xml:space="preserve">6. ML Apps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Stage</w:t>
            </w:r>
          </w:p>
        </w:tc>
        <w:tc>
          <w:tcPr>
            <w:tcW w:type="dxa" w:w="64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Content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Build &amp; document</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Existing model development documentation standard: rationale, approach, assumptions, data sources, testing approach. The evidence fields for the training approach are defined in Phase 1, since the Training subtab currently has none specified.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Validate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Existing expert and outcome-based validation criteria: conceptual soundness, data quality, methodology, testing — unchanged.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Monitor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shared mechanically-verifiable-field library (§3.6), applied against the model's existing monitoring reports.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Periodic review &amp; recertification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Existing annual recertification and R/A/G status process — unchanged, now logged through the shared event log (§3.2).</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Material change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Classified through the shared change-classification engine (§3.5), which replaces the existing change-management triggers.</w:t>
            </w:r>
          </w:p>
        </w:tc>
      </w:tr>
    </w:tbl>
    <w:p>
      <w:pPr>
        <w:spacing w:after="120"/>
      </w:pPr>
    </w:p>
    <w:p>
      <w:pPr>
        <w:pStyle w:val="Heading1"/>
      </w:pPr>
      <w:r>
        <w:t xml:space="preserve">7. What Does Not Apply to ML Apps</w:t>
      </w:r>
    </w:p>
    <w:p>
      <w:pPr>
        <w:spacing w:after="160"/>
      </w:pPr>
      <w:r>
        <w:t xml:space="preserve">Backbone / harness separation does not apply, since there is no third-party-hosted, opaque generative backbone to separate from the institution's own logic. Nor do model pinning against a provider-managed snapshot, sampling discipline, or instruction hierarchy. There is no variability envelope, because ML Apps are deterministic given fixed inputs, and no Anchored Continuous Evaluation or trajectory governance, because there is no free-form output or multi-step agentic path to score. The AI complexity axis (§2.2) is not populated. The standing FINOS risk register (§10) is AI Systems–only; where ML Apps already carry bias or fair-lending controls, those remain in the existing validation standard and are not duplicated.</w:t>
      </w:r>
    </w:p>
    <w:p>
      <w:pPr>
        <w:spacing w:after="200" w:before="360"/>
      </w:pPr>
      <w:r>
        <w:rPr>
          <w:b/>
          <w:bCs/>
          <w:sz w:val="26"/>
          <w:szCs w:val="26"/>
        </w:rPr>
        <w:t xml:space="preserve">PART C — AI SYSTEMS WORKFLOW</w:t>
      </w:r>
    </w:p>
    <w:p>
      <w:pPr>
        <w:pStyle w:val="Heading1"/>
      </w:pPr>
      <w:r>
        <w:t xml:space="preserve">8. Scope</w:t>
      </w:r>
    </w:p>
    <w:p>
      <w:pPr>
        <w:spacing w:after="160"/>
      </w:pPr>
      <w:r>
        <w:t xml:space="preserve">AI Systems covers generative and agentic AI. It sits outside SR 26-2 Model Risk Management scope but is governed under this framework regardless, using SR 26-2 as its starting point (§1) and consistent with the Policy's AI carve-out logic; it falls within PRA SS1/23 scope where UK or EU operations apply. Governance attaches to the whole system — backbone, harness, tools, retrieval, and orchestration — because correctness, consistency, robustness, and predictability are properties of the system and not of the backbone in isolation. The depth of evidence required at each phase below scales with the system's grid position (§2.2).</w:t>
      </w:r>
    </w:p>
    <w:p>
      <w:pPr>
        <w:pStyle w:val="Heading1"/>
      </w:pPr>
      <w:r>
        <w:t xml:space="preserve">9. Five-Phase Lifecycle</w:t>
      </w:r>
    </w:p>
    <w:p>
      <w:pPr>
        <w:pStyle w:val="Heading2"/>
      </w:pPr>
      <w:r>
        <w:t xml:space="preserve">9.1 Design &amp; Instrument</w:t>
      </w:r>
    </w:p>
    <w:p>
      <w:pPr>
        <w:spacing w:after="160"/>
      </w:pPr>
      <w:r>
        <w:t xml:space="preserve">A configuration snapshot captures model pin, output schema, sampling parameters, instruction hierarchy, tool permissions, and orchestration as a single versioned artefact. Any later change to any of these is a Material change under §3.5. Absorbs FINOS RI-5 (foundation model versioning) and RI-6 (non-determinism).</w:t>
      </w:r>
    </w:p>
    <w:p>
      <w:pPr>
        <w:spacing w:after="160"/>
      </w:pPr>
      <w:r>
        <w:t xml:space="preserve">Every run leaves a trace from which a reviewer can walk from the output back to its cause. Required trace content is set by ai_autonomy. A single call records the case input, the model snapshot and controls in force, and the output with its parser result. A workflow adds each step's inputs and outputs, retrieval and tool responses, and the checks, retries, and errors encountered. An agent adds the typed step graph, tool calls with the state changes they caused, and the path chosen with the context at each branch. The trace is the single evidence source for benchmarking, monitoring, trajectory scoring, and escalation: every downstream control in §9.2 to §9.5 reads from it and none keeps a separate record of the same run. Whether ModelRisk stores traces or holds hashed references to traces stored in the operating system's own observability stack is an open decision (§12); either way, the trace hash is written to the event log.</w:t>
      </w:r>
    </w:p>
    <w:p>
      <w:pPr>
        <w:pStyle w:val="Heading2"/>
      </w:pPr>
      <w:r>
        <w:t xml:space="preserve">9.2 Establish Baseline</w:t>
      </w:r>
    </w:p>
    <w:p>
      <w:pPr>
        <w:spacing w:after="160"/>
      </w:pPr>
      <w:r>
        <w:t xml:space="preserve">The expert-grounded benchmark consists of representative inputs paired with expert-grounded reference outputs, a scoring rubric, and a judge. In the absence of historical outcomes to backtest against, the benchmark is the precondition for every accuracy claim the system makes. The scoring method is set by output type: distance from the expert value for numeric fields, agreement with the expert label for categorical fields, agreement with the expert ordering for ordinal fields, coverage and accuracy of expected key points for free-form text, and similarity to the permissible expert path for action trajectories. The judge must hold its own approval under §9.6 before any baseline scored by it is accepted.</w:t>
      </w:r>
    </w:p>
    <w:p>
      <w:pPr>
        <w:spacing w:after="160"/>
      </w:pPr>
      <w:r>
        <w:t xml:space="preserve">The variability envelope is built by holding representative inputs fixed under the pinned configuration and sampling the system N times, storing the distribution of each chosen metric as percentile limits. Metrics may include a numeric output value, text length, similarity to reference, and trajectory complexity. The envelope then sets three controls, each recorded against it: a cap, clamp, or averaging rule applied at measured percentiles; a retry threshold marking the edge of acceptable output; and the escalation limit that the trigger register (§9.4) uses when the tail is breached.</w:t>
      </w:r>
    </w:p>
    <w:p>
      <w:pPr>
        <w:pStyle w:val="Heading2"/>
      </w:pPr>
      <w:r>
        <w:t xml:space="preserve">9.3 Operate &amp; Measure</w:t>
      </w:r>
    </w:p>
    <w:p>
      <w:pPr>
        <w:spacing w:after="160"/>
      </w:pPr>
      <w:r>
        <w:t xml:space="preserve">Mechanically verifiable output fields are monitored through the shared library (§3.6). Free-form text and trajectories are monitored through Anchored Continuous Evaluation: experts grade a representative sample, the approved judge grades the production stream, and the two are reconciled. Each reconciliation is written as a calibration record stating the sample, the agreement measured between expert and judge, and whether that agreement remains within the level set at baseline. A calibration record outside that level suspends reliance on judge scores until resolved. Absorbs FINOS RI-19 (data quality and drift).</w:t>
      </w:r>
    </w:p>
    <w:p>
      <w:pPr>
        <w:spacing w:after="160"/>
      </w:pPr>
      <w:r>
        <w:t xml:space="preserve">For agentic systems the captured trajectory is scored, not only the final output, because a plausible result can conceal an unsupported step or a missed cross-check. Scoring runs at three levels: each material step (was the action supported and permissible), each connected sequence (did the steps form a coherent and complete chain), and the complete run (was the trajectory acceptable overall). Where a reference trajectory exists, MKM's chosen measure is graph-edit distance from it; where none exists, each level is scored against defined criteria and required actions.</w:t>
      </w:r>
    </w:p>
    <w:p>
      <w:pPr>
        <w:spacing w:after="160"/>
      </w:pPr>
      <w:r>
        <w:t xml:space="preserve">Adversarial and operational robustness is tested through a versioned stress-test suite with a pass/fail rule per case, run before release and after every Material change. Adversarial cases cover prompt injection and poisoned retrieval; operational cases cover timeouts, rate limits, and tool or data outages. Each case states the expected system response — refuse or isolate, retry within budget, or hold and escalate — and a case fails if the observed response differs.</w:t>
      </w:r>
    </w:p>
    <w:p>
      <w:pPr>
        <w:pStyle w:val="Heading2"/>
      </w:pPr>
      <w:r>
        <w:t xml:space="preserve">9.4 Escalate</w:t>
      </w:r>
    </w:p>
    <w:p>
      <w:pPr>
        <w:spacing w:after="160"/>
      </w:pPr>
      <w:r>
        <w:t xml:space="preserve">Each entry in the failure-mode register maps one failure mode to a preventive control, a detection signal, and a fallback path. The register is the direct home for the FINOS mitigation catalogue, with each FINOS risk/mitigation pair becoming an entry, and it covers both Moody's operational failure modes and FINOS's agentic security cluster: tool chain manipulation, MCP server compromise, agent state persistence poisoning, and credential harvesting. Stress-test cases (§9.3) reference the register entries they exercise.</w:t>
      </w:r>
    </w:p>
    <w:p>
      <w:pPr>
        <w:spacing w:after="160"/>
      </w:pPr>
      <w:r>
        <w:t xml:space="preserve">The trigger register is calibrated against the variability envelope so that routine variation does not fire and real degradation does. Thresholds are set per property, not uniformly across the four: a customer-facing generative system may warrant a materially tighter robustness threshold than its predictability threshold, depending on where the exposure sits. Each entry therefore carries a threshold per property per model, and grid position informs the starting point for each property rather than fixing all four at once. A warning becomes a control only when the response is agreed in advance, so every trigger entry names its owner, the action required, and the fallback state before the system goes live.</w:t>
      </w:r>
    </w:p>
    <w:p>
      <w:pPr>
        <w:spacing w:after="160"/>
      </w:pPr>
      <w:r>
        <w:t xml:space="preserve">A breach opens an exception record. The record assembles an evidence packet from the trace, the envelope, and the monitoring history, and closes only when the named owner records a decision of continue, hold, roll back, suspend, or stop. Whether this record is implemented through the Policy's existing exceptions process or as a separate object is open (§12).</w:t>
      </w:r>
    </w:p>
    <w:p>
      <w:pPr>
        <w:pStyle w:val="Heading2"/>
      </w:pPr>
      <w:r>
        <w:t xml:space="preserve">9.5 Revalidate</w:t>
      </w:r>
    </w:p>
    <w:p>
      <w:pPr>
        <w:spacing w:after="160"/>
      </w:pPr>
      <w:r>
        <w:t xml:space="preserve">An immutable release manifest records every version of the system. Every proposed change is classified through the shared engine (§3.5) before it reaches production, and the class determines which evidence is rebuilt; ordinary use resumes only on current evidence. A Material change re-baselines the benchmark scores, variability envelope, stress-test suite, and trigger calibration. A FINOS taxonomy version bump is a Measurement-class change against the mapping engine.</w:t>
      </w:r>
    </w:p>
    <w:p>
      <w:pPr>
        <w:pStyle w:val="Heading2"/>
      </w:pPr>
      <w:r>
        <w:t xml:space="preserve">9.6 Judge Model Governance</w:t>
      </w:r>
    </w:p>
    <w:p>
      <w:pPr>
        <w:spacing w:after="160"/>
      </w:pPr>
      <w:r>
        <w:t xml:space="preserve">The judge used for benchmarking, ACE, and trajectory scoring is itself a model and is governed as one. It has its own model_id and model_class = AI_SYSTEM record, goes through the same onboarding, classification, and committee approval as any AI System, and is subject to its own configuration snapshot and revalidation regime. A change to it — a version bump, a re-prompted rubric, a swapped provider — is a Measurement-class change for every model it scores. Its lineage record marks it as a dependency of each of those models, so a judge change surfaces in their affected-artefact lists automatically. Because the benchmark (§9.2) depends on it, judge approval is a prerequisite of Establish Baseline and is delivered in Phase 3.</w:t>
      </w:r>
    </w:p>
    <w:p>
      <w:pPr>
        <w:pStyle w:val="Heading1"/>
      </w:pPr>
      <w:r>
        <w:t xml:space="preserve">10. Standing Risk Register</w:t>
      </w:r>
    </w:p>
    <w:p>
      <w:pPr>
        <w:spacing w:after="160"/>
      </w:pPr>
      <w:r>
        <w:t xml:space="preserve">Bias and discrimination (RI-16), IP and copyright (RI-23), reputational risk (RI-20), and the deeper supply-chain risks the Moody's material treats only generically (RI-7, RI-8, RI-26) sit outside the five-phase lifecycle as a standing register, sourced from FINOS and reviewed at onboarding and at every Material revalidation. The register is AI Systems–only by design. Visibility is identical across the ModelRisk and ModelOne deployments: no entries are muted or filtered per deployment.</w:t>
      </w:r>
    </w:p>
    <w:p>
      <w:pPr>
        <w:pStyle w:val="Heading1"/>
      </w:pPr>
      <w:r>
        <w:t xml:space="preserve">11. Illustrative Data Model</w:t>
      </w:r>
    </w:p>
    <w:p>
      <w:pPr>
        <w:spacing w:after="160"/>
      </w:pPr>
      <w:r>
        <w:t xml:space="preserve">Grouped by what is shared and what belongs to a single workflow. Enumerations are shown once and reused.</w:t>
      </w:r>
    </w:p>
    <w:p>
      <w:pPr>
        <w:pStyle w:val="Heading2"/>
      </w:pPr>
      <w:r>
        <w:t xml:space="preserve">Shared (Part A)</w:t>
      </w:r>
    </w:p>
    <w:p>
      <w:pPr>
        <w:spacing w:after="0"/>
      </w:pPr>
      <w:r>
        <w:rPr>
          <w:rFonts w:ascii="Courier New" w:cs="Courier New" w:eastAsia="Courier New" w:hAnsi="Courier New"/>
          <w:sz w:val="18"/>
          <w:szCs w:val="18"/>
        </w:rPr>
        <w:t xml:space="preserve">class ModelClass(Enum):      ML_APP; AI_SYSTEM</w:t>
      </w:r>
    </w:p>
    <w:p>
      <w:pPr>
        <w:spacing w:after="0"/>
      </w:pPr>
      <w:r>
        <w:rPr>
          <w:rFonts w:ascii="Courier New" w:cs="Courier New" w:eastAsia="Courier New" w:hAnsi="Courier New"/>
          <w:sz w:val="18"/>
          <w:szCs w:val="18"/>
        </w:rPr>
        <w:t xml:space="preserve">class AISystemType(Enum):   GENERATIVE; AGENTIC</w:t>
      </w:r>
    </w:p>
    <w:p>
      <w:pPr>
        <w:spacing w:after="0"/>
      </w:pPr>
      <w:r>
        <w:rPr>
          <w:rFonts w:ascii="Courier New" w:cs="Courier New" w:eastAsia="Courier New" w:hAnsi="Courier New"/>
          <w:sz w:val="18"/>
          <w:szCs w:val="18"/>
        </w:rPr>
        <w:t xml:space="preserve">class AIAutonomy(Enum):     SINGLE_CALL; WORKFLOW; AGENT</w:t>
      </w:r>
    </w:p>
    <w:p>
      <w:pPr>
        <w:spacing w:after="0"/>
      </w:pPr>
      <w:r>
        <w:rPr>
          <w:rFonts w:ascii="Courier New" w:cs="Courier New" w:eastAsia="Courier New" w:hAnsi="Courier New"/>
          <w:sz w:val="18"/>
          <w:szCs w:val="18"/>
        </w:rPr>
        <w:t xml:space="preserve">class ChangeClass(Enum):    ADMINISTRATIVE; BOUNDED; MEASUREMENT; MATERIAL</w:t>
      </w:r>
    </w:p>
    <w:p>
      <w:pPr>
        <w:spacing w:after="0"/>
      </w:pPr>
      <w:r>
        <w:rPr>
          <w:rFonts w:ascii="Courier New" w:cs="Courier New" w:eastAsia="Courier New" w:hAnsi="Courier New"/>
          <w:sz w:val="18"/>
          <w:szCs w:val="18"/>
        </w:rPr>
        <w:t xml:space="preserve">class Property(Enum):       CORRECTNESS; CONSISTENCY; ROBUSTNESS; PREDICTABILITY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ModelRecord:</w:t>
      </w:r>
    </w:p>
    <w:p>
      <w:pPr>
        <w:spacing w:after="0"/>
      </w:pPr>
      <w:r>
        <w:rPr>
          <w:rFonts w:ascii="Courier New" w:cs="Courier New" w:eastAsia="Courier New" w:hAnsi="Courier New"/>
          <w:sz w:val="18"/>
          <w:szCs w:val="18"/>
        </w:rPr>
        <w:t xml:space="preserve">    model_id: str</w:t>
      </w:r>
    </w:p>
    <w:p>
      <w:pPr>
        <w:spacing w:after="0"/>
      </w:pPr>
      <w:r>
        <w:rPr>
          <w:rFonts w:ascii="Courier New" w:cs="Courier New" w:eastAsia="Courier New" w:hAnsi="Courier New"/>
          <w:sz w:val="18"/>
          <w:szCs w:val="18"/>
        </w:rPr>
        <w:t xml:space="preserve">    model_class: ModelClass</w:t>
      </w:r>
    </w:p>
    <w:p>
      <w:pPr>
        <w:spacing w:after="0"/>
      </w:pPr>
      <w:r>
        <w:rPr>
          <w:rFonts w:ascii="Courier New" w:cs="Courier New" w:eastAsia="Courier New" w:hAnsi="Courier New"/>
          <w:sz w:val="18"/>
          <w:szCs w:val="18"/>
        </w:rPr>
        <w:t xml:space="preserve">    ai_system_type: AISystemType | None      # AI_SYSTEM only</w:t>
      </w:r>
    </w:p>
    <w:p>
      <w:pPr>
        <w:spacing w:after="0"/>
      </w:pPr>
      <w:r>
        <w:rPr>
          <w:rFonts w:ascii="Courier New" w:cs="Courier New" w:eastAsia="Courier New" w:hAnsi="Courier New"/>
          <w:sz w:val="18"/>
          <w:szCs w:val="18"/>
        </w:rPr>
        <w:t xml:space="preserve">    materiality: str                         # unchanged</w:t>
      </w:r>
    </w:p>
    <w:p>
      <w:pPr>
        <w:spacing w:after="0"/>
      </w:pPr>
      <w:r>
        <w:rPr>
          <w:rFonts w:ascii="Courier New" w:cs="Courier New" w:eastAsia="Courier New" w:hAnsi="Courier New"/>
          <w:sz w:val="18"/>
          <w:szCs w:val="18"/>
        </w:rPr>
        <w:t xml:space="preserve">    complexity: str                          # unchanged</w:t>
      </w:r>
    </w:p>
    <w:p>
      <w:pPr>
        <w:spacing w:after="0"/>
      </w:pPr>
      <w:r>
        <w:rPr>
          <w:rFonts w:ascii="Courier New" w:cs="Courier New" w:eastAsia="Courier New" w:hAnsi="Courier New"/>
          <w:sz w:val="18"/>
          <w:szCs w:val="18"/>
        </w:rPr>
        <w:t xml:space="preserve">    ai_autonomy: AIAutonomy | None           # AI_SYSTEM only</w:t>
      </w:r>
    </w:p>
    <w:p>
      <w:pPr>
        <w:spacing w:after="0"/>
      </w:pPr>
      <w:r>
        <w:rPr>
          <w:rFonts w:ascii="Courier New" w:cs="Courier New" w:eastAsia="Courier New" w:hAnsi="Courier New"/>
          <w:sz w:val="18"/>
          <w:szCs w:val="18"/>
        </w:rPr>
        <w:t xml:space="preserve">    ai_usage_frequency: str | None           # AI_SYSTEM only; levels from config</w:t>
      </w:r>
    </w:p>
    <w:p>
      <w:pPr>
        <w:spacing w:after="0"/>
      </w:pPr>
      <w:r>
        <w:rPr>
          <w:rFonts w:ascii="Courier New" w:cs="Courier New" w:eastAsia="Courier New" w:hAnsi="Courier New"/>
          <w:sz w:val="18"/>
          <w:szCs w:val="18"/>
        </w:rPr>
        <w:t xml:space="preserve">    grid_position: str | None                # derived via config rule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LineageNode:</w:t>
      </w:r>
    </w:p>
    <w:p>
      <w:pPr>
        <w:spacing w:after="0"/>
      </w:pPr>
      <w:r>
        <w:rPr>
          <w:rFonts w:ascii="Courier New" w:cs="Courier New" w:eastAsia="Courier New" w:hAnsi="Courier New"/>
          <w:sz w:val="18"/>
          <w:szCs w:val="18"/>
        </w:rPr>
        <w:t xml:space="preserve">    model_id: str</w:t>
      </w:r>
    </w:p>
    <w:p>
      <w:pPr>
        <w:spacing w:after="0"/>
      </w:pPr>
      <w:r>
        <w:rPr>
          <w:rFonts w:ascii="Courier New" w:cs="Courier New" w:eastAsia="Courier New" w:hAnsi="Courier New"/>
          <w:sz w:val="18"/>
          <w:szCs w:val="18"/>
        </w:rPr>
        <w:t xml:space="preserve">    node_type: str      # ML_APP | AI_SYSTEM | FOUNDATION_MODEL | MCP_SERVER</w:t>
      </w:r>
    </w:p>
    <w:p>
      <w:pPr>
        <w:spacing w:after="0"/>
      </w:pPr>
      <w:r>
        <w:rPr>
          <w:rFonts w:ascii="Courier New" w:cs="Courier New" w:eastAsia="Courier New" w:hAnsi="Courier New"/>
          <w:sz w:val="18"/>
          <w:szCs w:val="18"/>
        </w:rPr>
        <w:t xml:space="preserve">    upstream_of: list[str]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ChangeRecord:</w:t>
      </w:r>
    </w:p>
    <w:p>
      <w:pPr>
        <w:spacing w:after="0"/>
      </w:pPr>
      <w:r>
        <w:rPr>
          <w:rFonts w:ascii="Courier New" w:cs="Courier New" w:eastAsia="Courier New" w:hAnsi="Courier New"/>
          <w:sz w:val="18"/>
          <w:szCs w:val="18"/>
        </w:rPr>
        <w:t xml:space="preserve">    change_class: ChangeClass</w:t>
      </w:r>
    </w:p>
    <w:p>
      <w:pPr>
        <w:spacing w:after="0"/>
      </w:pPr>
      <w:r>
        <w:rPr>
          <w:rFonts w:ascii="Courier New" w:cs="Courier New" w:eastAsia="Courier New" w:hAnsi="Courier New"/>
          <w:sz w:val="18"/>
          <w:szCs w:val="18"/>
        </w:rPr>
        <w:t xml:space="preserve">    rule_id: str                             # config rule that assigned the class</w:t>
      </w:r>
    </w:p>
    <w:p>
      <w:pPr>
        <w:spacing w:after="0"/>
      </w:pPr>
      <w:r>
        <w:rPr>
          <w:rFonts w:ascii="Courier New" w:cs="Courier New" w:eastAsia="Courier New" w:hAnsi="Courier New"/>
          <w:sz w:val="18"/>
          <w:szCs w:val="18"/>
        </w:rPr>
        <w:t xml:space="preserve">    revalidation_depth: str</w:t>
      </w:r>
    </w:p>
    <w:p>
      <w:pPr>
        <w:spacing w:after="200"/>
      </w:pPr>
      <w:r>
        <w:rPr>
          <w:rFonts w:ascii="Courier New" w:cs="Courier New" w:eastAsia="Courier New" w:hAnsi="Courier New"/>
          <w:sz w:val="18"/>
          <w:szCs w:val="18"/>
        </w:rPr>
        <w:t xml:space="preserve">    affected_artifacts: list[str]</w:t>
      </w:r>
    </w:p>
    <w:p>
      <w:pPr>
        <w:pStyle w:val="Heading2"/>
      </w:pPr>
      <w:r>
        <w:t xml:space="preserve">ML Apps only (Part B)</w:t>
      </w:r>
    </w:p>
    <w:p>
      <w:pPr>
        <w:spacing w:after="0"/>
      </w:pPr>
      <w:r>
        <w:rPr>
          <w:rFonts w:ascii="Courier New" w:cs="Courier New" w:eastAsia="Courier New" w:hAnsi="Courier New"/>
          <w:sz w:val="18"/>
          <w:szCs w:val="18"/>
        </w:rPr>
        <w:t xml:space="preserve">class ValidationPack:</w:t>
      </w:r>
    </w:p>
    <w:p>
      <w:pPr>
        <w:spacing w:after="0"/>
      </w:pPr>
      <w:r>
        <w:rPr>
          <w:rFonts w:ascii="Courier New" w:cs="Courier New" w:eastAsia="Courier New" w:hAnsi="Courier New"/>
          <w:sz w:val="18"/>
          <w:szCs w:val="18"/>
        </w:rPr>
        <w:t xml:space="preserve">    model_id: str</w:t>
      </w:r>
    </w:p>
    <w:p>
      <w:pPr>
        <w:spacing w:after="0"/>
      </w:pPr>
      <w:r>
        <w:rPr>
          <w:rFonts w:ascii="Courier New" w:cs="Courier New" w:eastAsia="Courier New" w:hAnsi="Courier New"/>
          <w:sz w:val="18"/>
          <w:szCs w:val="18"/>
        </w:rPr>
        <w:t xml:space="preserve">    conceptual_soundness_review: str</w:t>
      </w:r>
    </w:p>
    <w:p>
      <w:pPr>
        <w:spacing w:after="0"/>
      </w:pPr>
      <w:r>
        <w:rPr>
          <w:rFonts w:ascii="Courier New" w:cs="Courier New" w:eastAsia="Courier New" w:hAnsi="Courier New"/>
          <w:sz w:val="18"/>
          <w:szCs w:val="18"/>
        </w:rPr>
        <w:t xml:space="preserve">    data_quality_review: str</w:t>
      </w:r>
    </w:p>
    <w:p>
      <w:pPr>
        <w:spacing w:after="0"/>
      </w:pPr>
      <w:r>
        <w:rPr>
          <w:rFonts w:ascii="Courier New" w:cs="Courier New" w:eastAsia="Courier New" w:hAnsi="Courier New"/>
          <w:sz w:val="18"/>
          <w:szCs w:val="18"/>
        </w:rPr>
        <w:t xml:space="preserve">    testing_results: dict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RecertificationRecord:</w:t>
      </w:r>
    </w:p>
    <w:p>
      <w:pPr>
        <w:spacing w:after="0"/>
      </w:pPr>
      <w:r>
        <w:rPr>
          <w:rFonts w:ascii="Courier New" w:cs="Courier New" w:eastAsia="Courier New" w:hAnsi="Courier New"/>
          <w:sz w:val="18"/>
          <w:szCs w:val="18"/>
        </w:rPr>
        <w:t xml:space="preserve">    model_id: str</w:t>
      </w:r>
    </w:p>
    <w:p>
      <w:pPr>
        <w:spacing w:after="0"/>
      </w:pPr>
      <w:r>
        <w:rPr>
          <w:rFonts w:ascii="Courier New" w:cs="Courier New" w:eastAsia="Courier New" w:hAnsi="Courier New"/>
          <w:sz w:val="18"/>
          <w:szCs w:val="18"/>
        </w:rPr>
        <w:t xml:space="preserve">    period: str</w:t>
      </w:r>
    </w:p>
    <w:p>
      <w:pPr>
        <w:spacing w:after="200"/>
      </w:pPr>
      <w:r>
        <w:rPr>
          <w:rFonts w:ascii="Courier New" w:cs="Courier New" w:eastAsia="Courier New" w:hAnsi="Courier New"/>
          <w:sz w:val="18"/>
          <w:szCs w:val="18"/>
        </w:rPr>
        <w:t xml:space="preserve">    rag_status: str                          # Red | Amber | Green</w:t>
      </w:r>
    </w:p>
    <w:p>
      <w:pPr>
        <w:pStyle w:val="Heading2"/>
      </w:pPr>
      <w:r>
        <w:t xml:space="preserve">AI Systems only (Part C)</w:t>
      </w:r>
    </w:p>
    <w:p>
      <w:pPr>
        <w:spacing w:after="0"/>
      </w:pPr>
      <w:r>
        <w:rPr>
          <w:rFonts w:ascii="Courier New" w:cs="Courier New" w:eastAsia="Courier New" w:hAnsi="Courier New"/>
          <w:sz w:val="18"/>
          <w:szCs w:val="18"/>
        </w:rPr>
        <w:t xml:space="preserve">class ConfigurationSnapshot:</w:t>
      </w:r>
    </w:p>
    <w:p>
      <w:pPr>
        <w:spacing w:after="0"/>
      </w:pPr>
      <w:r>
        <w:rPr>
          <w:rFonts w:ascii="Courier New" w:cs="Courier New" w:eastAsia="Courier New" w:hAnsi="Courier New"/>
          <w:sz w:val="18"/>
          <w:szCs w:val="18"/>
        </w:rPr>
        <w:t xml:space="preserve">    model_id: str</w:t>
      </w:r>
    </w:p>
    <w:p>
      <w:pPr>
        <w:spacing w:after="0"/>
      </w:pPr>
      <w:r>
        <w:rPr>
          <w:rFonts w:ascii="Courier New" w:cs="Courier New" w:eastAsia="Courier New" w:hAnsi="Courier New"/>
          <w:sz w:val="18"/>
          <w:szCs w:val="18"/>
        </w:rPr>
        <w:t xml:space="preserve">    model_pin: FoundationModelRef</w:t>
      </w:r>
    </w:p>
    <w:p>
      <w:pPr>
        <w:spacing w:after="0"/>
      </w:pPr>
      <w:r>
        <w:rPr>
          <w:rFonts w:ascii="Courier New" w:cs="Courier New" w:eastAsia="Courier New" w:hAnsi="Courier New"/>
          <w:sz w:val="18"/>
          <w:szCs w:val="18"/>
        </w:rPr>
        <w:t xml:space="preserve">    output_schema: dict</w:t>
      </w:r>
    </w:p>
    <w:p>
      <w:pPr>
        <w:spacing w:after="0"/>
      </w:pPr>
      <w:r>
        <w:rPr>
          <w:rFonts w:ascii="Courier New" w:cs="Courier New" w:eastAsia="Courier New" w:hAnsi="Courier New"/>
          <w:sz w:val="18"/>
          <w:szCs w:val="18"/>
        </w:rPr>
        <w:t xml:space="preserve">    sampling_params: dict</w:t>
      </w:r>
    </w:p>
    <w:p>
      <w:pPr>
        <w:spacing w:after="0"/>
      </w:pPr>
      <w:r>
        <w:rPr>
          <w:rFonts w:ascii="Courier New" w:cs="Courier New" w:eastAsia="Courier New" w:hAnsi="Courier New"/>
          <w:sz w:val="18"/>
          <w:szCs w:val="18"/>
        </w:rPr>
        <w:t xml:space="preserve">    instruction_hierarchy: list[str]</w:t>
      </w:r>
    </w:p>
    <w:p>
      <w:pPr>
        <w:spacing w:after="0"/>
      </w:pPr>
      <w:r>
        <w:rPr>
          <w:rFonts w:ascii="Courier New" w:cs="Courier New" w:eastAsia="Courier New" w:hAnsi="Courier New"/>
          <w:sz w:val="18"/>
          <w:szCs w:val="18"/>
        </w:rPr>
        <w:t xml:space="preserve">    tool_permissions: dict</w:t>
      </w:r>
    </w:p>
    <w:p>
      <w:pPr>
        <w:spacing w:after="0"/>
      </w:pPr>
      <w:r>
        <w:rPr>
          <w:rFonts w:ascii="Courier New" w:cs="Courier New" w:eastAsia="Courier New" w:hAnsi="Courier New"/>
          <w:sz w:val="18"/>
          <w:szCs w:val="18"/>
        </w:rPr>
        <w:t xml:space="preserve">    orchestration: dict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Trace:</w:t>
      </w:r>
    </w:p>
    <w:p>
      <w:pPr>
        <w:spacing w:after="0"/>
      </w:pPr>
      <w:r>
        <w:rPr>
          <w:rFonts w:ascii="Courier New" w:cs="Courier New" w:eastAsia="Courier New" w:hAnsi="Courier New"/>
          <w:sz w:val="18"/>
          <w:szCs w:val="18"/>
        </w:rPr>
        <w:t xml:space="preserve">    run_id: str</w:t>
      </w:r>
    </w:p>
    <w:p>
      <w:pPr>
        <w:spacing w:after="0"/>
      </w:pPr>
      <w:r>
        <w:rPr>
          <w:rFonts w:ascii="Courier New" w:cs="Courier New" w:eastAsia="Courier New" w:hAnsi="Courier New"/>
          <w:sz w:val="18"/>
          <w:szCs w:val="18"/>
        </w:rPr>
        <w:t xml:space="preserve">    config_version: int</w:t>
      </w:r>
    </w:p>
    <w:p>
      <w:pPr>
        <w:spacing w:after="0"/>
      </w:pPr>
      <w:r>
        <w:rPr>
          <w:rFonts w:ascii="Courier New" w:cs="Courier New" w:eastAsia="Courier New" w:hAnsi="Courier New"/>
          <w:sz w:val="18"/>
          <w:szCs w:val="18"/>
        </w:rPr>
        <w:t xml:space="preserve">    autonomy: AIAutonomy                     # sets required content</w:t>
      </w:r>
    </w:p>
    <w:p>
      <w:pPr>
        <w:spacing w:after="0"/>
      </w:pPr>
      <w:r>
        <w:rPr>
          <w:rFonts w:ascii="Courier New" w:cs="Courier New" w:eastAsia="Courier New" w:hAnsi="Courier New"/>
          <w:sz w:val="18"/>
          <w:szCs w:val="18"/>
        </w:rPr>
        <w:t xml:space="preserve">    case_input: ref</w:t>
      </w:r>
    </w:p>
    <w:p>
      <w:pPr>
        <w:spacing w:after="0"/>
      </w:pPr>
      <w:r>
        <w:rPr>
          <w:rFonts w:ascii="Courier New" w:cs="Courier New" w:eastAsia="Courier New" w:hAnsi="Courier New"/>
          <w:sz w:val="18"/>
          <w:szCs w:val="18"/>
        </w:rPr>
        <w:t xml:space="preserve">    output: ref; parser_result: ref</w:t>
      </w:r>
    </w:p>
    <w:p>
      <w:pPr>
        <w:spacing w:after="0"/>
      </w:pPr>
      <w:r>
        <w:rPr>
          <w:rFonts w:ascii="Courier New" w:cs="Courier New" w:eastAsia="Courier New" w:hAnsi="Courier New"/>
          <w:sz w:val="18"/>
          <w:szCs w:val="18"/>
        </w:rPr>
        <w:t xml:space="preserve">    steps: list[StepRecord] | None           # WORKFLOW, AGENT</w:t>
      </w:r>
    </w:p>
    <w:p>
      <w:pPr>
        <w:spacing w:after="0"/>
      </w:pPr>
      <w:r>
        <w:rPr>
          <w:rFonts w:ascii="Courier New" w:cs="Courier New" w:eastAsia="Courier New" w:hAnsi="Courier New"/>
          <w:sz w:val="18"/>
          <w:szCs w:val="18"/>
        </w:rPr>
        <w:t xml:space="preserve">    step_graph: ref | None                   # AGENT</w:t>
      </w:r>
    </w:p>
    <w:p>
      <w:pPr>
        <w:spacing w:after="0"/>
      </w:pPr>
      <w:r>
        <w:rPr>
          <w:rFonts w:ascii="Courier New" w:cs="Courier New" w:eastAsia="Courier New" w:hAnsi="Courier New"/>
          <w:sz w:val="18"/>
          <w:szCs w:val="18"/>
        </w:rPr>
        <w:t xml:space="preserve">    content_hash: str                        # written to event log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Benchmark:</w:t>
      </w:r>
    </w:p>
    <w:p>
      <w:pPr>
        <w:spacing w:after="0"/>
      </w:pPr>
      <w:r>
        <w:rPr>
          <w:rFonts w:ascii="Courier New" w:cs="Courier New" w:eastAsia="Courier New" w:hAnsi="Courier New"/>
          <w:sz w:val="18"/>
          <w:szCs w:val="18"/>
        </w:rPr>
        <w:t xml:space="preserve">    benchmark_id: str</w:t>
      </w:r>
    </w:p>
    <w:p>
      <w:pPr>
        <w:spacing w:after="0"/>
      </w:pPr>
      <w:r>
        <w:rPr>
          <w:rFonts w:ascii="Courier New" w:cs="Courier New" w:eastAsia="Courier New" w:hAnsi="Courier New"/>
          <w:sz w:val="18"/>
          <w:szCs w:val="18"/>
        </w:rPr>
        <w:t xml:space="preserve">    cases: list[ref]                         # input + expert reference</w:t>
      </w:r>
    </w:p>
    <w:p>
      <w:pPr>
        <w:spacing w:after="0"/>
      </w:pPr>
      <w:r>
        <w:rPr>
          <w:rFonts w:ascii="Courier New" w:cs="Courier New" w:eastAsia="Courier New" w:hAnsi="Courier New"/>
          <w:sz w:val="18"/>
          <w:szCs w:val="18"/>
        </w:rPr>
        <w:t xml:space="preserve">    rubric_id: str</w:t>
      </w:r>
    </w:p>
    <w:p>
      <w:pPr>
        <w:spacing w:after="0"/>
      </w:pPr>
      <w:r>
        <w:rPr>
          <w:rFonts w:ascii="Courier New" w:cs="Courier New" w:eastAsia="Courier New" w:hAnsi="Courier New"/>
          <w:sz w:val="18"/>
          <w:szCs w:val="18"/>
        </w:rPr>
        <w:t xml:space="preserve">    judge_model_id: str                      # governed per 9.6</w:t>
      </w:r>
    </w:p>
    <w:p>
      <w:pPr>
        <w:spacing w:after="0"/>
      </w:pPr>
      <w:r>
        <w:rPr>
          <w:rFonts w:ascii="Courier New" w:cs="Courier New" w:eastAsia="Courier New" w:hAnsi="Courier New"/>
          <w:sz w:val="18"/>
          <w:szCs w:val="18"/>
        </w:rPr>
        <w:t xml:space="preserve">    scoring_method: dict[str, str]           # output field -&gt; method</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VariabilityEnvelope:</w:t>
      </w:r>
    </w:p>
    <w:p>
      <w:pPr>
        <w:spacing w:after="0"/>
      </w:pPr>
      <w:r>
        <w:rPr>
          <w:rFonts w:ascii="Courier New" w:cs="Courier New" w:eastAsia="Courier New" w:hAnsi="Courier New"/>
          <w:sz w:val="18"/>
          <w:szCs w:val="18"/>
        </w:rPr>
        <w:t xml:space="preserve">    config_version: int</w:t>
      </w:r>
    </w:p>
    <w:p>
      <w:pPr>
        <w:spacing w:after="0"/>
      </w:pPr>
      <w:r>
        <w:rPr>
          <w:rFonts w:ascii="Courier New" w:cs="Courier New" w:eastAsia="Courier New" w:hAnsi="Courier New"/>
          <w:sz w:val="18"/>
          <w:szCs w:val="18"/>
        </w:rPr>
        <w:t xml:space="preserve">    metric: str</w:t>
      </w:r>
    </w:p>
    <w:p>
      <w:pPr>
        <w:spacing w:after="0"/>
      </w:pPr>
      <w:r>
        <w:rPr>
          <w:rFonts w:ascii="Courier New" w:cs="Courier New" w:eastAsia="Courier New" w:hAnsi="Courier New"/>
          <w:sz w:val="18"/>
          <w:szCs w:val="18"/>
        </w:rPr>
        <w:t xml:space="preserve">    n_runs: int</w:t>
      </w:r>
    </w:p>
    <w:p>
      <w:pPr>
        <w:spacing w:after="0"/>
      </w:pPr>
      <w:r>
        <w:rPr>
          <w:rFonts w:ascii="Courier New" w:cs="Courier New" w:eastAsia="Courier New" w:hAnsi="Courier New"/>
          <w:sz w:val="18"/>
          <w:szCs w:val="18"/>
        </w:rPr>
        <w:t xml:space="preserve">    percentiles: dict[float, float]</w:t>
      </w:r>
    </w:p>
    <w:p>
      <w:pPr>
        <w:spacing w:after="0"/>
      </w:pPr>
      <w:r>
        <w:rPr>
          <w:rFonts w:ascii="Courier New" w:cs="Courier New" w:eastAsia="Courier New" w:hAnsi="Courier New"/>
          <w:sz w:val="18"/>
          <w:szCs w:val="18"/>
        </w:rPr>
        <w:t xml:space="preserve">    cap_rule: str | None</w:t>
      </w:r>
    </w:p>
    <w:p>
      <w:pPr>
        <w:spacing w:after="0"/>
      </w:pPr>
      <w:r>
        <w:rPr>
          <w:rFonts w:ascii="Courier New" w:cs="Courier New" w:eastAsia="Courier New" w:hAnsi="Courier New"/>
          <w:sz w:val="18"/>
          <w:szCs w:val="18"/>
        </w:rPr>
        <w:t xml:space="preserve">    retry_threshold: float | None</w:t>
      </w:r>
    </w:p>
    <w:p>
      <w:pPr>
        <w:spacing w:after="0"/>
      </w:pPr>
      <w:r>
        <w:rPr>
          <w:rFonts w:ascii="Courier New" w:cs="Courier New" w:eastAsia="Courier New" w:hAnsi="Courier New"/>
          <w:sz w:val="18"/>
          <w:szCs w:val="18"/>
        </w:rPr>
        <w:t xml:space="preserve">    escalation_limit: float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CalibrationRecord:                     # ACE</w:t>
      </w:r>
    </w:p>
    <w:p>
      <w:pPr>
        <w:spacing w:after="0"/>
      </w:pPr>
      <w:r>
        <w:rPr>
          <w:rFonts w:ascii="Courier New" w:cs="Courier New" w:eastAsia="Courier New" w:hAnsi="Courier New"/>
          <w:sz w:val="18"/>
          <w:szCs w:val="18"/>
        </w:rPr>
        <w:t xml:space="preserve">    model_id: str; judge_model_id: str</w:t>
      </w:r>
    </w:p>
    <w:p>
      <w:pPr>
        <w:spacing w:after="0"/>
      </w:pPr>
      <w:r>
        <w:rPr>
          <w:rFonts w:ascii="Courier New" w:cs="Courier New" w:eastAsia="Courier New" w:hAnsi="Courier New"/>
          <w:sz w:val="18"/>
          <w:szCs w:val="18"/>
        </w:rPr>
        <w:t xml:space="preserve">    expert_sample: list[str]</w:t>
      </w:r>
    </w:p>
    <w:p>
      <w:pPr>
        <w:spacing w:after="0"/>
      </w:pPr>
      <w:r>
        <w:rPr>
          <w:rFonts w:ascii="Courier New" w:cs="Courier New" w:eastAsia="Courier New" w:hAnsi="Courier New"/>
          <w:sz w:val="18"/>
          <w:szCs w:val="18"/>
        </w:rPr>
        <w:t xml:space="preserve">    agreement: float</w:t>
      </w:r>
    </w:p>
    <w:p>
      <w:pPr>
        <w:spacing w:after="0"/>
      </w:pPr>
      <w:r>
        <w:rPr>
          <w:rFonts w:ascii="Courier New" w:cs="Courier New" w:eastAsia="Courier New" w:hAnsi="Courier New"/>
          <w:sz w:val="18"/>
          <w:szCs w:val="18"/>
        </w:rPr>
        <w:t xml:space="preserve">    within_baseline: bool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TrajectoryScore:</w:t>
      </w:r>
    </w:p>
    <w:p>
      <w:pPr>
        <w:spacing w:after="0"/>
      </w:pPr>
      <w:r>
        <w:rPr>
          <w:rFonts w:ascii="Courier New" w:cs="Courier New" w:eastAsia="Courier New" w:hAnsi="Courier New"/>
          <w:sz w:val="18"/>
          <w:szCs w:val="18"/>
        </w:rPr>
        <w:t xml:space="preserve">    run_id: str</w:t>
      </w:r>
    </w:p>
    <w:p>
      <w:pPr>
        <w:spacing w:after="0"/>
      </w:pPr>
      <w:r>
        <w:rPr>
          <w:rFonts w:ascii="Courier New" w:cs="Courier New" w:eastAsia="Courier New" w:hAnsi="Courier New"/>
          <w:sz w:val="18"/>
          <w:szCs w:val="18"/>
        </w:rPr>
        <w:t xml:space="preserve">    step_scores: dict; sequence_scores: dict; run_score: float</w:t>
      </w:r>
    </w:p>
    <w:p>
      <w:pPr>
        <w:spacing w:after="0"/>
      </w:pPr>
      <w:r>
        <w:rPr>
          <w:rFonts w:ascii="Courier New" w:cs="Courier New" w:eastAsia="Courier New" w:hAnsi="Courier New"/>
          <w:sz w:val="18"/>
          <w:szCs w:val="18"/>
        </w:rPr>
        <w:t xml:space="preserve">    reference_trajectory_id: str | None      # GED if present, criteria if not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StressTestCase:</w:t>
      </w:r>
    </w:p>
    <w:p>
      <w:pPr>
        <w:spacing w:after="0"/>
      </w:pPr>
      <w:r>
        <w:rPr>
          <w:rFonts w:ascii="Courier New" w:cs="Courier New" w:eastAsia="Courier New" w:hAnsi="Courier New"/>
          <w:sz w:val="18"/>
          <w:szCs w:val="18"/>
        </w:rPr>
        <w:t xml:space="preserve">    suite_version: int</w:t>
      </w:r>
    </w:p>
    <w:p>
      <w:pPr>
        <w:spacing w:after="0"/>
      </w:pPr>
      <w:r>
        <w:rPr>
          <w:rFonts w:ascii="Courier New" w:cs="Courier New" w:eastAsia="Courier New" w:hAnsi="Courier New"/>
          <w:sz w:val="18"/>
          <w:szCs w:val="18"/>
        </w:rPr>
        <w:t xml:space="preserve">    category: str                            # ADVERSARIAL | OPERATIONAL</w:t>
      </w:r>
    </w:p>
    <w:p>
      <w:pPr>
        <w:spacing w:after="0"/>
      </w:pPr>
      <w:r>
        <w:rPr>
          <w:rFonts w:ascii="Courier New" w:cs="Courier New" w:eastAsia="Courier New" w:hAnsi="Courier New"/>
          <w:sz w:val="18"/>
          <w:szCs w:val="18"/>
        </w:rPr>
        <w:t xml:space="preserve">    expected_response: str  # REFUSE_ISOLATE | RETRY | HOLD_ESCALATE</w:t>
      </w:r>
    </w:p>
    <w:p>
      <w:pPr>
        <w:spacing w:after="0"/>
      </w:pPr>
      <w:r>
        <w:rPr>
          <w:rFonts w:ascii="Courier New" w:cs="Courier New" w:eastAsia="Courier New" w:hAnsi="Courier New"/>
          <w:sz w:val="18"/>
          <w:szCs w:val="18"/>
        </w:rPr>
        <w:t xml:space="preserve">    failure_mode_ids: list[str]</w:t>
      </w:r>
    </w:p>
    <w:p>
      <w:pPr>
        <w:spacing w:after="0"/>
      </w:pPr>
      <w:r>
        <w:rPr>
          <w:rFonts w:ascii="Courier New" w:cs="Courier New" w:eastAsia="Courier New" w:hAnsi="Courier New"/>
          <w:sz w:val="18"/>
          <w:szCs w:val="18"/>
        </w:rPr>
        <w:t xml:space="preserve">    passed: bool | None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FailureModeRegisterEntry:</w:t>
      </w:r>
    </w:p>
    <w:p>
      <w:pPr>
        <w:spacing w:after="0"/>
      </w:pPr>
      <w:r>
        <w:rPr>
          <w:rFonts w:ascii="Courier New" w:cs="Courier New" w:eastAsia="Courier New" w:hAnsi="Courier New"/>
          <w:sz w:val="18"/>
          <w:szCs w:val="18"/>
        </w:rPr>
        <w:t xml:space="preserve">    failure_mode_id: str</w:t>
      </w:r>
    </w:p>
    <w:p>
      <w:pPr>
        <w:spacing w:after="0"/>
      </w:pPr>
      <w:r>
        <w:rPr>
          <w:rFonts w:ascii="Courier New" w:cs="Courier New" w:eastAsia="Courier New" w:hAnsi="Courier New"/>
          <w:sz w:val="18"/>
          <w:szCs w:val="18"/>
        </w:rPr>
        <w:t xml:space="preserve">    finos_risk_id: str | None; finos_mitigation_id: str | None</w:t>
      </w:r>
    </w:p>
    <w:p>
      <w:pPr>
        <w:spacing w:after="0"/>
      </w:pPr>
      <w:r>
        <w:rPr>
          <w:rFonts w:ascii="Courier New" w:cs="Courier New" w:eastAsia="Courier New" w:hAnsi="Courier New"/>
          <w:sz w:val="18"/>
          <w:szCs w:val="18"/>
        </w:rPr>
        <w:t xml:space="preserve">    preventive_control: str</w:t>
      </w:r>
    </w:p>
    <w:p>
      <w:pPr>
        <w:spacing w:after="0"/>
      </w:pPr>
      <w:r>
        <w:rPr>
          <w:rFonts w:ascii="Courier New" w:cs="Courier New" w:eastAsia="Courier New" w:hAnsi="Courier New"/>
          <w:sz w:val="18"/>
          <w:szCs w:val="18"/>
        </w:rPr>
        <w:t xml:space="preserve">    detection_signal: str</w:t>
      </w:r>
    </w:p>
    <w:p>
      <w:pPr>
        <w:spacing w:after="0"/>
      </w:pPr>
      <w:r>
        <w:rPr>
          <w:rFonts w:ascii="Courier New" w:cs="Courier New" w:eastAsia="Courier New" w:hAnsi="Courier New"/>
          <w:sz w:val="18"/>
          <w:szCs w:val="18"/>
        </w:rPr>
        <w:t xml:space="preserve">    fallback_path: str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TriggerRegisterEntry:</w:t>
      </w:r>
    </w:p>
    <w:p>
      <w:pPr>
        <w:spacing w:after="0"/>
      </w:pPr>
      <w:r>
        <w:rPr>
          <w:rFonts w:ascii="Courier New" w:cs="Courier New" w:eastAsia="Courier New" w:hAnsi="Courier New"/>
          <w:sz w:val="18"/>
          <w:szCs w:val="18"/>
        </w:rPr>
        <w:t xml:space="preserve">    model_id: str</w:t>
      </w:r>
    </w:p>
    <w:p>
      <w:pPr>
        <w:spacing w:after="0"/>
      </w:pPr>
      <w:r>
        <w:rPr>
          <w:rFonts w:ascii="Courier New" w:cs="Courier New" w:eastAsia="Courier New" w:hAnsi="Courier New"/>
          <w:sz w:val="18"/>
          <w:szCs w:val="18"/>
        </w:rPr>
        <w:t xml:space="preserve">    thresholds: dict[Property, float]        # per property, per model</w:t>
      </w:r>
    </w:p>
    <w:p>
      <w:pPr>
        <w:spacing w:after="0"/>
      </w:pPr>
      <w:r>
        <w:rPr>
          <w:rFonts w:ascii="Courier New" w:cs="Courier New" w:eastAsia="Courier New" w:hAnsi="Courier New"/>
          <w:sz w:val="18"/>
          <w:szCs w:val="18"/>
        </w:rPr>
        <w:t xml:space="preserve">    envelope_ref: str</w:t>
      </w:r>
    </w:p>
    <w:p>
      <w:pPr>
        <w:spacing w:after="0"/>
      </w:pPr>
      <w:r>
        <w:rPr>
          <w:rFonts w:ascii="Courier New" w:cs="Courier New" w:eastAsia="Courier New" w:hAnsi="Courier New"/>
          <w:sz w:val="18"/>
          <w:szCs w:val="18"/>
        </w:rPr>
        <w:t xml:space="preserve">    owner: str; action: str; fallback_state: str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ExceptionRecord:</w:t>
      </w:r>
    </w:p>
    <w:p>
      <w:pPr>
        <w:spacing w:after="0"/>
      </w:pPr>
      <w:r>
        <w:rPr>
          <w:rFonts w:ascii="Courier New" w:cs="Courier New" w:eastAsia="Courier New" w:hAnsi="Courier New"/>
          <w:sz w:val="18"/>
          <w:szCs w:val="18"/>
        </w:rPr>
        <w:t xml:space="preserve">    trigger_id: str</w:t>
      </w:r>
    </w:p>
    <w:p>
      <w:pPr>
        <w:spacing w:after="0"/>
      </w:pPr>
      <w:r>
        <w:rPr>
          <w:rFonts w:ascii="Courier New" w:cs="Courier New" w:eastAsia="Courier New" w:hAnsi="Courier New"/>
          <w:sz w:val="18"/>
          <w:szCs w:val="18"/>
        </w:rPr>
        <w:t xml:space="preserve">    evidence_packet: list[ref]               # trace, envelope, monitoring</w:t>
      </w:r>
    </w:p>
    <w:p>
      <w:pPr>
        <w:spacing w:after="0"/>
      </w:pPr>
      <w:r>
        <w:rPr>
          <w:rFonts w:ascii="Courier New" w:cs="Courier New" w:eastAsia="Courier New" w:hAnsi="Courier New"/>
          <w:sz w:val="18"/>
          <w:szCs w:val="18"/>
        </w:rPr>
        <w:t xml:space="preserve">    decision: str | None     # CONTINUE | HOLD | ROLL_BACK | SUSPEND | STOP</w:t>
      </w:r>
    </w:p>
    <w:p>
      <w:pPr>
        <w:spacing w:after="0"/>
      </w:pPr>
      <w:r>
        <w:rPr>
          <w:rFonts w:ascii="Courier New" w:cs="Courier New" w:eastAsia="Courier New" w:hAnsi="Courier New"/>
          <w:sz w:val="18"/>
          <w:szCs w:val="18"/>
        </w:rPr>
        <w:t xml:space="preserve">    decided_by: str | None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StandingRiskRegisterEntry:</w:t>
      </w:r>
    </w:p>
    <w:p>
      <w:pPr>
        <w:spacing w:after="0"/>
      </w:pPr>
      <w:r>
        <w:rPr>
          <w:rFonts w:ascii="Courier New" w:cs="Courier New" w:eastAsia="Courier New" w:hAnsi="Courier New"/>
          <w:sz w:val="18"/>
          <w:szCs w:val="18"/>
        </w:rPr>
        <w:t xml:space="preserve">    finos_risk_id: str                       # RI-16, RI-20, RI-23, etc.</w:t>
      </w:r>
    </w:p>
    <w:p>
      <w:pPr>
        <w:spacing w:after="0"/>
      </w:pPr>
      <w:r>
        <w:rPr>
          <w:rFonts w:ascii="Courier New" w:cs="Courier New" w:eastAsia="Courier New" w:hAnsi="Courier New"/>
          <w:sz w:val="18"/>
          <w:szCs w:val="18"/>
        </w:rPr>
        <w:t xml:space="preserve">    applicable: bool</w:t>
      </w:r>
    </w:p>
    <w:p>
      <w:pPr>
        <w:spacing w:after="200"/>
      </w:pPr>
      <w:r>
        <w:rPr>
          <w:rFonts w:ascii="Courier New" w:cs="Courier New" w:eastAsia="Courier New" w:hAnsi="Courier New"/>
          <w:sz w:val="18"/>
          <w:szCs w:val="18"/>
        </w:rPr>
        <w:t xml:space="preserve">    mitigation_status: MitigationStatus</w:t>
      </w:r>
    </w:p>
    <w:p>
      <w:pPr>
        <w:pStyle w:val="Heading1"/>
      </w:pPr>
      <w:r>
        <w:t xml:space="preserve">12.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6"/>
        <w:gridCol w:w="1800"/>
      </w:tblGrid>
      <w:tr>
        <w:trPr>
          <w:tblHeader/>
        </w:trPr>
        <w:tc>
          <w:tcPr>
            <w:tcW w:type="dxa" w:w="2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Decision</w:t>
            </w:r>
          </w:p>
        </w:tc>
        <w:tc>
          <w:tcPr>
            <w:tcW w:type="dxa" w:w="44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Resolution</w:t>
            </w:r>
          </w:p>
        </w:tc>
        <w:tc>
          <w:tcPr>
            <w:tcW w:type="dxa" w:w="1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Where it lives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ML Apps change classification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Adopts the shared four-tier engine fully, replacing existing triggers (v0.3; §6 corrected in v0.5)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 §6</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Build location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Open-source ModelRisk core, forked into Moody's ModelOne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Fork relationship</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One-way — ModelOne consumes the core package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Standing risk register visibility</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Identical across both deployments; no entries muted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Judge model approval</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judge is itself a governed model, approved via MRC; delivered in Phase 3 ahead of baselining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§9.6</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Property tiering</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Thresholds vary per property per model, not a uniform bar per tier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§9.4</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Regulatory starting point (v0.5)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SR 26-2 is the scaffold for AI Systems in the absence of a Moody's AI governance framework, without claiming AI Systems fall inside its scope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§8</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 complexity (v0.5)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Additional autonomy and frequency axis for AI Systems; materiality and risk classification unchanged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Robustness placement (v0.5)</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Stress testing in Operate &amp; Measure; failure-mode register remains in Escalate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§9.3, §9.4</w:t>
            </w:r>
          </w:p>
        </w:tc>
      </w:tr>
    </w:tbl>
    <w:p>
      <w:pPr>
        <w:spacing w:after="120"/>
      </w:pPr>
    </w:p>
    <w:p>
      <w:pPr>
        <w:pStyle w:val="Heading2"/>
      </w:pPr>
      <w:r>
        <w:t xml:space="preserve">Still open</w:t>
      </w:r>
    </w:p>
    <w:p>
      <w:pPr>
        <w:spacing w:after="160"/>
      </w:pPr>
      <w:r>
        <w:rPr>
          <w:b/>
          <w:bCs/>
        </w:rPr>
        <w:t xml:space="preserve">FINOS taxonomy refresh cadence</w:t>
      </w:r>
      <w:r>
        <w:t xml:space="preserve"> — manual quarterly review, live query via the FINOS AIGF MCP Server, or a hybrid. No default assumed; required before Phase 2.</w:t>
      </w:r>
    </w:p>
    <w:p>
      <w:pPr>
        <w:spacing w:after="160"/>
      </w:pPr>
      <w:r>
        <w:rPr>
          <w:b/>
          <w:bCs/>
        </w:rPr>
        <w:t xml:space="preserve">Usage frequency scale</w:t>
      </w:r>
      <w:r>
        <w:t xml:space="preserve"> — the levels for ai_usage_frequency. Required before Phase 2.</w:t>
      </w:r>
    </w:p>
    <w:p>
      <w:pPr>
        <w:spacing w:after="160"/>
      </w:pPr>
      <w:r>
        <w:rPr>
          <w:b/>
          <w:bCs/>
        </w:rPr>
        <w:t xml:space="preserve">Complexity combination rule and grid-to-intensity table</w:t>
      </w:r>
      <w:r>
        <w:t xml:space="preserve"> — how autonomy and frequency combine into one complexity position, and which evidence each materiality × complexity cell requires. Required before Phase 2.</w:t>
      </w:r>
    </w:p>
    <w:p>
      <w:pPr>
        <w:spacing w:after="160"/>
      </w:pPr>
      <w:r>
        <w:rPr>
          <w:b/>
          <w:bCs/>
        </w:rPr>
        <w:t xml:space="preserve">Trace storage</w:t>
      </w:r>
      <w:r>
        <w:t xml:space="preserve"> — whether ModelRisk stores traces or holds hashed references to an external observability store. Required before Phase 3, since Phases 4 and 5 read from the trace.</w:t>
      </w:r>
    </w:p>
    <w:p>
      <w:pPr>
        <w:spacing w:after="160"/>
      </w:pPr>
      <w:r>
        <w:rPr>
          <w:b/>
          <w:bCs/>
        </w:rPr>
        <w:t xml:space="preserve">Exception mechanism</w:t>
      </w:r>
      <w:r>
        <w:t xml:space="preserve"> — whether AI System exceptions reuse the Policy's existing exceptions process or are a separate object. Required before Phase 4.</w:t>
      </w:r>
    </w:p>
    <w:p>
      <w:pPr>
        <w:pStyle w:val="Heading1"/>
      </w:pPr>
      <w:r>
        <w:t xml:space="preserve">13. Phased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Phase</w:t>
            </w:r>
          </w:p>
        </w:tc>
        <w:tc>
          <w:tcPr>
            <w:tcW w:type="dxa" w:w="8126"/>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9"/>
                <w:szCs w:val="19"/>
              </w:rPr>
              <w:t xml:space="preserve">Scope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Shared core package (Part A): classification fields including the AI complexity fields; event log integration; committee routing inputs including grid position; lineage extension; change-classification engine with the rule set held as configuration; mechanically-verifiable monitoring library; generic risk-mapping engine; concept–property matrix as configuration. Exit criterion: fully tested package with a stable public API.</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ML Apps wiring: connect existing validation, monitoring, and recertification processes to the shared core; the change engine replaces existing triggers; training-approach evidence fields defined for the Training subtab.</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 Systems configuration as data against the core's config contract: configuration snapshot schema including tool permissions and orchestration; autonomy and frequency scales; combination rule and grid-to-intensity table; per-property threshold schema; regulatory regime map with SR 26-2 as the starting point and room for PRA SS1/23, the EU AI Act, and NIST. Preconditions: FINOS cadence, frequency scale, and grid decisions closed.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Design &amp; Instrument and Establish Baseline (Concepts 1–4): configuration snapshot as a versioned artefact; Trace object with content set by autonomy level; judge-model governance; expert benchmark with scoring method by output type; variability envelope with cap, retry, and escalation controls. Precondition: trace storage decision closed.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Operate &amp; Measure and Escalate (Concepts 5–8): ACE with calibration records; three-level trajectory scoring with and without a reference; versioned stress-test suite; failure-mode register populated from FINOS with preventive, detection, and fallback fields; trigger register with owners and pre-agreed actions; exception record with decision outcome. Precondition: exception mechanism decision closed.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Revalidate (Concept 9): release manifest; change engine applied to AI Systems with affected-evidence rebuild; standing risk register.</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Coverage reporting across both workflows, filtered first on model_class; for AI Systems, grid position and a property coverage view driven by the concept–property matrix, showing which properties rest on live evidence.</w:t>
            </w:r>
          </w:p>
        </w:tc>
      </w:tr>
    </w:tbl>
    <w:p>
      <w:pPr>
        <w:spacing w:after="120"/>
      </w:pPr>
    </w:p>
    <w:p>
      <w:pPr>
        <w:spacing w:after="160"/>
      </w:pPr>
      <w:r>
        <w:t xml:space="preserve">The Trace schema defined in Phase 3 is the dependency to protect: Phases 4 and 5 read from it, so its shape is settled early even if ingestion is delivered later.</w:t>
      </w:r>
    </w:p>
    <w:p>
      <w:pPr>
        <w:pStyle w:val="Heading1"/>
      </w:pPr>
      <w:r>
        <w:t xml:space="preserve">14. References</w:t>
      </w:r>
    </w:p>
    <w:p>
      <w:pPr>
        <w:spacing w:after="160"/>
      </w:pPr>
      <w:r>
        <w:t xml:space="preserve">FINOS AI Governance Framework v2.0 (October 2025): air-governance-framework.finos.org</w:t>
      </w:r>
    </w:p>
    <w:p>
      <w:pPr>
        <w:spacing w:after="160"/>
      </w:pPr>
      <w:r>
        <w:t xml:space="preserve">Grevenbrock, N., Zhao, Z. &amp; Patel, N. (2026). Model Risk Management in the Age of AI. SSRN: https://ssrn.com/abstract=6859138</w:t>
      </w:r>
    </w:p>
    <w:p>
      <w:pPr>
        <w:spacing w:after="160"/>
      </w:pPr>
      <w:r>
        <w:t xml:space="preserve">Grevenbrock, N., Zhao, Z. &amp; Patel, N. (2026). From Principles to Practice: Governing Generative and Agentic AI Systems. Moody's Credit Center of Excellence, August 2026 (reviewed as presentation).</w:t>
      </w:r>
    </w:p>
    <w:p>
      <w:pPr>
        <w:spacing w:after="160"/>
      </w:pPr>
      <w:r>
        <w:t xml:space="preserve">SR 26-2 / OCC Bulletin 2026-13 (revised interagency guidance on MRM, effective 17 April 2026)</w:t>
      </w:r>
    </w:p>
    <w:p>
      <w:pPr>
        <w:spacing w:after="160"/>
      </w:pPr>
      <w:r>
        <w:t xml:space="preserve">PRA SS1/23, Model Risk Management Principles for Banks (April 2026 update)</w:t>
      </w:r>
    </w:p>
    <w:p>
      <w:pPr>
        <w:spacing w:after="160"/>
      </w:pPr>
      <w:r>
        <w:t xml:space="preserve">EU AI Act, Regulation (EU) 2024/1689</w:t>
      </w:r>
    </w:p>
    <w:p>
      <w:pPr>
        <w:spacing w:after="160"/>
      </w:pPr>
      <w:r>
        <w:t xml:space="preserve">NIST AI 100-1 (AI RMF 1.0); NIST AI 600-1 (Generative AI Profile)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AI &amp; Agentic Model Governance Module — v0.5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2026-09-23T14:30:53.047Z</dcterms:created>
  <dcterms:modified xsi:type="dcterms:W3CDTF">2026-09-23T14:30:53.047Z</dcterms:modified>
</cp:coreProperties>
</file>

<file path=docProps/custom.xml><?xml version="1.0" encoding="utf-8"?>
<Properties xmlns="http://schemas.openxmlformats.org/officeDocument/2006/custom-properties" xmlns:vt="http://schemas.openxmlformats.org/officeDocument/2006/docPropsVTypes"/>
</file>