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Shared Utilities, Two Separate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v0.5 — for review — supersedes v0.4</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v0.4: </w:t>
      </w:r>
      <w:r>
        <w:rPr>
          <w:rFonts w:ascii="Calibri" w:cs="Calibri" w:eastAsia="Calibri" w:hAnsi="Calibri"/>
          <w:sz w:val="22"/>
          <w:szCs w:val="22"/>
        </w:rPr>
        <w:t xml:space="preserve">one correction, and the phase it implies. §3.9 claimed the review process was already shared across record types and needed protecting rather than building. Checked against the code, it is not. The stage sequence and the committee sign-off routing are shared; the seven-stage review itself has a single implementation and it belongs to models — an ML Application and an AI System each carry a sign-off endpoint and no review at all. §3.9 now says so, and §13 gains the phase that generalises it, placed ahead of the AI System lifecycle work that depends on it. Nothing else in v0.4 changes.</w:t>
      </w:r>
    </w:p>
    <w:p>
      <w:pPr>
        <w:spacing w:after="160" w:line="276"/>
      </w:pPr>
      <w:r>
        <w:rPr>
          <w:rFonts w:ascii="Calibri" w:cs="Calibri" w:eastAsia="Calibri" w:hAnsi="Calibri"/>
          <w:b/>
          <w:bCs/>
          <w:sz w:val="22"/>
          <w:szCs w:val="22"/>
        </w:rPr>
        <w:t xml:space="preserve">What changed from v0.3: </w:t>
      </w:r>
      <w:r>
        <w:rPr>
          <w:rFonts w:ascii="Calibri" w:cs="Calibri" w:eastAsia="Calibri" w:hAnsi="Calibri"/>
          <w:sz w:val="22"/>
          <w:szCs w:val="22"/>
        </w:rPr>
        <w:t xml:space="preserve">v0.3 was written as though the module were greenfield. It is not. ModelRisk already carries an AI System record type, an ML Application record type, model chain lineage, a FINOS risk catalogue held as configuration, and committee routing written once and adapted per record type. v0.4 is re-baselined against that code rather than against an imagined starting point, and three consequences run through the document. Classification is carried by the record type, not by a model_class field on a shared record (§2). Two pieces of Part A that v0.3 described as existing — the mechanically-verifiable monitoring library (§3.6) and the change-classification engine (§3.5) — do not exist in the platform and are new build; where v0.3 said “already uses this today” it was describing Moody's process, not platform capability, and Part B's claim to be unchanged rested on that sentence. And the phase plan (§13) now states what is built before stating what each phase adds.</w:t>
      </w:r>
    </w:p>
    <w:p>
      <w:pPr>
        <w:spacing w:after="160" w:line="276"/>
      </w:pPr>
      <w:r>
        <w:rPr>
          <w:rFonts w:ascii="Calibri" w:cs="Calibri" w:eastAsia="Calibri" w:hAnsi="Calibri"/>
          <w:sz w:val="22"/>
          <w:szCs w:val="22"/>
        </w:rPr>
        <w:t xml:space="preserve">Two sections are new. §3.8 sets out the question library — common questions authored once under an AI/ML Apps grouping, with ML-specific and AI-specific sets beneath, composed onto a record at registration. §3.9 states that the review process is one process across models, ML Apps and AI Systems, and that the reviewer's role is what that sameness protects. Both follow the governing principle this revision makes explicit: the two workflows stay separate, and what they share is utilities, not a merged process.</w:t>
      </w:r>
    </w:p>
    <w:p>
      <w:pPr>
        <w:spacing w:after="160" w:line="276"/>
      </w:pPr>
      <w:r>
        <w:rPr>
          <w:rFonts w:ascii="Calibri" w:cs="Calibri" w:eastAsia="Calibri" w:hAnsi="Calibri"/>
          <w:sz w:val="22"/>
          <w:szCs w:val="22"/>
        </w:rPr>
        <w:t xml:space="preserve">Two contradictions inherited from v0.2 are also resolved. §6 no longer makes the shared change taxonomy optional for ML Apps when §3.5 and §12 make it mandatory, and the failure-mode register (§9.4) no longer implies a second control register standing alongside the FINOS document-evidencing design.</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record types that separate them, and the platform utilities both rely on. They are two processes, not one process with a switch in it — what is shared is factored out as a utility and used by each, which is a different thing from a workflow that tries to serve both. Parts B and C then cover what each does differently. The build location is now decided — open-source ModelRisk core, forked into Moody's ModelOne — and §4 sets out what that decision requires of the architecture. Where a section below describes infrastructure as existing, it means existing in ModelRisk at the version this document is baselined against; §13 says what that is.</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has to be structural rather than a judgment call recorded in a column, and in ModelRisk it already is. The platform keeps separate record types — Model, ML Application, AI System, Product — each with its own commands, projection, field specification and screens. An AI System record cannot be created without naming a foundation model the institution has approved; a Model record has nowhere to put one.</w:t>
      </w:r>
    </w:p>
    <w:p>
      <w:pPr>
        <w:spacing w:after="160" w:line="276"/>
      </w:pPr>
      <w:r>
        <w:rPr>
          <w:rFonts w:ascii="Calibri" w:cs="Calibri" w:eastAsia="Calibri" w:hAnsi="Calibri"/>
          <w:sz w:val="22"/>
          <w:szCs w:val="22"/>
        </w:rPr>
        <w:t xml:space="preserve">The boundary is therefore the register a record lives in. A misclassification is not a wrong value in a field but a record in the wrong register — which every screen, completeness probe and coverage report already distinguishes, and which no one can produce by mis-clicking a dropdown.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800"/>
      </w:tblGrid>
      <w:tr>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Carrier</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48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record type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Model · ML Application · AI System</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and what an exam response or coverage report filters on first. Part B governs the Model and ML Application types; Part C governs the AI System type. Product is a packaging record and is out of scope for this document.</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deployment_pattern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Direct prompting · Retrieval-augmented (RAG) · Fine-tuned · Agentic (tool-using) · Multi-agent</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Already on the AI System record. Generative-versus-agentic is derived from this, not stored beside it: the last two values are the agentic set. Drives which FINOS risks and which of Moody's nine concepts apply.</w:t>
            </w:r>
          </w:p>
        </w:tc>
      </w:tr>
    </w:tbl>
    <w:p>
      <w:pPr>
        <w:spacing w:after="160" w:line="276"/>
      </w:pPr>
      <w:r>
        <w:rPr>
          <w:rFonts w:ascii="Calibri" w:cs="Calibri" w:eastAsia="Calibri" w:hAnsi="Calibri"/>
          <w:sz w:val="22"/>
          <w:szCs w:val="22"/>
        </w:rPr>
        <w:t xml:space="preserve">v0.3 proposed a model_class enum and a separate ai_system_type field on one shared record. Both are now redundant, and both would be actively harmful. model_class would duplicate the record type, and a duplicated fact is a fact that can disagree with itself. ai_system_type would duplicate deployment_pattern, which exists precisely so that “is anything in the estate agentic” is a query rather than a reading exercise — adding a second field asserting the same thing invites a record marked GENERATIVE whose deployment pattern is Multi-agent, with no rule saying which of the two the FINOS security cluster should believe. Where a report wants a single coarse label, it should derive one from deployment_pattern at read time and store nothing.</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ML Application record, governed entirely through the ML Apps workflow (Part B); the agentic system's model chain lineage (§3.4) simply carries a reference to it as an upstream dependency. Classification stays per-record; composition is handled where the platform already handles dependency chains, in the existing model chain module.</w:t>
      </w:r>
    </w:p>
    <w:p>
      <w:pPr>
        <w:pStyle w:val="Heading1"/>
        <w:spacing w:after="160" w:before="360"/>
      </w:pPr>
      <w:r>
        <w:t xml:space="preserve">3. Shared Utilities (Core Package)</w:t>
      </w:r>
    </w:p>
    <w:p>
      <w:pPr>
        <w:spacing w:after="160" w:line="276"/>
      </w:pPr>
      <w:r>
        <w:rPr>
          <w:rFonts w:ascii="Calibri" w:cs="Calibri" w:eastAsia="Calibri" w:hAnsi="Calibri"/>
          <w:sz w:val="22"/>
          <w:szCs w:val="22"/>
        </w:rPr>
        <w:t xml:space="preserve">Everything below is used by both workflows without modification, as a utility each calls rather than as a process either belongs to. Nothing in Part B or Part C should reimplement any of it. Each subsection now says whether it exists in ModelRisk today or is new build, because v0.3 did not distinguish the two and the difference accounts for most of the Phase 0 estimate.</w:t>
      </w:r>
    </w:p>
    <w:p>
      <w:pPr>
        <w:pStyle w:val="Heading2"/>
        <w:spacing w:after="120" w:before="280"/>
      </w:pPr>
      <w:r>
        <w:t xml:space="preserve">3.1 Model inventory and classification</w:t>
      </w:r>
    </w:p>
    <w:p>
      <w:pPr>
        <w:spacing w:after="160" w:line="276"/>
      </w:pPr>
      <w:r>
        <w:rPr>
          <w:rFonts w:ascii="Calibri" w:cs="Calibri" w:eastAsia="Calibri" w:hAnsi="Calibri"/>
          <w:b/>
          <w:bCs/>
          <w:sz w:val="22"/>
          <w:szCs w:val="22"/>
        </w:rPr>
        <w:t xml:space="preserve">Exists. </w:t>
      </w:r>
      <w:r>
        <w:rPr>
          <w:rFonts w:ascii="Calibri" w:cs="Calibri" w:eastAsia="Calibri" w:hAnsi="Calibri"/>
          <w:sz w:val="22"/>
          <w:szCs w:val="22"/>
        </w:rPr>
        <w:t xml:space="preserve">The record types from §2 already share a classification vocabulary: tier, materiality, complexity and their rationales are named identically on the Model, ML Application and AI System records. That naming is what lets one completeness probe or one coverage report count across all three without special-casing any of them, and it is the reason a shared field for the class itself would add nothing.</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Exists. 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b/>
          <w:bCs/>
          <w:sz w:val="22"/>
          <w:szCs w:val="22"/>
        </w:rPr>
        <w:t xml:space="preserve">Exists; routing inputs to extend. </w:t>
      </w:r>
      <w:r>
        <w:rPr>
          <w:rFonts w:ascii="Calibri" w:cs="Calibri" w:eastAsia="Calibri" w:hAnsi="Calibri"/>
          <w:sz w:val="22"/>
          <w:szCs w:val="22"/>
        </w:rPr>
        <w:t xml:space="preserve">Both classes route through the existing Company MRC / division MRC structure, and the routing is already written once and adapted per record type rather than copied — model, product, handoff, ML Application and AI System all travel the same committee machinery through a per-record adapter. An AI System's rating is proposed by its owner and does not move until the committee approves it, exactly as a model's does. What this spec adds is record type and, for AI Systems, deployment pattern and risk tier as further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Exists; node types to extend. Lineage nodes can now be MODEL, ML_APPLICATION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b/>
          <w:bCs/>
          <w:sz w:val="22"/>
          <w:szCs w:val="22"/>
        </w:rPr>
        <w:t xml:space="preserve">New build. </w:t>
      </w:r>
      <w:r>
        <w:rPr>
          <w:rFonts w:ascii="Calibri" w:cs="Calibri" w:eastAsia="Calibri" w:hAnsi="Calibri"/>
          <w:sz w:val="22"/>
          <w:szCs w:val="22"/>
        </w:rPr>
        <w:t xml:space="preserve">Moody's four-tier change taxonomy — Administrative, Bounded, Measurement, Material — becomes a shared engine. v0.3 described this as “generalised” from something already in place; nothing of the kind exists in ModelRisk, which today records a change as an event against a record and expresses materiality through review status, validation status and recertification rather than through a change class. Building it is Phase 0 work and should be estimated as such.</w:t>
      </w:r>
    </w:p>
    <w:p>
      <w:pPr>
        <w:spacing w:after="160" w:line="276"/>
      </w:pPr>
      <w:r>
        <w:rPr>
          <w:rFonts w:ascii="Calibri" w:cs="Calibri" w:eastAsia="Calibri" w:hAnsi="Calibri"/>
          <w:sz w:val="22"/>
          <w:szCs w:val="22"/>
        </w:rPr>
        <w:t xml:space="preserve">Both workflows then classify every proposed change through the same engine, with the revalidation depth each tier calls for interpreted per workflow — a Material change to an ML App triggers the existing validation-pack refresh; a Material change to an AI System triggers re-baselining per §9.5. ML Apps adopt it in full, replacing their existing change-management triggers rather than running alongside them (§12).</w:t>
      </w:r>
    </w:p>
    <w:p>
      <w:pPr>
        <w:pStyle w:val="Heading2"/>
        <w:spacing w:after="120" w:before="280"/>
      </w:pPr>
      <w:r>
        <w:t xml:space="preserve">3.6 Mechanically-verifiable-field monitoring library</w:t>
      </w:r>
    </w:p>
    <w:p>
      <w:pPr>
        <w:spacing w:after="160" w:line="276"/>
      </w:pPr>
      <w:r>
        <w:rPr>
          <w:rFonts w:ascii="Calibri" w:cs="Calibri" w:eastAsia="Calibri" w:hAnsi="Calibri"/>
          <w:b/>
          <w:bCs/>
          <w:sz w:val="22"/>
          <w:szCs w:val="22"/>
        </w:rPr>
        <w:t xml:space="preserve">New build, and the largest single item in Phase 0. </w:t>
      </w:r>
      <w:r>
        <w:rPr>
          <w:rFonts w:ascii="Calibri" w:cs="Calibri" w:eastAsia="Calibri" w:hAnsi="Calibri"/>
          <w:sz w:val="22"/>
          <w:szCs w:val="22"/>
        </w:rPr>
        <w:t xml:space="preserve">Numeric, categorical and ordinal output fields should be monitored the same way regardless of what produced them: backtesting against realised outcomes, distribution and transition-matrix monitoring, rank correlation, population stability index.</w:t>
      </w:r>
    </w:p>
    <w:p>
      <w:pPr>
        <w:spacing w:after="160" w:line="276"/>
      </w:pPr>
      <w:r>
        <w:rPr>
          <w:rFonts w:ascii="Calibri" w:cs="Calibri" w:eastAsia="Calibri" w:hAnsi="Calibri"/>
          <w:sz w:val="22"/>
          <w:szCs w:val="22"/>
        </w:rPr>
        <w:t xml:space="preserve">v0.3 said “ML Apps already uses this today”, and both Part B's claim to be unchanged and §9.3's claim to reuse an identical library rested on that sentence. It is not true of the platform. ModelRisk's monitoring module produces an Ongoing Monitoring Report — one model's monitoring position, its stated approach, its dates and its RAG status — and computes none of these statistics. The techniques are Moody's existing practice; they are not yet shared infrastructure that Part C can pick up. Whoever estimates Phase 0 should read this subsection as a build, not as a wiring exercise.</w:t>
      </w:r>
    </w:p>
    <w:p>
      <w:pPr>
        <w:spacing w:after="160" w:line="276"/>
      </w:pPr>
      <w:r>
        <w:rPr>
          <w:rFonts w:ascii="Calibri" w:cs="Calibri" w:eastAsia="Calibri" w:hAnsi="Calibri"/>
          <w:sz w:val="22"/>
          <w:szCs w:val="22"/>
        </w:rPr>
        <w:t xml:space="preserve">Once it exists, AI Systems reuse it for their mechanically-verifiable output fields (per Moody's Table 2) rather than growing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b/>
          <w:bCs/>
          <w:sz w:val="22"/>
          <w:szCs w:val="22"/>
        </w:rPr>
        <w:t xml:space="preserve">Partly exists. </w:t>
      </w:r>
      <w:r>
        <w:rPr>
          <w:rFonts w:ascii="Calibri" w:cs="Calibri" w:eastAsia="Calibri" w:hAnsi="Calibri"/>
          <w:sz w:val="22"/>
          <w:szCs w:val="22"/>
        </w:rPr>
        <w:t xml:space="preserve">A generic engine that accepts any risk taxonomy as configuration. ModelRisk already carries the FINOS AIGF catalogue this way and evidences its mitigations from documents tagged against a record; the same mechanism serves ISO 31000 / COSO clause coverage. What is missing is the SR 11-7 / SR 26-2 validation criteria as a second data set for ML Apps. One engine, two data sets — not two engines, and not a second evidencing mechanism (§9.4).</w:t>
      </w:r>
    </w:p>
    <w:p>
      <w:pPr>
        <w:pStyle w:val="Heading2"/>
        <w:spacing w:after="120" w:before="280"/>
      </w:pPr>
      <w:r>
        <w:t xml:space="preserve">3.8 Question library: common questions once, specific questions per workflow</w:t>
      </w:r>
    </w:p>
    <w:p>
      <w:pPr>
        <w:spacing w:after="160" w:line="276"/>
      </w:pPr>
      <w:r>
        <w:rPr>
          <w:rFonts w:ascii="Calibri" w:cs="Calibri" w:eastAsia="Calibri" w:hAnsi="Calibri"/>
          <w:sz w:val="22"/>
          <w:szCs w:val="22"/>
        </w:rPr>
        <w:t xml:space="preserve">ML Apps and AI Systems are two processes, not one process with a switch in it. What they share is factored out and called by each; it is not a merged workflow that tries to serve both. The questionnaire is the clearest case, because today it is the least shared thing in the platform and parts of it are maintained twice.</w:t>
      </w:r>
    </w:p>
    <w:p>
      <w:pPr>
        <w:spacing w:after="160" w:line="276"/>
      </w:pPr>
      <w:r>
        <w:rPr>
          <w:rFonts w:ascii="Calibri" w:cs="Calibri" w:eastAsia="Calibri" w:hAnsi="Calibri"/>
          <w:sz w:val="22"/>
          <w:szCs w:val="22"/>
        </w:rPr>
        <w:t xml:space="preserve">Admin currently carries three unrelated question lists — review questions for a model, ML Application questions, and AI System questions — each authored and seeded independently, and each copied onto a record as its own snapshot at registration. That separation is mostly right, and deliberately so: not one of the ML questions is answerable about a foundation model nobody in the firm trained, and the AI set is written against the FINOS catalogue so that answering it is what moves those rows.</w:t>
      </w:r>
    </w:p>
    <w:p>
      <w:pPr>
        <w:spacing w:after="160" w:line="276"/>
      </w:pPr>
      <w:r>
        <w:rPr>
          <w:rFonts w:ascii="Calibri" w:cs="Calibri" w:eastAsia="Calibri" w:hAnsi="Calibri"/>
          <w:sz w:val="22"/>
          <w:szCs w:val="22"/>
        </w:rPr>
        <w:t xml:space="preserve">But a handful of questions are the same question, kept in two places. Use Case is asked of both — “What decision does this model inform, and what is it explicitly not to be used for?” against “What decision or task does this system support, and what is it explicitly not to be used for?” — and so is Explainability. Those are not two questions that happen to resemble each other. They are one question whose wording has already drifted, which is what duplication does before anyone notices it has happened.</w:t>
      </w:r>
    </w:p>
    <w:p>
      <w:pPr>
        <w:spacing w:after="160" w:line="276"/>
      </w:pPr>
      <w:r>
        <w:rPr>
          <w:rFonts w:ascii="Calibri" w:cs="Calibri" w:eastAsia="Calibri" w:hAnsi="Calibri"/>
          <w:sz w:val="22"/>
          <w:szCs w:val="22"/>
        </w:rPr>
        <w:t xml:space="preserve">The structure is therefore three lists, not two and not 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5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List</w:t>
            </w:r>
          </w:p>
        </w:tc>
        <w:tc>
          <w:tcPr>
            <w:tcW w:type="dxa" w:w="2700"/>
            <w:shd w:fill="D9E2F3" w:val="clear"/>
            <w:tcMar>
              <w:top w:type="dxa" w:w="80"/>
              <w:left w:type="dxa" w:w="100"/>
              <w:bottom w:type="dxa" w:w="80"/>
              <w:right w:type="dxa" w:w="100"/>
            </w:tcMar>
          </w:tcPr>
          <w:p>
            <w:r>
              <w:rPr>
                <w:rFonts w:ascii="Calibri" w:cs="Calibri" w:eastAsia="Calibri" w:hAnsi="Calibri"/>
                <w:b/>
                <w:bCs/>
                <w:sz w:val="20"/>
                <w:szCs w:val="20"/>
              </w:rPr>
              <w:t xml:space="preserve">Where it sits in Admin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What it holds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Common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Under an AI/ML Apps grouping, above both</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What is asked of any application of a model, generative or not: use case and exclusions, explainability to an affected person, human oversight, who could be disadvantaged and how you would know, and what would show it had stopped working. Authored once.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ML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the firm fitted the thing: training data and its representativeness, data leakage, out-of-sample performance, benchmarking against a simple baseline, overfitting and stability.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AI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it did not: model provenance, data egress and its contractual basis, grounding, hallucination exposure, determinism, prompt and input integrity, agency and authority, regulatory classification.</w:t>
            </w:r>
          </w:p>
        </w:tc>
      </w:tr>
    </w:tbl>
    <w:p>
      <w:pPr>
        <w:spacing w:after="160" w:line="276"/>
      </w:pPr>
      <w:r>
        <w:rPr>
          <w:rFonts w:ascii="Calibri" w:cs="Calibri" w:eastAsia="Calibri" w:hAnsi="Calibri"/>
          <w:b/>
          <w:bCs/>
          <w:sz w:val="22"/>
          <w:szCs w:val="22"/>
        </w:rPr>
        <w:t xml:space="preserve">Composition happens at registration, not at display. </w:t>
      </w:r>
      <w:r>
        <w:rPr>
          <w:rFonts w:ascii="Calibri" w:cs="Calibri" w:eastAsia="Calibri" w:hAnsi="Calibri"/>
          <w:sz w:val="22"/>
          <w:szCs w:val="22"/>
        </w:rPr>
        <w:t xml:space="preserve">A record's questionnaire is still one flat snapshot on the record — the common questions followed by its own — so nothing downstream needs to know the list was assembled from two sources. Review, the completeness probes and the sign-off pack all read what they read today. This preserves the copy-at-registration semantics all three lists already have, and it means editing a common question changes what future records are asked without rewriting the questionnaire of any record already under review.</w:t>
      </w:r>
    </w:p>
    <w:p>
      <w:pPr>
        <w:spacing w:after="160" w:line="276"/>
      </w:pPr>
      <w:r>
        <w:rPr>
          <w:rFonts w:ascii="Calibri" w:cs="Calibri" w:eastAsia="Calibri" w:hAnsi="Calibri"/>
          <w:sz w:val="22"/>
          <w:szCs w:val="22"/>
        </w:rPr>
        <w:t xml:space="preserve">One consequence to plan for: moving a question into the common list is a content migration, not only a configuration change. Records registered before the move keep the wording they were registered with, which is the correct behaviour — a review answers the question it was actually asked — but it means the common list should be settled before Phase 1 seeds anything, rather than being tidied afterwards.</w:t>
      </w:r>
    </w:p>
    <w:p>
      <w:pPr>
        <w:pStyle w:val="Heading2"/>
        <w:spacing w:after="120" w:before="280"/>
      </w:pPr>
      <w:r>
        <w:t xml:space="preserve">3.9 One review process; the reviewer's role is the constant</w:t>
      </w:r>
    </w:p>
    <w:p>
      <w:pPr>
        <w:spacing w:after="160" w:line="276"/>
      </w:pPr>
      <w:r>
        <w:rPr>
          <w:rFonts w:ascii="Calibri" w:cs="Calibri" w:eastAsia="Calibri" w:hAnsi="Calibri"/>
          <w:sz w:val="22"/>
          <w:szCs w:val="22"/>
        </w:rPr>
        <w:t xml:space="preserve">The review of an ML App or an AI System looks and behaves like a model review. This is not a styling preference — it is what makes the reviewer's role portable, and the role is the point. A reviewer who has done a model review should be able to review an AI System without learning a second screen or a second vocabulary, because what is being asked of them is the same thing: read the evidence, challenge it, and put a name to the conclusion.</w:t>
      </w:r>
    </w:p>
    <w:p>
      <w:pPr>
        <w:spacing w:after="160" w:line="276"/>
      </w:pPr>
      <w:r>
        <w:rPr>
          <w:rFonts w:ascii="Calibri" w:cs="Calibri" w:eastAsia="Calibri" w:hAnsi="Calibri"/>
          <w:b/>
          <w:bCs/>
          <w:sz w:val="22"/>
          <w:szCs w:val="22"/>
        </w:rPr>
        <w:t xml:space="preserve">Partly exists — and less of it than v0.4 claimed. </w:t>
      </w:r>
      <w:r>
        <w:rPr>
          <w:rFonts w:ascii="Calibri" w:cs="Calibri" w:eastAsia="Calibri" w:hAnsi="Calibri"/>
          <w:sz w:val="22"/>
          <w:szCs w:val="22"/>
        </w:rPr>
        <w:t xml:space="preserve">Three things are genuinely shared. The stage sequence is a single list in configuration — preliminary documents, assumptions, questions, weaknesses, limitations of use, monitoring approach, remediation. The committee routing is written once and adapted per record type, carrying model, product, handoff, ML Application and AI System through the same sign-off path (§3.3). And the independence rule holds across all of them: the reviewer is named from Admin &gt; People, and a record whose reviewer is its owner is a completeness finding on every record type equally.</w:t>
      </w:r>
    </w:p>
    <w:p>
      <w:pPr>
        <w:spacing w:after="160" w:line="276"/>
      </w:pPr>
      <w:r>
        <w:rPr>
          <w:rFonts w:ascii="Calibri" w:cs="Calibri" w:eastAsia="Calibri" w:hAnsi="Calibri"/>
          <w:sz w:val="22"/>
          <w:szCs w:val="22"/>
        </w:rPr>
        <w:t xml:space="preserve">What is not shared is the review itself. The seven stages have exactly one implementation and it belongs to models. An ML Application and an AI System each have a sign-off endpoint and nothing more: no screen on which either is taken through the stages, no per-stage notes, no per-stage sign-off. v0.4 said this “already holds and needs protecting rather than building”. That was wrong. The configuration is shared; the workflow is not; and a reviewer's role is portable only as far as there is a screen to carry it.</w:t>
      </w:r>
    </w:p>
    <w:p>
      <w:pPr>
        <w:spacing w:after="160" w:line="276"/>
      </w:pPr>
      <w:r>
        <w:rPr>
          <w:rFonts w:ascii="Calibri" w:cs="Calibri" w:eastAsia="Calibri" w:hAnsi="Calibri"/>
          <w:sz w:val="22"/>
          <w:szCs w:val="22"/>
        </w:rPr>
        <w:t xml:space="preserve">Generalising it is therefore a phase of work in its own right, and it belongs before the AI System lifecycle surfaces in §9. Building those first would grow a second review implementation to be reconciled with the first afterwards — the precise outcome this part's “a utility, not a second copy” argument exists to prevent. The shape to follow is the one the sign-off path already demonstrates: extract the stage machinery behind a per-record adapter, leave the model review behaving identically — its existing tests passing unchanged is what proves an extraction rather than a rewrite — and then add the two thin adapters.</w:t>
      </w:r>
    </w:p>
    <w:p>
      <w:pPr>
        <w:spacing w:after="160" w:line="276"/>
      </w:pPr>
      <w:r>
        <w:rPr>
          <w:rFonts w:ascii="Calibri" w:cs="Calibri" w:eastAsia="Calibri" w:hAnsi="Calibri"/>
          <w:sz w:val="22"/>
          <w:szCs w:val="22"/>
        </w:rPr>
        <w:t xml:space="preserve">Three things follow, and they constrain Parts B and C as those grow:</w:t>
      </w:r>
    </w:p>
    <w:p>
      <w:pPr>
        <w:pStyle w:val="ListParagraph"/>
        <w:numPr>
          <w:ilvl w:val="0"/>
          <w:numId w:val="2"/>
        </w:numPr>
        <w:spacing w:after="80" w:line="276"/>
      </w:pPr>
      <w:r>
        <w:rPr>
          <w:rFonts w:ascii="Calibri" w:cs="Calibri" w:eastAsia="Calibri" w:hAnsi="Calibri"/>
          <w:sz w:val="22"/>
          <w:szCs w:val="22"/>
        </w:rPr>
        <w:t xml:space="preserve">The stage sequence does not fork. An AI System's Establish Baseline (§9.2) and Operate &amp; Measure (§9.3) are lifecycle phases, not review stages: they produce evidence that the questions stage reads. Neither adds an eighth stage, and no record type gets a stage the others lack.</w:t>
      </w:r>
    </w:p>
    <w:p>
      <w:pPr>
        <w:pStyle w:val="ListParagraph"/>
        <w:numPr>
          <w:ilvl w:val="0"/>
          <w:numId w:val="2"/>
        </w:numPr>
        <w:spacing w:after="80" w:line="276"/>
      </w:pPr>
      <w:r>
        <w:rPr>
          <w:rFonts w:ascii="Calibri" w:cs="Calibri" w:eastAsia="Calibri" w:hAnsi="Calibri"/>
          <w:sz w:val="22"/>
          <w:szCs w:val="22"/>
        </w:rPr>
        <w:t xml:space="preserve">The reviewer is a role, not a record type. The same person, the same independence check, and the same challenge thread — which is evidence, and therefore append-only — regardless of what is under review.</w:t>
      </w:r>
    </w:p>
    <w:p>
      <w:pPr>
        <w:pStyle w:val="ListParagraph"/>
        <w:numPr>
          <w:ilvl w:val="0"/>
          <w:numId w:val="2"/>
        </w:numPr>
        <w:spacing w:after="80" w:line="276"/>
      </w:pPr>
      <w:r>
        <w:rPr>
          <w:rFonts w:ascii="Calibri" w:cs="Calibri" w:eastAsia="Calibri" w:hAnsi="Calibri"/>
          <w:sz w:val="22"/>
          <w:szCs w:val="22"/>
        </w:rPr>
        <w:t xml:space="preserve">The questions stage is the only per-type variation, and its label has to follow the record rather than be fixed. It reads “the nine questions” today because that is what a model is asked; with a composed questionnaire (§3.8) the count differs by record type, so the label should derive from the questionnaire the record actually carries.</w:t>
      </w:r>
    </w:p>
    <w:p>
      <w:pPr>
        <w:spacing w:after="160" w:line="276"/>
      </w:pPr>
      <w:r>
        <w:rPr>
          <w:rFonts w:ascii="Calibri" w:cs="Calibri" w:eastAsia="Calibri" w:hAnsi="Calibri"/>
          <w:sz w:val="22"/>
          <w:szCs w:val="22"/>
        </w:rPr>
        <w:t xml:space="preserve">Where an AI System needs something a model review has no equivalent of — a variability envelope to judge a trigger against, a trajectory score — it enters through the evidence a stage reads, not through a new stage. The reviewer sees a familiar shape with unfamiliar content in it, which is the right way round.</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 One practical note: the constraint is enforceable rather than aspirational. ModelRisk's own coding rules already gate it — parameters live in the config package and never hardcoded in source (R1), with the theme rule (R10) as the worked precedent for pushing a whole category of divergence into configuration and then auditing it. Anything this document identifies as deployment-varying should be added to that audit as it is built, so the fork's configuration boundary is checked mechanically on every commit rather than at review time.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the wiring into the shared utilities in Part A — classification, lineage and the shared event log — plus three changes that are more than wiring and should not be described as such: ML Apps adopt the shared change taxonomy in place of their existing triggers (§3.5, §12); the monitoring library that Part B's “unchanged” rests on has to be built before anything can be wired to it (§3.6); and the questions common to both workflows move into the shared list, leaving the ML-specific set behind (§3.8).</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 Runs through the same review process and reviewer role as every other record type once that review is generalised (§3.9); today the seven-stage review is implemented for models only.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 PSI, backtesting, transition-matrix monitoring against the model's existing monitoring reports. That library is Phase 0 build, not an existing dependency; until it lands this stage is unchanged from today.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change-classification engine (§3.5) in full, replacing the existing SR 11-7 / SR 26-2–aligned triggers rather than running alongside them. v0.3's table made this optional and so contradicted its own §3.5 and §12; it is mandatory.</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which this phase depends on and which does not exist yet;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whose entries are identified by a FINOS risk/mitigation pair,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The register does not carry its own mitigation status. ModelRisk's FINOS work already answers “is this mitigation in place” from documents tagged against the record, and a status column here would be a second control register answering the same question from a different source — which is how two registers come to disagree and neither is trusted afterwards. A failure-mode entry therefore holds only what is specific to it: the risk and mitigation identifiers, the trigger that detects the failure, and the fallback state to enter when it fires. Whether the mitigation is evidenced is resolved at read time from the tagged documents, exactly as the FINOS coverage view resolves it now.</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 ModelRisk today treats a judge as an assessment kind — LLM-as-a-judge is one of the values an assessment can take, and a recorded judge evaluation is what the completeness framework reads as testing evidence. That evidence model is right and stays. What changes is that the assessment names the judge's own record rather than describing it in prose, so the dependency becomes a lineage edge instead of a sentence.</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 Classification is the record type. There is no model_class field:</w:t>
      </w:r>
    </w:p>
    <w:p>
      <w:pPr>
        <w:spacing w:after="0" w:line="260"/>
      </w:pPr>
      <w:r>
        <w:rPr>
          <w:rFonts w:ascii="Consolas" w:cs="Consolas" w:eastAsia="Consolas" w:hAnsi="Consolas"/>
          <w:sz w:val="18"/>
          <w:szCs w:val="18"/>
        </w:rPr>
        <w:t xml:space="preserve"># Model, MLApplication and AISystem are separate records that share</w:t>
      </w:r>
    </w:p>
    <w:p>
      <w:pPr>
        <w:spacing w:after="0" w:line="260"/>
      </w:pPr>
      <w:r>
        <w:rPr>
          <w:rFonts w:ascii="Consolas" w:cs="Consolas" w:eastAsia="Consolas" w:hAnsi="Consolas"/>
          <w:sz w:val="18"/>
          <w:szCs w:val="18"/>
        </w:rPr>
        <w:t xml:space="preserve"># these field names, which is what lets one probe count across all three.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SharedClassification:      # named identically on all three records</w:t>
      </w:r>
    </w:p>
    <w:p>
      <w:pPr>
        <w:spacing w:after="0" w:line="260"/>
      </w:pPr>
      <w:r>
        <w:rPr>
          <w:rFonts w:ascii="Consolas" w:cs="Consolas" w:eastAsia="Consolas" w:hAnsi="Consolas"/>
          <w:sz w:val="18"/>
          <w:szCs w:val="18"/>
        </w:rPr>
        <w:t xml:space="preserve">    tier: str</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record_id: str</w:t>
      </w:r>
    </w:p>
    <w:p>
      <w:pPr>
        <w:spacing w:after="0" w:line="260"/>
      </w:pPr>
      <w:r>
        <w:rPr>
          <w:rFonts w:ascii="Consolas" w:cs="Consolas" w:eastAsia="Consolas" w:hAnsi="Consolas"/>
          <w:sz w:val="18"/>
          <w:szCs w:val="18"/>
        </w:rPr>
        <w:t xml:space="preserve">    node_type: str               # MODEL | ML_APPLICATION | AI_SYSTEM</w:t>
      </w:r>
    </w:p>
    <w:p>
      <w:pPr>
        <w:spacing w:after="0" w:line="260"/>
      </w:pPr>
      <w:r>
        <w:rPr>
          <w:rFonts w:ascii="Consolas" w:cs="Consolas" w:eastAsia="Consolas" w:hAnsi="Consolas"/>
          <w:sz w:val="18"/>
          <w:szCs w:val="18"/>
        </w:rPr>
        <w:t xml:space="preserve">                                 #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ChangeRecord:              # new build, see 3.5</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QuestionList:              # see 3.8</w:t>
      </w:r>
    </w:p>
    <w:p>
      <w:pPr>
        <w:spacing w:after="0" w:line="260"/>
      </w:pPr>
      <w:r>
        <w:rPr>
          <w:rFonts w:ascii="Consolas" w:cs="Consolas" w:eastAsia="Consolas" w:hAnsi="Consolas"/>
          <w:sz w:val="18"/>
          <w:szCs w:val="18"/>
        </w:rPr>
        <w:t xml:space="preserve">    scope: str                   # COMMON | ML_APP | AI_SYSTEM</w:t>
      </w:r>
    </w:p>
    <w:p>
      <w:pPr>
        <w:spacing w:after="0" w:line="260"/>
      </w:pPr>
      <w:r>
        <w:rPr>
          <w:rFonts w:ascii="Consolas" w:cs="Consolas" w:eastAsia="Consolas" w:hAnsi="Consolas"/>
          <w:sz w:val="18"/>
          <w:szCs w:val="18"/>
        </w:rPr>
        <w:t xml:space="preserve">    questions: list[Question]    # COMMON + own scope, composed at registration</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 no mitigation_status -- resolved from tagged documents (§9.4)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 mitigation_status is derived, not stored (§9.4)</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were resolved in v0.3. v0.4 adds four more, three of which arose from baselining this document against the code and one from the requirement that the two workflows stay separate while their common parts become utilities. All are written into the relevant sections above; this log records what was decided and where it lives, so the reasoning doesn't have to be reconstructed later.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9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Classification carrier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record type, not a model_class field; generative versus agentic is derived from deployment_pattern rather than stored a second time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Part A build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monitoring library and the change-classification engine are new build, not existing infrastructure; v0.3 described both as already in place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§3.6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Question library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Common questions authored once under an AI/ML Apps grouping, with ML-specific and AI-specific lists beneath, composed onto the record at registration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§3.8</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Mitigation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 source of truth: the failure-mode register holds trigger and fallback only, and mitigation status resolves from tagged documents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Review generalisation (v0.5)</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Its own phase, before the AI System lifecycle work. The stage machinery is extracted behind a per-record adapter, not reimplemented per record type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§3.9, §13</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p>
      <w:pPr>
        <w:spacing w:after="160" w:line="276"/>
      </w:pPr>
      <w:r>
        <w:rPr>
          <w:rFonts w:ascii="Calibri" w:cs="Calibri" w:eastAsia="Calibri" w:hAnsi="Calibri"/>
          <w:sz w:val="22"/>
          <w:szCs w:val="22"/>
        </w:rPr>
        <w:t xml:space="preserve">Baselined against ModelRisk as it stands, not against a blank sheet. Already built, and therefore in no phase below: the AI System record type, carrying foundation model, pinned version, version policy, hosting, deployment pattern, data egress, EU AI Act class, human oversight, guardrails, grounding and output variability; the ML Application record type with its training and review-policy surfaces; model chain lineage; the immutable event log; MRC routing written once and adapted per record type; the FINOS risk catalogue as configuration with document-based mitigation evidencing; and the completeness audit that reads across record types. Not built, despite v0.4 implying otherwise: the seven-stage review for any record type other than a model (§3.9), which is why Phase 1R exists. Phase 0 is what remains of Part A — less than v0.3 implied in some places and considerably more in others.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8600"/>
      </w:tblGrid>
      <w:tr>
        <w:tc>
          <w:tcPr>
            <w:tcW w:type="dxa" w:w="11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6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What remains of the shared core (Part A): the change-classification engine (§3.5) and the mechanically-verifiable monitoring library (§3.6), both new build and the bulk of the phase; committee routing extended to take record type and deployment pattern; lineage node types extended for foundation models and MCP servers; the SR 11-7 / SR 26-2 criteria added as a second data set to the existing risk-mapping engine. Fully tested.</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to the shared core; migrate the existing change triggers onto the four-tier engine; extract the common questions into the shared list (§3.8) before anything further is seeded. The workflow itself is largely unchanged, but the last two are migrations, not wiring, and the question split has to settle first because records keep the wording they were registered with.</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1R</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Generalise the review workflow (§3.9). Extract the seven-stage machinery behind a per-record adapter, following the sign-off path's precedent, leaving the model review behaving identically; then add ML Application and AI System reviews on the same screen and the same stages, and derive the questions-stage label from the questionnaire the record carries. New in v0.5, and a prerequisite for Phases 3–5, each of which would otherwise grow a review of its own.</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 Blocked until the FINOS refresh cadence is decided — see Still open above, which is why that decision is worth taking early.</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 The configuration snapshot is partly present as current-value fields on the AI System record — model pin and version policy are there, sampling parameters are not — so this phase turns them into a versioned artifact rather than creating them. The variability envelope is new.</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 — identity, trigger and fallback only, with no status column of its own (§9.4).</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record type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p>
      <w:pPr>
        <w:spacing w:after="160" w:line="276"/>
      </w:pPr>
      <w:r>
        <w:rPr>
          <w:rFonts w:ascii="Calibri" w:cs="Calibri" w:eastAsia="Calibri" w:hAnsi="Calibri"/>
          <w:sz w:val="22"/>
          <w:szCs w:val="22"/>
        </w:rPr>
        <w:t xml:space="preserve">These citations are carried over from v0.3 and have not been checked against the issuing bodies' published texts. The SR 26-2 / OCC 2026-13 effective date, the SS1/23 update date and the AIGF version number should each be verified before this document goes outside MKM.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AI &amp; Agentic Model Governance Module — Unified Spec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2026-09-03T14:30:49.335Z</dcterms:created>
  <dcterms:modified xsi:type="dcterms:W3CDTF">2026-09-03T14:30:49.335Z</dcterms:modified>
</cp:coreProperties>
</file>

<file path=docProps/custom.xml><?xml version="1.0" encoding="utf-8"?>
<Properties xmlns="http://schemas.openxmlformats.org/officeDocument/2006/custom-properties" xmlns:vt="http://schemas.openxmlformats.org/officeDocument/2006/docPropsVTypes"/>
</file>