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A7A558" w14:textId="77777777" w:rsidR="00FB3BC8" w:rsidRDefault="00FB3BC8">
      <w:pPr>
        <w:pBdr>
          <w:bottom w:val="single" w:sz="24" w:space="1" w:color="4472C4"/>
        </w:pBdr>
        <w:spacing w:after="400"/>
      </w:pPr>
    </w:p>
    <w:p w14:paraId="257F030D" w14:textId="77777777" w:rsidR="00FB3BC8" w:rsidRDefault="00000000">
      <w:pPr>
        <w:spacing w:after="100"/>
      </w:pPr>
      <w:r>
        <w:rPr>
          <w:b/>
          <w:bCs/>
          <w:color w:val="6B76B5"/>
          <w:sz w:val="36"/>
          <w:szCs w:val="36"/>
        </w:rPr>
        <w:t>MOODY'S</w:t>
      </w:r>
    </w:p>
    <w:p w14:paraId="14A4DAA6" w14:textId="77777777" w:rsidR="00FB3BC8" w:rsidRDefault="00000000">
      <w:pPr>
        <w:spacing w:after="600"/>
      </w:pPr>
      <w:r>
        <w:rPr>
          <w:b/>
          <w:bCs/>
          <w:color w:val="6B76B5"/>
          <w:sz w:val="22"/>
          <w:szCs w:val="22"/>
        </w:rPr>
        <w:t>ANALYTICS</w:t>
      </w:r>
    </w:p>
    <w:p w14:paraId="1364CC61" w14:textId="77777777" w:rsidR="00FB3BC8" w:rsidRDefault="00000000">
      <w:pPr>
        <w:spacing w:after="400"/>
      </w:pPr>
      <w:r>
        <w:rPr>
          <w:b/>
          <w:bCs/>
          <w:color w:val="4472C4"/>
          <w:sz w:val="32"/>
          <w:szCs w:val="32"/>
        </w:rPr>
        <w:t>Model Risk Committee – Terms of Reference</w:t>
      </w:r>
    </w:p>
    <w:p w14:paraId="1D014FF3" w14:textId="77777777" w:rsidR="00FB3BC8" w:rsidRDefault="00FB3BC8">
      <w:pPr>
        <w:pBdr>
          <w:bottom w:val="single" w:sz="6" w:space="1" w:color="999999"/>
        </w:pBdr>
        <w:spacing w:after="300"/>
      </w:pPr>
    </w:p>
    <w:p w14:paraId="5664E548" w14:textId="77777777" w:rsidR="00FB3BC8" w:rsidRDefault="00000000">
      <w:pPr>
        <w:tabs>
          <w:tab w:val="left" w:pos="2304"/>
        </w:tabs>
        <w:spacing w:after="200"/>
      </w:pPr>
      <w:r>
        <w:t>Issued by:</w:t>
      </w:r>
      <w:r>
        <w:tab/>
        <w:t>Model Risk Committee (MRC)</w:t>
      </w:r>
    </w:p>
    <w:p w14:paraId="77BCEA59" w14:textId="77777777" w:rsidR="00FB3BC8" w:rsidRDefault="00000000">
      <w:pPr>
        <w:tabs>
          <w:tab w:val="left" w:pos="2304"/>
        </w:tabs>
        <w:spacing w:after="200"/>
      </w:pPr>
      <w:r>
        <w:t>Applicable to:</w:t>
      </w:r>
      <w:r>
        <w:tab/>
        <w:t>Model Risk Governance</w:t>
      </w:r>
    </w:p>
    <w:p w14:paraId="25774774" w14:textId="77777777" w:rsidR="00FB3BC8" w:rsidRDefault="00000000">
      <w:pPr>
        <w:tabs>
          <w:tab w:val="left" w:pos="2304"/>
        </w:tabs>
        <w:spacing w:after="200"/>
      </w:pPr>
      <w:r>
        <w:t>Scope:</w:t>
      </w:r>
      <w:r>
        <w:tab/>
        <w:t>Moody's Analytics Asset Management Division</w:t>
      </w:r>
    </w:p>
    <w:p w14:paraId="6BFCEF00" w14:textId="324877FB" w:rsidR="00FB3BC8" w:rsidRDefault="00000000">
      <w:pPr>
        <w:tabs>
          <w:tab w:val="left" w:pos="2304"/>
        </w:tabs>
        <w:spacing w:after="200"/>
      </w:pPr>
      <w:r>
        <w:t>Status:</w:t>
      </w:r>
      <w:r>
        <w:tab/>
        <w:t xml:space="preserve">Draft </w:t>
      </w:r>
      <w:r w:rsidR="002B1955">
        <w:t xml:space="preserve">version 4.0 </w:t>
      </w:r>
      <w:r>
        <w:t>by David K Kelly</w:t>
      </w:r>
    </w:p>
    <w:p w14:paraId="6169C63D" w14:textId="74367CC2" w:rsidR="00FB3BC8" w:rsidRDefault="00000000">
      <w:pPr>
        <w:tabs>
          <w:tab w:val="left" w:pos="2304"/>
        </w:tabs>
        <w:spacing w:after="200"/>
      </w:pPr>
      <w:r>
        <w:t>Effective Date:</w:t>
      </w:r>
      <w:r>
        <w:tab/>
      </w:r>
      <w:r w:rsidR="002B1955">
        <w:t>September 2026 (TBC)</w:t>
      </w:r>
    </w:p>
    <w:p w14:paraId="31E6F9F0" w14:textId="77777777" w:rsidR="00FB3BC8" w:rsidRPr="00F07F7F" w:rsidRDefault="00000000">
      <w:pPr>
        <w:spacing w:before="600"/>
        <w:rPr>
          <w:sz w:val="24"/>
          <w:szCs w:val="24"/>
        </w:rPr>
      </w:pPr>
      <w:r w:rsidRPr="00F07F7F">
        <w:rPr>
          <w:b/>
          <w:bCs/>
          <w:color w:val="C00000"/>
          <w:sz w:val="24"/>
          <w:szCs w:val="24"/>
        </w:rPr>
        <w:t>For Internal Use Only</w:t>
      </w:r>
    </w:p>
    <w:p w14:paraId="46F47F54" w14:textId="77777777" w:rsidR="00416DC8" w:rsidRDefault="00416DC8" w:rsidP="00416DC8"/>
    <w:p w14:paraId="3388C88A" w14:textId="254302FE" w:rsidR="00FB3BC8" w:rsidRPr="002B1955" w:rsidRDefault="00416DC8" w:rsidP="002B1955">
      <w:pPr>
        <w:pStyle w:val="Heading1"/>
        <w:rPr>
          <w:b/>
          <w:bCs/>
        </w:rPr>
      </w:pPr>
      <w:r w:rsidRPr="002B1955">
        <w:rPr>
          <w:b/>
          <w:bCs/>
        </w:rPr>
        <w:t>History</w:t>
      </w:r>
    </w:p>
    <w:p w14:paraId="344269C1" w14:textId="77777777" w:rsidR="00416DC8" w:rsidRDefault="00416DC8" w:rsidP="00416DC8"/>
    <w:p w14:paraId="403E65A5" w14:textId="371A16F2" w:rsidR="002B1955" w:rsidRDefault="002B1955">
      <w:pPr>
        <w:spacing w:after="200"/>
      </w:pPr>
      <w:r>
        <w:t>Version 1.0 Effective as of September 2019</w:t>
      </w:r>
    </w:p>
    <w:p w14:paraId="21821D51" w14:textId="623256F2" w:rsidR="00FB3BC8" w:rsidRDefault="00000000">
      <w:pPr>
        <w:spacing w:after="200"/>
      </w:pPr>
      <w:r>
        <w:t xml:space="preserve">Version </w:t>
      </w:r>
      <w:r w:rsidR="002B1955">
        <w:t>2</w:t>
      </w:r>
      <w:r>
        <w:t>.0 Effective as of April 2021</w:t>
      </w:r>
    </w:p>
    <w:p w14:paraId="17AB7555" w14:textId="4417DAD1" w:rsidR="00FB3BC8" w:rsidRDefault="00000000">
      <w:pPr>
        <w:spacing w:after="200"/>
      </w:pPr>
      <w:r>
        <w:t xml:space="preserve">Version </w:t>
      </w:r>
      <w:r w:rsidR="002B1955">
        <w:t>3</w:t>
      </w:r>
      <w:r>
        <w:t xml:space="preserve">.0 </w:t>
      </w:r>
      <w:r w:rsidR="002B1955">
        <w:t xml:space="preserve">Effective </w:t>
      </w:r>
      <w:r>
        <w:t>as of December 2025</w:t>
      </w:r>
    </w:p>
    <w:p w14:paraId="27C10D9B" w14:textId="77777777" w:rsidR="00FB3BC8" w:rsidRDefault="00000000">
      <w:pPr>
        <w:pStyle w:val="Heading1"/>
        <w:spacing w:before="300" w:after="200"/>
      </w:pPr>
      <w:r>
        <w:rPr>
          <w:b/>
          <w:bCs/>
          <w:color w:val="4472C4"/>
        </w:rPr>
        <w:t>Introduction</w:t>
      </w:r>
    </w:p>
    <w:p w14:paraId="3433B0FA" w14:textId="7B056A0A" w:rsidR="00FB3BC8" w:rsidRDefault="00000000">
      <w:pPr>
        <w:spacing w:after="200"/>
      </w:pPr>
      <w:r>
        <w:t>This document outlines the Model Risk Committee ("MRC") Terms of Reference for Moody's Analytics</w:t>
      </w:r>
      <w:r w:rsidR="00330237">
        <w:t>.  MRC is the key component of the Model Risk Framework</w:t>
      </w:r>
      <w:r>
        <w:t>. The MRC has been appointed to operate as the risk-based decision forum to provide oversight of model-related risk and evidence sufficiently robust governance for model risk within the Group.</w:t>
      </w:r>
      <w:r w:rsidR="00DC0258">
        <w:t xml:space="preserve"> While not regulated by financial supervisory bodies,</w:t>
      </w:r>
      <w:r w:rsidR="00330237">
        <w:t xml:space="preserve"> the Model Risk Framework and hence MRC is designed to be compatible with banking obligations for model risk management.</w:t>
      </w:r>
    </w:p>
    <w:p w14:paraId="3E192D1A" w14:textId="77777777" w:rsidR="00FB3BC8" w:rsidRDefault="00000000">
      <w:pPr>
        <w:pStyle w:val="Heading1"/>
        <w:spacing w:before="300" w:after="200"/>
      </w:pPr>
      <w:r>
        <w:rPr>
          <w:b/>
          <w:bCs/>
          <w:color w:val="4472C4"/>
        </w:rPr>
        <w:t>Background of Model Risk Governance</w:t>
      </w:r>
    </w:p>
    <w:p w14:paraId="66E426D2" w14:textId="5CFE2834" w:rsidR="00FB3BC8" w:rsidRDefault="00000000">
      <w:pPr>
        <w:spacing w:after="200"/>
      </w:pPr>
      <w:r>
        <w:t xml:space="preserve">Model Risk Governance in the financial markets evolved from the OCC supervisory guidance on model risk management, commonly known as SR11-7, </w:t>
      </w:r>
      <w:r w:rsidR="00923614">
        <w:t xml:space="preserve">now updated to SR 26-2 </w:t>
      </w:r>
      <w:r>
        <w:t xml:space="preserve">in response to the perception that the players in the industry were not attentive enough to the consequences (including financial and reputational loss) of how their models have been designed, implemented and the appropriateness of how they are used to </w:t>
      </w:r>
      <w:r w:rsidR="00C2188F">
        <w:t xml:space="preserve">provide sophisticated analytics to price and risk asset, </w:t>
      </w:r>
      <w:r w:rsidR="00723421">
        <w:t>liability</w:t>
      </w:r>
      <w:r w:rsidR="00C2188F">
        <w:t xml:space="preserve"> and structured products consumed by client, including Tier 1 banks.</w:t>
      </w:r>
    </w:p>
    <w:p w14:paraId="02149DDF" w14:textId="53E088DB" w:rsidR="00C2188F" w:rsidRDefault="00C2188F">
      <w:pPr>
        <w:spacing w:after="200"/>
      </w:pPr>
      <w:r w:rsidRPr="00C2188F">
        <w:lastRenderedPageBreak/>
        <w:t>The SR 26-2 interagency guidance narrows and clarifies the definition of a “model” compared with SR 11</w:t>
      </w:r>
      <w:r w:rsidRPr="00C2188F">
        <w:noBreakHyphen/>
        <w:t xml:space="preserve">7, focusing on </w:t>
      </w:r>
      <w:r w:rsidRPr="00C2188F">
        <w:rPr>
          <w:b/>
          <w:bCs/>
        </w:rPr>
        <w:t>complex</w:t>
      </w:r>
      <w:r w:rsidRPr="00C2188F">
        <w:t xml:space="preserve"> quantitative methods that apply statistical, economic, or financial theory and explicitly carving out simple tools and certain AI systems from </w:t>
      </w:r>
      <w:r>
        <w:t xml:space="preserve">the </w:t>
      </w:r>
      <w:r w:rsidRPr="00C2188F">
        <w:t>scope</w:t>
      </w:r>
      <w:r>
        <w:t>.</w:t>
      </w:r>
    </w:p>
    <w:p w14:paraId="755DA48F" w14:textId="1AC0C963" w:rsidR="00C2188F" w:rsidRPr="00C2188F" w:rsidRDefault="00C2188F" w:rsidP="00C2188F">
      <w:pPr>
        <w:spacing w:after="200"/>
      </w:pPr>
      <w:r w:rsidRPr="00C2188F">
        <w:t>SR 26</w:t>
      </w:r>
      <w:r w:rsidRPr="00C2188F">
        <w:noBreakHyphen/>
        <w:t>2 explicitly excludes simple arithmetic calculations, basic spreadsheets, and deterministic</w:t>
      </w:r>
      <w:r w:rsidR="00723421">
        <w:t>,</w:t>
      </w:r>
      <w:r w:rsidRPr="00C2188F">
        <w:t xml:space="preserve"> rule</w:t>
      </w:r>
      <w:r>
        <w:t>-</w:t>
      </w:r>
      <w:r w:rsidRPr="00C2188F">
        <w:t>based processes from the formal definition of a model. Those tools are no longer treated as “models” for purposes of this guidance, though they are still expected to have appropriate controls commensurate with their risk (e.g., change control, reconciliations, access management).</w:t>
      </w:r>
    </w:p>
    <w:p w14:paraId="7584F822" w14:textId="2CF0E147" w:rsidR="00C2188F" w:rsidRDefault="00C2188F">
      <w:pPr>
        <w:spacing w:after="200"/>
      </w:pPr>
      <w:r w:rsidRPr="00C2188F">
        <w:t xml:space="preserve">The guidance also draws a formal boundary around generative AI and agentic AI, stating that these models are “novel and rapidly evolving” and “not within the scope of this guidance.” However, SR </w:t>
      </w:r>
      <w:r w:rsidR="00723421">
        <w:t>26</w:t>
      </w:r>
      <w:r w:rsidR="00723421">
        <w:noBreakHyphen/>
        <w:t>2 and the related OCC bulletin make it clear that institutions must still apply</w:t>
      </w:r>
      <w:r w:rsidRPr="00C2188F">
        <w:t xml:space="preserve"> sound risk management and governance to any such tools, especially where their outputs feed in</w:t>
      </w:r>
      <w:r w:rsidR="00723421">
        <w:t>to in-</w:t>
      </w:r>
      <w:r w:rsidRPr="00C2188F">
        <w:t>scope models</w:t>
      </w:r>
      <w:r w:rsidR="00F07F7F">
        <w:t xml:space="preserve"> and products.</w:t>
      </w:r>
    </w:p>
    <w:p w14:paraId="59B2211A" w14:textId="3BC02A38" w:rsidR="00FB3BC8" w:rsidRDefault="00C2188F">
      <w:pPr>
        <w:spacing w:after="200"/>
      </w:pPr>
      <w:r>
        <w:t xml:space="preserve">All models </w:t>
      </w:r>
      <w:r w:rsidR="00723421">
        <w:t>shar</w:t>
      </w:r>
      <w:r>
        <w:t>e the same three</w:t>
      </w:r>
      <w:r w:rsidR="00923614">
        <w:t>-</w:t>
      </w:r>
      <w:r>
        <w:t>component structure</w:t>
      </w:r>
      <w:r w:rsidR="00723421">
        <w:t>:</w:t>
      </w:r>
      <w:r>
        <w:t xml:space="preserve"> Input Data, Process Algorithm, </w:t>
      </w:r>
      <w:r w:rsidR="00923614">
        <w:t xml:space="preserve">and </w:t>
      </w:r>
      <w:r>
        <w:t>Output Data.</w:t>
      </w:r>
    </w:p>
    <w:p w14:paraId="6AC9CECC" w14:textId="374F06DB" w:rsidR="00416DC8" w:rsidRDefault="00416DC8" w:rsidP="00416DC8">
      <w:pPr>
        <w:pStyle w:val="Heading1"/>
        <w:spacing w:before="300" w:after="200"/>
      </w:pPr>
      <w:r>
        <w:rPr>
          <w:b/>
          <w:bCs/>
          <w:color w:val="4472C4"/>
        </w:rPr>
        <w:t>Banks and Model Risk Governance for Vendors.</w:t>
      </w:r>
    </w:p>
    <w:p w14:paraId="69B7DAD9" w14:textId="78BFC167" w:rsidR="002B1955" w:rsidRDefault="002B1955" w:rsidP="002B1955">
      <w:r w:rsidRPr="002B1955">
        <w:t>For banks, vendor and third</w:t>
      </w:r>
      <w:r>
        <w:t>-</w:t>
      </w:r>
      <w:r w:rsidRPr="002B1955">
        <w:t>party quantitative products that meet the complexity and theory criteria remain in scope under SR 26</w:t>
      </w:r>
      <w:r w:rsidRPr="002B1955">
        <w:noBreakHyphen/>
      </w:r>
      <w:r>
        <w:t xml:space="preserve">- </w:t>
      </w:r>
      <w:r w:rsidRPr="002B1955">
        <w:t>2, which reinforces that institutions cannot rely solely on vendor assurances but must understand, test, and defend their use of such models. The definition therefore continues to encompass traditional statistical, econometric, credit, stress</w:t>
      </w:r>
      <w:r>
        <w:t xml:space="preserve"> </w:t>
      </w:r>
      <w:r w:rsidRPr="002B1955">
        <w:t>testing, capital, ALM, and ML models—whether in</w:t>
      </w:r>
      <w:r>
        <w:t>-</w:t>
      </w:r>
      <w:r w:rsidRPr="002B1955">
        <w:t>house or vendor</w:t>
      </w:r>
      <w:r>
        <w:t>-</w:t>
      </w:r>
      <w:r w:rsidRPr="002B1955">
        <w:t>supplied—when they are complex and materially influence risk decisions.</w:t>
      </w:r>
    </w:p>
    <w:p w14:paraId="04229ABB" w14:textId="77777777" w:rsidR="002B1955" w:rsidRPr="002B1955" w:rsidRDefault="002B1955" w:rsidP="002B1955"/>
    <w:p w14:paraId="4D53A08E" w14:textId="77777777" w:rsidR="002B1955" w:rsidRPr="002B1955" w:rsidRDefault="002B1955" w:rsidP="002B1955">
      <w:r w:rsidRPr="002B1955">
        <w:t>The purpose of the MRC is to apply SR 26</w:t>
      </w:r>
      <w:r w:rsidRPr="002B1955">
        <w:noBreakHyphen/>
        <w:t>2 principles proportionally, even though Moody’s is a vendor rather than a regulated bank. The Model Risk Framework is designed to mirror the model validation protocols used by Tier 1 banks. The strategy is to remove friction between Moody’s and its clients on model validation by presenting a mature, functioning Model Risk Framework with recognisable artefacts.</w:t>
      </w:r>
    </w:p>
    <w:p w14:paraId="61725126" w14:textId="2E8825EF" w:rsidR="00723421" w:rsidRDefault="004720D8" w:rsidP="00723421">
      <w:pPr>
        <w:pStyle w:val="Heading1"/>
        <w:spacing w:before="300" w:after="200"/>
      </w:pPr>
      <w:r>
        <w:rPr>
          <w:b/>
          <w:bCs/>
          <w:color w:val="4472C4"/>
        </w:rPr>
        <w:t>Products and Models</w:t>
      </w:r>
    </w:p>
    <w:p w14:paraId="79A01796" w14:textId="06F88316" w:rsidR="00723421" w:rsidRDefault="004720D8" w:rsidP="00723421">
      <w:pPr>
        <w:spacing w:after="200"/>
      </w:pPr>
      <w:bookmarkStart w:id="0" w:name="OLE_LINK1"/>
      <w:r>
        <w:t>Within scope, model instances are packaged into Products so that the Model acts as the analytics agent and the Product is the wrapper for one or more models to act as the client-facing solution.  Management of Products is critical in Model Risk Governance as they represent the usage of the models within a production and commercial environment.  The monitoring of Product usage provides full insight to the Model Risk Management pillar of appropriate use.  The effective hierarchy of Models and Products is treated differently across the Model Scope</w:t>
      </w:r>
    </w:p>
    <w:p w14:paraId="0DB5CE34" w14:textId="6970CF2E" w:rsidR="00723421" w:rsidRDefault="00723421" w:rsidP="00723421">
      <w:pPr>
        <w:pStyle w:val="ListParagraph"/>
        <w:numPr>
          <w:ilvl w:val="0"/>
          <w:numId w:val="2"/>
        </w:numPr>
        <w:spacing w:after="120"/>
      </w:pPr>
      <w:r>
        <w:t>Pfaroe: a Product Valuation Model (PVM) combines and calibrates a market data model, an analytics model, and a calculation agent into the client-facing valuation solution.</w:t>
      </w:r>
    </w:p>
    <w:p w14:paraId="240EA8E6" w14:textId="7AF806D0" w:rsidR="00723421" w:rsidRDefault="00723421" w:rsidP="00F07695">
      <w:pPr>
        <w:pStyle w:val="ListParagraph"/>
        <w:numPr>
          <w:ilvl w:val="0"/>
          <w:numId w:val="2"/>
        </w:numPr>
        <w:spacing w:after="120"/>
      </w:pPr>
      <w:r>
        <w:t xml:space="preserve">Structured Finance (legacy): a "model" in common usage often referred to what is, under this definition, a Product (or Use Case) — a package that combines and calibrates external data with a model engine to deliver a specific structured or bespoke instrument. </w:t>
      </w:r>
      <w:bookmarkEnd w:id="0"/>
    </w:p>
    <w:p w14:paraId="0384C2A4" w14:textId="77777777" w:rsidR="002B1955" w:rsidRDefault="002B1955" w:rsidP="002B1955">
      <w:pPr>
        <w:pStyle w:val="Heading1"/>
        <w:spacing w:before="300" w:after="200"/>
      </w:pPr>
      <w:r>
        <w:rPr>
          <w:b/>
          <w:bCs/>
          <w:color w:val="4472C4"/>
        </w:rPr>
        <w:t>Model Governance Framework</w:t>
      </w:r>
    </w:p>
    <w:p w14:paraId="172BCADF" w14:textId="77777777" w:rsidR="002B1955" w:rsidRDefault="002B1955" w:rsidP="002B1955">
      <w:pPr>
        <w:spacing w:after="200"/>
      </w:pPr>
      <w:r>
        <w:t>The Model Governance Framework functions under the following pillars:</w:t>
      </w:r>
    </w:p>
    <w:p w14:paraId="061296D2" w14:textId="77777777" w:rsidR="002B1955" w:rsidRDefault="002B1955" w:rsidP="002B1955">
      <w:pPr>
        <w:pStyle w:val="ListParagraph"/>
        <w:numPr>
          <w:ilvl w:val="0"/>
          <w:numId w:val="1"/>
        </w:numPr>
        <w:spacing w:after="120"/>
      </w:pPr>
      <w:r>
        <w:t>Proportionality. Level of scrutiny and independent oversight should be in line with the model complexity and materiality of the models developed as well as the degree of interdependence</w:t>
      </w:r>
    </w:p>
    <w:p w14:paraId="1230A68C" w14:textId="77777777" w:rsidR="002B1955" w:rsidRDefault="002B1955" w:rsidP="002B1955">
      <w:pPr>
        <w:pStyle w:val="ListParagraph"/>
        <w:numPr>
          <w:ilvl w:val="0"/>
          <w:numId w:val="1"/>
        </w:numPr>
        <w:spacing w:after="120"/>
      </w:pPr>
      <w:r>
        <w:t>Risk Process. Model risk follows the same principles as other risk-based disciplines. These include: risk management rather than risk elimination, evidence of challenge, active decision-making</w:t>
      </w:r>
    </w:p>
    <w:p w14:paraId="6F71FB6F" w14:textId="77777777" w:rsidR="002B1955" w:rsidRDefault="002B1955" w:rsidP="002B1955">
      <w:pPr>
        <w:pStyle w:val="ListParagraph"/>
        <w:numPr>
          <w:ilvl w:val="0"/>
          <w:numId w:val="1"/>
        </w:numPr>
        <w:spacing w:after="120"/>
      </w:pPr>
      <w:r>
        <w:lastRenderedPageBreak/>
        <w:t>Three Lines of Defence. 3LoD structure that is common across the finance industry; Accountability from the first line or originators, Challenge from the second line who check the first line and Assurance from the third line</w:t>
      </w:r>
    </w:p>
    <w:p w14:paraId="21ACC1FB" w14:textId="77777777" w:rsidR="00FB3BC8" w:rsidRDefault="00000000">
      <w:pPr>
        <w:pStyle w:val="Heading1"/>
        <w:spacing w:before="300" w:after="200"/>
      </w:pPr>
      <w:r>
        <w:rPr>
          <w:b/>
          <w:bCs/>
          <w:color w:val="4472C4"/>
        </w:rPr>
        <w:t>Lifecycle Framework</w:t>
      </w:r>
    </w:p>
    <w:p w14:paraId="7B9A845C" w14:textId="2E4535F2" w:rsidR="00FB3BC8" w:rsidRDefault="00000000">
      <w:pPr>
        <w:spacing w:after="200"/>
      </w:pPr>
      <w:r>
        <w:t>The Lifecycle Framework that is central to Model Risk Governance is not bespoke to the capital markets and will in principle</w:t>
      </w:r>
      <w:r w:rsidR="00923614">
        <w:t>,</w:t>
      </w:r>
      <w:r>
        <w:t xml:space="preserve"> be very similar to the technical standard for the actuarial profession</w:t>
      </w:r>
      <w:r w:rsidR="00923614">
        <w:t>,</w:t>
      </w:r>
      <w:r>
        <w:t xml:space="preserve"> such as TAS-300. The framework can be summarized as follows:</w:t>
      </w:r>
    </w:p>
    <w:p w14:paraId="39A1B6A8" w14:textId="0D37048E" w:rsidR="002B1955" w:rsidRPr="002B1955" w:rsidRDefault="002B1955" w:rsidP="002B1955">
      <w:pPr>
        <w:pStyle w:val="ListParagraph"/>
        <w:numPr>
          <w:ilvl w:val="0"/>
          <w:numId w:val="4"/>
        </w:numPr>
      </w:pPr>
      <w:r w:rsidRPr="002B1955">
        <w:rPr>
          <w:b/>
          <w:bCs/>
        </w:rPr>
        <w:t>Define business case and materiality</w:t>
      </w:r>
      <w:r w:rsidRPr="002B1955">
        <w:t xml:space="preserve"> – Document objectives, regulatory and client drivers, scope, intended use, and preliminary assessment of model and Product materiality (inherent risk, exposure, and purpose) </w:t>
      </w:r>
    </w:p>
    <w:p w14:paraId="0BE91EE1" w14:textId="76958813" w:rsidR="002B1955" w:rsidRPr="002B1955" w:rsidRDefault="002B1955" w:rsidP="002B1955">
      <w:pPr>
        <w:pStyle w:val="ListParagraph"/>
        <w:numPr>
          <w:ilvl w:val="0"/>
          <w:numId w:val="4"/>
        </w:numPr>
      </w:pPr>
      <w:r w:rsidRPr="002B1955">
        <w:rPr>
          <w:b/>
          <w:bCs/>
        </w:rPr>
        <w:t>Design and develop the model</w:t>
      </w:r>
      <w:r w:rsidRPr="002B1955">
        <w:t xml:space="preserve"> – Specify methodology, assumptions, and limitations; prototype and code; perform peer review, unit and functional testing, and maintain technical documentatio</w:t>
      </w:r>
      <w:r>
        <w:t>n</w:t>
      </w:r>
      <w:r w:rsidRPr="002B1955">
        <w:t xml:space="preserve"> </w:t>
      </w:r>
    </w:p>
    <w:p w14:paraId="09525B09" w14:textId="3C7792D7" w:rsidR="002B1955" w:rsidRPr="002B1955" w:rsidRDefault="002B1955" w:rsidP="002B1955">
      <w:pPr>
        <w:pStyle w:val="ListParagraph"/>
        <w:numPr>
          <w:ilvl w:val="0"/>
          <w:numId w:val="4"/>
        </w:numPr>
      </w:pPr>
      <w:r w:rsidRPr="002B1955">
        <w:rPr>
          <w:b/>
          <w:bCs/>
        </w:rPr>
        <w:t>Validate and rate the model</w:t>
      </w:r>
      <w:r w:rsidRPr="002B1955">
        <w:t xml:space="preserve"> – Independently assess conceptual soundness, data, implementation, and outcomes; assign and approve model risk rating; agree </w:t>
      </w:r>
      <w:r>
        <w:t>on model weakness and limitations of use plus</w:t>
      </w:r>
      <w:r w:rsidRPr="002B1955">
        <w:t xml:space="preserve"> remediation actions </w:t>
      </w:r>
    </w:p>
    <w:p w14:paraId="377B0BB6" w14:textId="2E976CC1" w:rsidR="002B1955" w:rsidRPr="002B1955" w:rsidRDefault="002B1955" w:rsidP="002B1955">
      <w:pPr>
        <w:pStyle w:val="ListParagraph"/>
        <w:numPr>
          <w:ilvl w:val="0"/>
          <w:numId w:val="4"/>
        </w:numPr>
      </w:pPr>
      <w:r w:rsidRPr="002B1955">
        <w:rPr>
          <w:b/>
          <w:bCs/>
        </w:rPr>
        <w:t>Implement and integrate in production</w:t>
      </w:r>
      <w:r w:rsidRPr="002B1955">
        <w:t xml:space="preserve"> – Integrate with data feeds and calculation infrastructure; define Product scope and configurations; perform regression and parallel</w:t>
      </w:r>
      <w:r w:rsidRPr="002B1955">
        <w:noBreakHyphen/>
        <w:t>run testing; formalise release and change</w:t>
      </w:r>
      <w:r w:rsidRPr="002B1955">
        <w:noBreakHyphen/>
        <w:t xml:space="preserve">control </w:t>
      </w:r>
    </w:p>
    <w:p w14:paraId="067D1BBD" w14:textId="396D2D7A" w:rsidR="002B1955" w:rsidRPr="002B1955" w:rsidRDefault="002B1955" w:rsidP="002B1955">
      <w:pPr>
        <w:pStyle w:val="ListParagraph"/>
        <w:numPr>
          <w:ilvl w:val="0"/>
          <w:numId w:val="4"/>
        </w:numPr>
      </w:pPr>
      <w:r w:rsidRPr="002B1955">
        <w:rPr>
          <w:b/>
          <w:bCs/>
        </w:rPr>
        <w:t>Monitor performance and usage</w:t>
      </w:r>
      <w:r w:rsidRPr="002B1955">
        <w:t xml:space="preserve"> – Track accuracy, stability, and computational behaviour; monitor Product usage, volumes, and incidents; reassess risk ratings when trigger thresholds are breached </w:t>
      </w:r>
    </w:p>
    <w:p w14:paraId="089DD43E" w14:textId="7293C7E5" w:rsidR="002B1955" w:rsidRPr="002B1955" w:rsidRDefault="002B1955" w:rsidP="002B1955">
      <w:pPr>
        <w:pStyle w:val="ListParagraph"/>
        <w:numPr>
          <w:ilvl w:val="0"/>
          <w:numId w:val="4"/>
        </w:numPr>
      </w:pPr>
      <w:r w:rsidRPr="002B1955">
        <w:rPr>
          <w:b/>
          <w:bCs/>
        </w:rPr>
        <w:t xml:space="preserve">Manage lifecycle and </w:t>
      </w:r>
      <w:r>
        <w:rPr>
          <w:b/>
          <w:bCs/>
        </w:rPr>
        <w:t>decommissioning</w:t>
      </w:r>
      <w:r>
        <w:t xml:space="preserve"> – </w:t>
      </w:r>
      <w:r w:rsidRPr="002B1955">
        <w:t>Review ongoing fitness</w:t>
      </w:r>
      <w:r w:rsidRPr="002B1955">
        <w:noBreakHyphen/>
        <w:t>for</w:t>
      </w:r>
      <w:r w:rsidRPr="002B1955">
        <w:noBreakHyphen/>
        <w:t xml:space="preserve">purpose versus business and regulatory needs; plan remediation or enhancement; retire or replace </w:t>
      </w:r>
      <w:r w:rsidRPr="002B1955">
        <w:rPr>
          <w:i/>
          <w:iCs/>
        </w:rPr>
        <w:t>models</w:t>
      </w:r>
      <w:r w:rsidRPr="002B1955">
        <w:t xml:space="preserve"> with appropriate archiving and, where relevant, client communication, while Products </w:t>
      </w:r>
      <w:r>
        <w:t>will</w:t>
      </w:r>
      <w:r w:rsidRPr="002B1955">
        <w:t xml:space="preserve"> naturally roll off</w:t>
      </w:r>
    </w:p>
    <w:p w14:paraId="0999BA5C" w14:textId="77777777" w:rsidR="008C7AF4" w:rsidRDefault="008C7AF4" w:rsidP="008C7AF4">
      <w:pPr>
        <w:pStyle w:val="Heading1"/>
        <w:spacing w:before="300" w:after="200"/>
      </w:pPr>
      <w:r>
        <w:rPr>
          <w:b/>
          <w:bCs/>
          <w:color w:val="4472C4"/>
        </w:rPr>
        <w:t>Roles and Responsibilities</w:t>
      </w:r>
    </w:p>
    <w:p w14:paraId="698EFF76" w14:textId="2CC0C3C4" w:rsidR="008C7AF4" w:rsidRDefault="008C7AF4" w:rsidP="008C7AF4">
      <w:pPr>
        <w:spacing w:after="200"/>
      </w:pPr>
      <w:r>
        <w:t>The MRC, as part of the Model Risk Framework, adhere to roles and responsibilities across the 3LoD:</w:t>
      </w:r>
    </w:p>
    <w:p w14:paraId="2DEB39DE" w14:textId="7EB86BF1" w:rsidR="008C7AF4" w:rsidRDefault="008C7AF4" w:rsidP="008C7AF4">
      <w:pPr>
        <w:pStyle w:val="ListParagraph"/>
        <w:numPr>
          <w:ilvl w:val="0"/>
          <w:numId w:val="1"/>
        </w:numPr>
        <w:spacing w:after="120"/>
      </w:pPr>
      <w:r>
        <w:t>1LoD - Model Owners have ultimate accountability for the quality of model design and performance, and how they interact with other models. Product owners are accountable for complying with Model-related limitations and for documenting risks not captured by the model choice.</w:t>
      </w:r>
    </w:p>
    <w:p w14:paraId="3417D7FC" w14:textId="77777777" w:rsidR="008C7AF4" w:rsidRDefault="008C7AF4" w:rsidP="008C7AF4">
      <w:pPr>
        <w:pStyle w:val="ListParagraph"/>
        <w:numPr>
          <w:ilvl w:val="0"/>
          <w:numId w:val="1"/>
        </w:numPr>
        <w:spacing w:after="120"/>
      </w:pPr>
      <w:r>
        <w:t>2LoD – Risk oversight through the MRC</w:t>
      </w:r>
    </w:p>
    <w:p w14:paraId="11C5AC53" w14:textId="77777777" w:rsidR="008C7AF4" w:rsidRDefault="008C7AF4" w:rsidP="008C7AF4">
      <w:pPr>
        <w:pStyle w:val="ListParagraph"/>
        <w:numPr>
          <w:ilvl w:val="0"/>
          <w:numId w:val="1"/>
        </w:numPr>
        <w:spacing w:after="120"/>
      </w:pPr>
      <w:r>
        <w:t>3LoD - Audit provides oversight that the model risk framework and the MRC are functional for the purpose of managing model risk</w:t>
      </w:r>
    </w:p>
    <w:p w14:paraId="5AEF283B" w14:textId="77777777" w:rsidR="00FB3BC8" w:rsidRDefault="00000000">
      <w:pPr>
        <w:pStyle w:val="Heading1"/>
        <w:spacing w:before="300" w:after="200"/>
      </w:pPr>
      <w:r>
        <w:rPr>
          <w:b/>
          <w:bCs/>
          <w:color w:val="4472C4"/>
        </w:rPr>
        <w:t>Critical Tasks assigned to MRC</w:t>
      </w:r>
    </w:p>
    <w:p w14:paraId="23E75333" w14:textId="7C345D3A" w:rsidR="00FB3BC8" w:rsidRDefault="00000000">
      <w:pPr>
        <w:pStyle w:val="ListParagraph"/>
        <w:numPr>
          <w:ilvl w:val="0"/>
          <w:numId w:val="1"/>
        </w:numPr>
        <w:spacing w:after="120"/>
      </w:pPr>
      <w:r>
        <w:t xml:space="preserve">Provide "Second Line of Defence" oversight for model risk created by the use of analytics and methodologies in all the risk platforms outlined in </w:t>
      </w:r>
      <w:r w:rsidR="00923614">
        <w:t xml:space="preserve">the </w:t>
      </w:r>
      <w:r>
        <w:t>Scope</w:t>
      </w:r>
    </w:p>
    <w:p w14:paraId="7C6F975A" w14:textId="77777777" w:rsidR="00FB3BC8" w:rsidRDefault="00000000">
      <w:pPr>
        <w:pStyle w:val="ListParagraph"/>
        <w:numPr>
          <w:ilvl w:val="0"/>
          <w:numId w:val="1"/>
        </w:numPr>
        <w:spacing w:after="120"/>
      </w:pPr>
      <w:r>
        <w:t>Define model taxonomy for mandatory areas in scope. Ensure completeness of the Group's model inventory, together with an assigned model owner</w:t>
      </w:r>
    </w:p>
    <w:p w14:paraId="600E5101" w14:textId="77777777" w:rsidR="00FB3BC8" w:rsidRDefault="00000000">
      <w:pPr>
        <w:pStyle w:val="ListParagraph"/>
        <w:numPr>
          <w:ilvl w:val="0"/>
          <w:numId w:val="1"/>
        </w:numPr>
        <w:spacing w:after="120"/>
      </w:pPr>
      <w:r>
        <w:t>Validate the lifecycle status of each model and Product (development, production, post-development, retired) alongside its risk status (rating), ensuring the inventory reflects both accurately and on a current basis</w:t>
      </w:r>
    </w:p>
    <w:p w14:paraId="1ECAE213" w14:textId="77777777" w:rsidR="00154805" w:rsidRDefault="00154805" w:rsidP="00154805">
      <w:pPr>
        <w:pStyle w:val="ListParagraph"/>
        <w:numPr>
          <w:ilvl w:val="0"/>
          <w:numId w:val="1"/>
        </w:numPr>
        <w:spacing w:after="120"/>
      </w:pPr>
      <w:r>
        <w:t xml:space="preserve">Assign a model owner for each underlying model and, separately, a product owner for each client-facing Product built on a selection of those models, maintaining the list of Products </w:t>
      </w:r>
    </w:p>
    <w:p w14:paraId="20467034" w14:textId="77777777" w:rsidR="00FB3BC8" w:rsidRDefault="00000000">
      <w:pPr>
        <w:pStyle w:val="ListParagraph"/>
        <w:numPr>
          <w:ilvl w:val="0"/>
          <w:numId w:val="1"/>
        </w:numPr>
        <w:spacing w:after="120"/>
      </w:pPr>
      <w:r>
        <w:lastRenderedPageBreak/>
        <w:t>Provide oversight on key procedures within the Model Risk Framework as outlined in the Model Lifecycle section and its overall effectiveness</w:t>
      </w:r>
    </w:p>
    <w:p w14:paraId="67522918" w14:textId="00BAB6C2" w:rsidR="00F07695" w:rsidRDefault="00F07695">
      <w:pPr>
        <w:pStyle w:val="ListParagraph"/>
        <w:numPr>
          <w:ilvl w:val="0"/>
          <w:numId w:val="1"/>
        </w:numPr>
        <w:spacing w:after="120"/>
      </w:pPr>
      <w:r>
        <w:t xml:space="preserve">Review and </w:t>
      </w:r>
      <w:r w:rsidR="00F07F7F">
        <w:t>m</w:t>
      </w:r>
      <w:r>
        <w:t xml:space="preserve">anage model-related risk on </w:t>
      </w:r>
      <w:r w:rsidR="00F07F7F">
        <w:t>established</w:t>
      </w:r>
      <w:r>
        <w:t xml:space="preserve"> instances.  Prioritise monitoring and completion of model</w:t>
      </w:r>
      <w:r w:rsidR="00F07F7F">
        <w:t>-</w:t>
      </w:r>
      <w:r>
        <w:t>related artefacts.  Manage all new model instances using the artefacts within the Model Risk Framework</w:t>
      </w:r>
    </w:p>
    <w:p w14:paraId="494B3064" w14:textId="6F467086" w:rsidR="00FB3BC8" w:rsidRDefault="00000000">
      <w:pPr>
        <w:pStyle w:val="ListParagraph"/>
        <w:numPr>
          <w:ilvl w:val="0"/>
          <w:numId w:val="1"/>
        </w:numPr>
        <w:spacing w:after="120"/>
      </w:pPr>
      <w:r>
        <w:t xml:space="preserve">Review the quality of the supporting templates and documentation (including owning the Model Risk Framework document) as well as </w:t>
      </w:r>
      <w:proofErr w:type="spellStart"/>
      <w:r w:rsidR="00154805">
        <w:t>minuted</w:t>
      </w:r>
      <w:proofErr w:type="spellEnd"/>
      <w:r>
        <w:t xml:space="preserve"> evidence of the independent challenge</w:t>
      </w:r>
    </w:p>
    <w:p w14:paraId="648C3A54" w14:textId="7E30F325" w:rsidR="00FB3BC8" w:rsidRDefault="00000000">
      <w:pPr>
        <w:pStyle w:val="ListParagraph"/>
        <w:numPr>
          <w:ilvl w:val="0"/>
          <w:numId w:val="1"/>
        </w:numPr>
        <w:spacing w:after="120"/>
      </w:pPr>
      <w:r>
        <w:t>Act as a rapid point of escalation for operational issues under the RACI framework for models</w:t>
      </w:r>
      <w:r w:rsidR="00154805">
        <w:t xml:space="preserve"> and their products</w:t>
      </w:r>
      <w:r>
        <w:t xml:space="preserve"> that are currently in production or are planned for development, integration and migration</w:t>
      </w:r>
    </w:p>
    <w:p w14:paraId="6D9A6B0D" w14:textId="77777777" w:rsidR="00154805" w:rsidRDefault="00154805" w:rsidP="00154805">
      <w:pPr>
        <w:pStyle w:val="ListParagraph"/>
        <w:numPr>
          <w:ilvl w:val="0"/>
          <w:numId w:val="1"/>
        </w:numPr>
        <w:spacing w:after="120"/>
      </w:pPr>
      <w:r>
        <w:t>Review monitoring of all product activity, usage, production issues and client queries</w:t>
      </w:r>
    </w:p>
    <w:p w14:paraId="661B4D28" w14:textId="77777777" w:rsidR="00154805" w:rsidRDefault="00154805">
      <w:pPr>
        <w:pStyle w:val="ListParagraph"/>
        <w:numPr>
          <w:ilvl w:val="0"/>
          <w:numId w:val="1"/>
        </w:numPr>
        <w:spacing w:after="120"/>
      </w:pPr>
      <w:r w:rsidRPr="00154805">
        <w:t>Conduct an annual process under which each model and Product risk rating is reviewed and approved by its respective owner, with the MRC responsible for approving the overall set of risk ratings and any changes</w:t>
      </w:r>
    </w:p>
    <w:p w14:paraId="797FBD97" w14:textId="0B90B3C0" w:rsidR="00154805" w:rsidRDefault="00154805">
      <w:pPr>
        <w:pStyle w:val="ListParagraph"/>
        <w:numPr>
          <w:ilvl w:val="0"/>
          <w:numId w:val="1"/>
        </w:numPr>
        <w:spacing w:after="120"/>
      </w:pPr>
      <w:r>
        <w:t>Escalate the Leadership Team on model-related risk that has the potential to damage the franchise.</w:t>
      </w:r>
    </w:p>
    <w:p w14:paraId="72B2D872" w14:textId="77777777" w:rsidR="00FB3BC8" w:rsidRDefault="00000000">
      <w:pPr>
        <w:pStyle w:val="Heading1"/>
        <w:spacing w:before="300" w:after="200"/>
      </w:pPr>
      <w:r>
        <w:rPr>
          <w:b/>
          <w:bCs/>
          <w:color w:val="4472C4"/>
        </w:rPr>
        <w:t>Membership</w:t>
      </w:r>
    </w:p>
    <w:p w14:paraId="52267D5B" w14:textId="37064DEE" w:rsidR="00FB3BC8" w:rsidRDefault="00154805">
      <w:pPr>
        <w:spacing w:after="200"/>
      </w:pPr>
      <w:r>
        <w:t>On the effective date, the MRC membership is as follows: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FB3BC8" w14:paraId="651B73AF" w14:textId="77777777">
        <w:tc>
          <w:tcPr>
            <w:tcW w:w="3000" w:type="dxa"/>
            <w:shd w:val="clear" w:color="auto" w:fill="D9E2F3"/>
          </w:tcPr>
          <w:p w14:paraId="29A3F423" w14:textId="77777777" w:rsidR="00FB3BC8" w:rsidRDefault="00000000">
            <w:r>
              <w:rPr>
                <w:b/>
                <w:bCs/>
              </w:rPr>
              <w:t>Voting Members</w:t>
            </w:r>
          </w:p>
        </w:tc>
        <w:tc>
          <w:tcPr>
            <w:tcW w:w="6000" w:type="dxa"/>
            <w:shd w:val="clear" w:color="auto" w:fill="D9E2F3"/>
          </w:tcPr>
          <w:p w14:paraId="11D9A1A8" w14:textId="77777777" w:rsidR="00FB3BC8" w:rsidRDefault="00FB3BC8"/>
        </w:tc>
      </w:tr>
      <w:tr w:rsidR="00FB3BC8" w14:paraId="4400F7A9" w14:textId="77777777">
        <w:tc>
          <w:tcPr>
            <w:tcW w:w="3000" w:type="dxa"/>
          </w:tcPr>
          <w:p w14:paraId="6931EF9E" w14:textId="77777777" w:rsidR="00FB3BC8" w:rsidRDefault="00FB3BC8"/>
        </w:tc>
        <w:tc>
          <w:tcPr>
            <w:tcW w:w="6000" w:type="dxa"/>
          </w:tcPr>
          <w:p w14:paraId="3BC26195" w14:textId="77777777" w:rsidR="00FB3BC8" w:rsidRDefault="00000000">
            <w:r>
              <w:t>David K Kelly (Chair)</w:t>
            </w:r>
          </w:p>
          <w:p w14:paraId="2B265B29" w14:textId="77777777" w:rsidR="00FB3BC8" w:rsidRDefault="00000000">
            <w:r>
              <w:t>Reza Moaleji</w:t>
            </w:r>
          </w:p>
          <w:p w14:paraId="25CD54AD" w14:textId="311BD6E1" w:rsidR="00F07695" w:rsidRDefault="00F07695">
            <w:r>
              <w:t>Audit</w:t>
            </w:r>
          </w:p>
          <w:p w14:paraId="27255834" w14:textId="77BC8175" w:rsidR="00F07695" w:rsidRDefault="00F07695">
            <w:r>
              <w:t>Model Owners</w:t>
            </w:r>
          </w:p>
          <w:p w14:paraId="2A830EA0" w14:textId="77777777" w:rsidR="00F07695" w:rsidRDefault="00F07695"/>
          <w:p w14:paraId="3D6D3D79" w14:textId="77777777" w:rsidR="00FB3BC8" w:rsidRDefault="00FB3BC8"/>
          <w:p w14:paraId="56F65AA9" w14:textId="20F4927E" w:rsidR="00B670EB" w:rsidRDefault="00B670EB">
            <w:r>
              <w:t>(To be completed)</w:t>
            </w:r>
          </w:p>
        </w:tc>
      </w:tr>
      <w:tr w:rsidR="00F07695" w14:paraId="6468540A" w14:textId="77777777" w:rsidTr="00F07695">
        <w:tc>
          <w:tcPr>
            <w:tcW w:w="3000" w:type="dxa"/>
            <w:tcBorders>
              <w:top w:val="single" w:sz="4" w:space="0" w:color="auto"/>
              <w:left w:val="single" w:sz="4" w:space="0" w:color="auto"/>
              <w:bottom w:val="single" w:sz="4" w:space="0" w:color="auto"/>
              <w:right w:val="single" w:sz="4" w:space="0" w:color="auto"/>
            </w:tcBorders>
          </w:tcPr>
          <w:p w14:paraId="08452808" w14:textId="77A8003A" w:rsidR="00F07695" w:rsidRDefault="00F07695" w:rsidP="00623E5B">
            <w:r>
              <w:t>Non-</w:t>
            </w:r>
            <w:r w:rsidRPr="00F07695">
              <w:t>Voting Members</w:t>
            </w:r>
          </w:p>
        </w:tc>
        <w:tc>
          <w:tcPr>
            <w:tcW w:w="6000" w:type="dxa"/>
            <w:tcBorders>
              <w:top w:val="single" w:sz="4" w:space="0" w:color="auto"/>
              <w:left w:val="single" w:sz="4" w:space="0" w:color="auto"/>
              <w:bottom w:val="single" w:sz="4" w:space="0" w:color="auto"/>
              <w:right w:val="single" w:sz="4" w:space="0" w:color="auto"/>
            </w:tcBorders>
          </w:tcPr>
          <w:p w14:paraId="601D7041" w14:textId="77777777" w:rsidR="00F07695" w:rsidRDefault="00F07695" w:rsidP="00623E5B"/>
        </w:tc>
      </w:tr>
      <w:tr w:rsidR="00F07695" w14:paraId="08F25CAD" w14:textId="77777777" w:rsidTr="00F07695">
        <w:tc>
          <w:tcPr>
            <w:tcW w:w="3000" w:type="dxa"/>
            <w:tcBorders>
              <w:top w:val="single" w:sz="4" w:space="0" w:color="auto"/>
              <w:left w:val="single" w:sz="4" w:space="0" w:color="auto"/>
              <w:bottom w:val="single" w:sz="4" w:space="0" w:color="auto"/>
              <w:right w:val="single" w:sz="4" w:space="0" w:color="auto"/>
            </w:tcBorders>
          </w:tcPr>
          <w:p w14:paraId="116CE917" w14:textId="77777777" w:rsidR="00F07695" w:rsidRDefault="00F07695" w:rsidP="00623E5B"/>
        </w:tc>
        <w:tc>
          <w:tcPr>
            <w:tcW w:w="6000" w:type="dxa"/>
            <w:tcBorders>
              <w:top w:val="single" w:sz="4" w:space="0" w:color="auto"/>
              <w:left w:val="single" w:sz="4" w:space="0" w:color="auto"/>
              <w:bottom w:val="single" w:sz="4" w:space="0" w:color="auto"/>
              <w:right w:val="single" w:sz="4" w:space="0" w:color="auto"/>
            </w:tcBorders>
          </w:tcPr>
          <w:p w14:paraId="6E5333AD" w14:textId="77777777" w:rsidR="00F07695" w:rsidRDefault="00F07695" w:rsidP="00623E5B">
            <w:r>
              <w:t>(To be completed)</w:t>
            </w:r>
          </w:p>
        </w:tc>
      </w:tr>
    </w:tbl>
    <w:p w14:paraId="7429E84E" w14:textId="77777777" w:rsidR="00FB3BC8" w:rsidRDefault="00FB3BC8">
      <w:pPr>
        <w:spacing w:after="200"/>
      </w:pPr>
    </w:p>
    <w:p w14:paraId="06C1F758" w14:textId="77777777" w:rsidR="00FB3BC8" w:rsidRDefault="00000000">
      <w:pPr>
        <w:spacing w:after="200"/>
      </w:pPr>
      <w:r>
        <w:t>Note: the membership table above reflects only the rows captured in the source screenshots; the full member list should be verified against the original document, which appears to continue beyond the captured content.</w:t>
      </w:r>
    </w:p>
    <w:p w14:paraId="1D80AE29" w14:textId="77777777" w:rsidR="00FB3BC8" w:rsidRDefault="00000000">
      <w:pPr>
        <w:pStyle w:val="Heading1"/>
        <w:spacing w:before="300" w:after="200"/>
        <w:rPr>
          <w:b/>
          <w:bCs/>
          <w:color w:val="4472C4"/>
        </w:rPr>
      </w:pPr>
      <w:r>
        <w:rPr>
          <w:b/>
          <w:bCs/>
          <w:color w:val="4472C4"/>
        </w:rPr>
        <w:t>Functional details of the MRC</w:t>
      </w:r>
    </w:p>
    <w:p w14:paraId="611625AE" w14:textId="77777777" w:rsidR="00F07695" w:rsidRDefault="00F07695">
      <w:pPr>
        <w:pStyle w:val="Heading1"/>
        <w:spacing w:before="300" w:after="200"/>
      </w:pPr>
    </w:p>
    <w:tbl>
      <w:tblPr>
        <w:tblStyle w:val="TableGrid"/>
        <w:tblW w:w="0" w:type="auto"/>
        <w:tblLook w:val="04A0" w:firstRow="1" w:lastRow="0" w:firstColumn="1" w:lastColumn="0" w:noHBand="0" w:noVBand="1"/>
      </w:tblPr>
      <w:tblGrid>
        <w:gridCol w:w="2191"/>
        <w:gridCol w:w="7159"/>
      </w:tblGrid>
      <w:tr w:rsidR="00923614" w:rsidRPr="00923614" w14:paraId="53B6D81B" w14:textId="77777777">
        <w:tc>
          <w:tcPr>
            <w:tcW w:w="2191" w:type="dxa"/>
          </w:tcPr>
          <w:p w14:paraId="395B2B89" w14:textId="77777777" w:rsidR="00923614" w:rsidRPr="00923614" w:rsidRDefault="00923614" w:rsidP="00C77DF0">
            <w:pPr>
              <w:spacing w:after="200"/>
            </w:pPr>
            <w:r w:rsidRPr="00923614">
              <w:t>Meeting Frequency:</w:t>
            </w:r>
          </w:p>
        </w:tc>
        <w:tc>
          <w:tcPr>
            <w:tcW w:w="7159" w:type="dxa"/>
          </w:tcPr>
          <w:p w14:paraId="79A1EABA" w14:textId="54060188" w:rsidR="00923614" w:rsidRPr="00923614" w:rsidRDefault="00923614" w:rsidP="00C77DF0">
            <w:pPr>
              <w:spacing w:after="200"/>
            </w:pPr>
            <w:r w:rsidRPr="00923614">
              <w:t>Quarterly</w:t>
            </w:r>
          </w:p>
        </w:tc>
      </w:tr>
      <w:tr w:rsidR="00923614" w:rsidRPr="00923614" w14:paraId="0DDFEA50" w14:textId="77777777">
        <w:tc>
          <w:tcPr>
            <w:tcW w:w="2191" w:type="dxa"/>
          </w:tcPr>
          <w:p w14:paraId="288D6B49" w14:textId="77777777" w:rsidR="00923614" w:rsidRPr="00923614" w:rsidRDefault="00923614" w:rsidP="00C77DF0">
            <w:pPr>
              <w:spacing w:after="200"/>
            </w:pPr>
            <w:r w:rsidRPr="00923614">
              <w:t>Quorum:</w:t>
            </w:r>
          </w:p>
        </w:tc>
        <w:tc>
          <w:tcPr>
            <w:tcW w:w="7159" w:type="dxa"/>
          </w:tcPr>
          <w:p w14:paraId="5459A370" w14:textId="77777777" w:rsidR="00923614" w:rsidRPr="00923614" w:rsidRDefault="00923614" w:rsidP="00C77DF0">
            <w:pPr>
              <w:spacing w:after="200"/>
            </w:pPr>
            <w:r w:rsidRPr="00923614">
              <w:t>A quorum is formed when the chair plus three voting members are in attendance</w:t>
            </w:r>
          </w:p>
        </w:tc>
      </w:tr>
      <w:tr w:rsidR="00923614" w:rsidRPr="00923614" w14:paraId="7E8920A7" w14:textId="77777777">
        <w:tc>
          <w:tcPr>
            <w:tcW w:w="2191" w:type="dxa"/>
          </w:tcPr>
          <w:p w14:paraId="622CC4BE" w14:textId="77777777" w:rsidR="00923614" w:rsidRPr="00923614" w:rsidRDefault="00923614" w:rsidP="00C77DF0">
            <w:pPr>
              <w:spacing w:after="200"/>
            </w:pPr>
            <w:r w:rsidRPr="00923614">
              <w:t>Representation:</w:t>
            </w:r>
          </w:p>
        </w:tc>
        <w:tc>
          <w:tcPr>
            <w:tcW w:w="7159" w:type="dxa"/>
          </w:tcPr>
          <w:p w14:paraId="6A84AA60" w14:textId="0DFC3C6E" w:rsidR="00923614" w:rsidRPr="00923614" w:rsidRDefault="00923614" w:rsidP="00C77DF0">
            <w:pPr>
              <w:spacing w:after="200"/>
            </w:pPr>
            <w:r w:rsidRPr="00923614">
              <w:t xml:space="preserve">For </w:t>
            </w:r>
            <w:r w:rsidR="00F07695">
              <w:t>M</w:t>
            </w:r>
            <w:r w:rsidRPr="00923614">
              <w:t>odels or Products that are rated high risk, the relevant model owner or product owner is required to attend as a voting member. For all other models or Products, representation is as a non-voting member guest.</w:t>
            </w:r>
          </w:p>
        </w:tc>
      </w:tr>
      <w:tr w:rsidR="00923614" w:rsidRPr="00923614" w14:paraId="30BAF8F9" w14:textId="77777777">
        <w:tc>
          <w:tcPr>
            <w:tcW w:w="2191" w:type="dxa"/>
          </w:tcPr>
          <w:p w14:paraId="6DB6A991" w14:textId="77777777" w:rsidR="00923614" w:rsidRPr="00923614" w:rsidRDefault="00923614" w:rsidP="00C77DF0">
            <w:pPr>
              <w:spacing w:after="200"/>
            </w:pPr>
            <w:r w:rsidRPr="00923614">
              <w:t xml:space="preserve">Minutes: </w:t>
            </w:r>
          </w:p>
        </w:tc>
        <w:tc>
          <w:tcPr>
            <w:tcW w:w="7159" w:type="dxa"/>
          </w:tcPr>
          <w:p w14:paraId="1394061B" w14:textId="77777777" w:rsidR="00923614" w:rsidRPr="00923614" w:rsidRDefault="00923614" w:rsidP="00C77DF0">
            <w:pPr>
              <w:spacing w:after="200"/>
            </w:pPr>
            <w:r w:rsidRPr="00923614">
              <w:t>The chair will appoint a secretary to record minutes of the proceedings of MRC meetings. The chair will approve the draft form and circulate it to all the MRC members for final approval.</w:t>
            </w:r>
          </w:p>
        </w:tc>
      </w:tr>
      <w:tr w:rsidR="00923614" w:rsidRPr="00923614" w14:paraId="54E0C5A8" w14:textId="77777777">
        <w:tc>
          <w:tcPr>
            <w:tcW w:w="2191" w:type="dxa"/>
          </w:tcPr>
          <w:p w14:paraId="0FEE4705" w14:textId="77777777" w:rsidR="00923614" w:rsidRPr="00923614" w:rsidRDefault="00923614" w:rsidP="00C77DF0">
            <w:pPr>
              <w:spacing w:after="200"/>
            </w:pPr>
            <w:r w:rsidRPr="00923614">
              <w:lastRenderedPageBreak/>
              <w:t>Reporting:</w:t>
            </w:r>
          </w:p>
        </w:tc>
        <w:tc>
          <w:tcPr>
            <w:tcW w:w="7159" w:type="dxa"/>
          </w:tcPr>
          <w:p w14:paraId="43274722" w14:textId="27F6534F" w:rsidR="00923614" w:rsidRPr="00923614" w:rsidRDefault="00923614" w:rsidP="00C77DF0">
            <w:pPr>
              <w:spacing w:after="200"/>
            </w:pPr>
            <w:r w:rsidRPr="00923614">
              <w:t>The chair will provide annually (or ad hoc on request) status update to the Leadership Team of the model risk framework and the effectiveness of the MRC.</w:t>
            </w:r>
          </w:p>
        </w:tc>
      </w:tr>
      <w:tr w:rsidR="00923614" w:rsidRPr="00923614" w14:paraId="42719C78" w14:textId="77777777">
        <w:tc>
          <w:tcPr>
            <w:tcW w:w="2191" w:type="dxa"/>
          </w:tcPr>
          <w:p w14:paraId="4E0BA3DC" w14:textId="77777777" w:rsidR="00923614" w:rsidRPr="00923614" w:rsidRDefault="00923614" w:rsidP="00C77DF0">
            <w:pPr>
              <w:spacing w:after="200"/>
            </w:pPr>
            <w:r w:rsidRPr="00923614">
              <w:t>Changes:</w:t>
            </w:r>
          </w:p>
        </w:tc>
        <w:tc>
          <w:tcPr>
            <w:tcW w:w="7159" w:type="dxa"/>
          </w:tcPr>
          <w:p w14:paraId="3811464A" w14:textId="77777777" w:rsidR="00416DC8" w:rsidRDefault="00923614" w:rsidP="00C77DF0">
            <w:pPr>
              <w:spacing w:after="200"/>
            </w:pPr>
            <w:r w:rsidRPr="00923614">
              <w:t xml:space="preserve">Material changes to tasks listed above, the overall size of MRC and meeting frequency (if less than quarterly) will require Leadership Team approval. </w:t>
            </w:r>
          </w:p>
          <w:p w14:paraId="2F9A02FE" w14:textId="242EF247" w:rsidR="00923614" w:rsidRPr="00923614" w:rsidRDefault="00923614" w:rsidP="00C77DF0">
            <w:pPr>
              <w:spacing w:after="200"/>
            </w:pPr>
            <w:r w:rsidRPr="00923614">
              <w:t>Other changes, including filling of any vacancies within MRC members, can be agreed upon within the MRC. Membership to be ratified by</w:t>
            </w:r>
            <w:r w:rsidR="00416DC8">
              <w:t xml:space="preserve"> </w:t>
            </w:r>
            <w:r w:rsidRPr="00923614">
              <w:t>Leadership Team on an annual (end of the year) cycle.</w:t>
            </w:r>
          </w:p>
        </w:tc>
      </w:tr>
    </w:tbl>
    <w:p w14:paraId="5D890F2A" w14:textId="2FC2D387" w:rsidR="00FB3BC8" w:rsidRDefault="00000000" w:rsidP="008C7AF4">
      <w:r>
        <w:br w:type="page"/>
      </w:r>
    </w:p>
    <w:sectPr w:rsidR="00FB3BC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8D2D43"/>
    <w:multiLevelType w:val="hybridMultilevel"/>
    <w:tmpl w:val="40C63A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8C58F7"/>
    <w:multiLevelType w:val="hybridMultilevel"/>
    <w:tmpl w:val="8ADA4C5E"/>
    <w:lvl w:ilvl="0" w:tplc="03CAD64E">
      <w:start w:val="1"/>
      <w:numFmt w:val="bullet"/>
      <w:lvlText w:val="●"/>
      <w:lvlJc w:val="left"/>
      <w:pPr>
        <w:ind w:left="720" w:hanging="360"/>
      </w:pPr>
    </w:lvl>
    <w:lvl w:ilvl="1" w:tplc="00C8323A">
      <w:start w:val="1"/>
      <w:numFmt w:val="bullet"/>
      <w:lvlText w:val="○"/>
      <w:lvlJc w:val="left"/>
      <w:pPr>
        <w:ind w:left="1440" w:hanging="360"/>
      </w:pPr>
    </w:lvl>
    <w:lvl w:ilvl="2" w:tplc="2CCABC7E">
      <w:start w:val="1"/>
      <w:numFmt w:val="bullet"/>
      <w:lvlText w:val="■"/>
      <w:lvlJc w:val="left"/>
      <w:pPr>
        <w:ind w:left="2160" w:hanging="360"/>
      </w:pPr>
    </w:lvl>
    <w:lvl w:ilvl="3" w:tplc="DE78449A">
      <w:start w:val="1"/>
      <w:numFmt w:val="bullet"/>
      <w:lvlText w:val="●"/>
      <w:lvlJc w:val="left"/>
      <w:pPr>
        <w:ind w:left="2880" w:hanging="360"/>
      </w:pPr>
    </w:lvl>
    <w:lvl w:ilvl="4" w:tplc="2E0C1158">
      <w:start w:val="1"/>
      <w:numFmt w:val="bullet"/>
      <w:lvlText w:val="○"/>
      <w:lvlJc w:val="left"/>
      <w:pPr>
        <w:ind w:left="3600" w:hanging="360"/>
      </w:pPr>
    </w:lvl>
    <w:lvl w:ilvl="5" w:tplc="C0F4D7D2">
      <w:start w:val="1"/>
      <w:numFmt w:val="bullet"/>
      <w:lvlText w:val="■"/>
      <w:lvlJc w:val="left"/>
      <w:pPr>
        <w:ind w:left="4320" w:hanging="360"/>
      </w:pPr>
    </w:lvl>
    <w:lvl w:ilvl="6" w:tplc="2AB26B4E">
      <w:start w:val="1"/>
      <w:numFmt w:val="bullet"/>
      <w:lvlText w:val="●"/>
      <w:lvlJc w:val="left"/>
      <w:pPr>
        <w:ind w:left="5040" w:hanging="360"/>
      </w:pPr>
    </w:lvl>
    <w:lvl w:ilvl="7" w:tplc="FF52ACE6">
      <w:start w:val="1"/>
      <w:numFmt w:val="bullet"/>
      <w:lvlText w:val="●"/>
      <w:lvlJc w:val="left"/>
      <w:pPr>
        <w:ind w:left="5760" w:hanging="360"/>
      </w:pPr>
    </w:lvl>
    <w:lvl w:ilvl="8" w:tplc="61F694AE">
      <w:start w:val="1"/>
      <w:numFmt w:val="bullet"/>
      <w:lvlText w:val="●"/>
      <w:lvlJc w:val="left"/>
      <w:pPr>
        <w:ind w:left="6480" w:hanging="360"/>
      </w:pPr>
    </w:lvl>
  </w:abstractNum>
  <w:abstractNum w:abstractNumId="2" w15:restartNumberingAfterBreak="0">
    <w:nsid w:val="457B414B"/>
    <w:multiLevelType w:val="hybridMultilevel"/>
    <w:tmpl w:val="45CC3064"/>
    <w:lvl w:ilvl="0" w:tplc="BFC2075A">
      <w:start w:val="1"/>
      <w:numFmt w:val="bullet"/>
      <w:lvlText w:val="•"/>
      <w:lvlJc w:val="left"/>
      <w:pPr>
        <w:ind w:left="720" w:hanging="360"/>
      </w:pPr>
    </w:lvl>
    <w:lvl w:ilvl="1" w:tplc="83C0EADA">
      <w:numFmt w:val="decimal"/>
      <w:lvlText w:val=""/>
      <w:lvlJc w:val="left"/>
    </w:lvl>
    <w:lvl w:ilvl="2" w:tplc="5BD429F8">
      <w:numFmt w:val="decimal"/>
      <w:lvlText w:val=""/>
      <w:lvlJc w:val="left"/>
    </w:lvl>
    <w:lvl w:ilvl="3" w:tplc="6ADA93D8">
      <w:numFmt w:val="decimal"/>
      <w:lvlText w:val=""/>
      <w:lvlJc w:val="left"/>
    </w:lvl>
    <w:lvl w:ilvl="4" w:tplc="29784FE0">
      <w:numFmt w:val="decimal"/>
      <w:lvlText w:val=""/>
      <w:lvlJc w:val="left"/>
    </w:lvl>
    <w:lvl w:ilvl="5" w:tplc="D8C21B46">
      <w:numFmt w:val="decimal"/>
      <w:lvlText w:val=""/>
      <w:lvlJc w:val="left"/>
    </w:lvl>
    <w:lvl w:ilvl="6" w:tplc="8CF89FD2">
      <w:numFmt w:val="decimal"/>
      <w:lvlText w:val=""/>
      <w:lvlJc w:val="left"/>
    </w:lvl>
    <w:lvl w:ilvl="7" w:tplc="B9A6A900">
      <w:numFmt w:val="decimal"/>
      <w:lvlText w:val=""/>
      <w:lvlJc w:val="left"/>
    </w:lvl>
    <w:lvl w:ilvl="8" w:tplc="E9DC3628">
      <w:numFmt w:val="decimal"/>
      <w:lvlText w:val=""/>
      <w:lvlJc w:val="left"/>
    </w:lvl>
  </w:abstractNum>
  <w:abstractNum w:abstractNumId="3" w15:restartNumberingAfterBreak="0">
    <w:nsid w:val="69BC26E8"/>
    <w:multiLevelType w:val="hybridMultilevel"/>
    <w:tmpl w:val="71FC6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8B637E0"/>
    <w:multiLevelType w:val="hybridMultilevel"/>
    <w:tmpl w:val="97263B38"/>
    <w:lvl w:ilvl="0" w:tplc="E9D085B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E4453AF"/>
    <w:multiLevelType w:val="hybridMultilevel"/>
    <w:tmpl w:val="4E826B26"/>
    <w:lvl w:ilvl="0" w:tplc="24EE211A">
      <w:start w:val="1"/>
      <w:numFmt w:val="bullet"/>
      <w:lvlText w:val="●"/>
      <w:lvlJc w:val="left"/>
      <w:pPr>
        <w:ind w:left="720" w:hanging="360"/>
      </w:pPr>
    </w:lvl>
    <w:lvl w:ilvl="1" w:tplc="3F76FEAC">
      <w:start w:val="1"/>
      <w:numFmt w:val="bullet"/>
      <w:lvlText w:val="○"/>
      <w:lvlJc w:val="left"/>
      <w:pPr>
        <w:ind w:left="1440" w:hanging="360"/>
      </w:pPr>
    </w:lvl>
    <w:lvl w:ilvl="2" w:tplc="9E9C3632">
      <w:start w:val="1"/>
      <w:numFmt w:val="bullet"/>
      <w:lvlText w:val="■"/>
      <w:lvlJc w:val="left"/>
      <w:pPr>
        <w:ind w:left="2160" w:hanging="360"/>
      </w:pPr>
    </w:lvl>
    <w:lvl w:ilvl="3" w:tplc="7E306B9E">
      <w:start w:val="1"/>
      <w:numFmt w:val="bullet"/>
      <w:lvlText w:val="●"/>
      <w:lvlJc w:val="left"/>
      <w:pPr>
        <w:ind w:left="2880" w:hanging="360"/>
      </w:pPr>
    </w:lvl>
    <w:lvl w:ilvl="4" w:tplc="EC5A0184">
      <w:start w:val="1"/>
      <w:numFmt w:val="bullet"/>
      <w:lvlText w:val="○"/>
      <w:lvlJc w:val="left"/>
      <w:pPr>
        <w:ind w:left="3600" w:hanging="360"/>
      </w:pPr>
    </w:lvl>
    <w:lvl w:ilvl="5" w:tplc="96EC5112">
      <w:start w:val="1"/>
      <w:numFmt w:val="bullet"/>
      <w:lvlText w:val="■"/>
      <w:lvlJc w:val="left"/>
      <w:pPr>
        <w:ind w:left="4320" w:hanging="360"/>
      </w:pPr>
    </w:lvl>
    <w:lvl w:ilvl="6" w:tplc="ACF4AB40">
      <w:start w:val="1"/>
      <w:numFmt w:val="bullet"/>
      <w:lvlText w:val="●"/>
      <w:lvlJc w:val="left"/>
      <w:pPr>
        <w:ind w:left="5040" w:hanging="360"/>
      </w:pPr>
    </w:lvl>
    <w:lvl w:ilvl="7" w:tplc="58C4B650">
      <w:start w:val="1"/>
      <w:numFmt w:val="bullet"/>
      <w:lvlText w:val="●"/>
      <w:lvlJc w:val="left"/>
      <w:pPr>
        <w:ind w:left="5760" w:hanging="360"/>
      </w:pPr>
    </w:lvl>
    <w:lvl w:ilvl="8" w:tplc="D1E86B1E">
      <w:start w:val="1"/>
      <w:numFmt w:val="bullet"/>
      <w:lvlText w:val="●"/>
      <w:lvlJc w:val="left"/>
      <w:pPr>
        <w:ind w:left="6480" w:hanging="360"/>
      </w:pPr>
    </w:lvl>
  </w:abstractNum>
  <w:num w:numId="1" w16cid:durableId="833690673">
    <w:abstractNumId w:val="1"/>
    <w:lvlOverride w:ilvl="0">
      <w:startOverride w:val="1"/>
    </w:lvlOverride>
  </w:num>
  <w:num w:numId="2" w16cid:durableId="2130121806">
    <w:abstractNumId w:val="5"/>
    <w:lvlOverride w:ilvl="0">
      <w:startOverride w:val="1"/>
    </w:lvlOverride>
  </w:num>
  <w:num w:numId="3" w16cid:durableId="1505314550">
    <w:abstractNumId w:val="0"/>
  </w:num>
  <w:num w:numId="4" w16cid:durableId="772895267">
    <w:abstractNumId w:val="3"/>
  </w:num>
  <w:num w:numId="5" w16cid:durableId="359204803">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BC8"/>
    <w:rsid w:val="00154805"/>
    <w:rsid w:val="002B1955"/>
    <w:rsid w:val="00330237"/>
    <w:rsid w:val="00416DC8"/>
    <w:rsid w:val="004720D8"/>
    <w:rsid w:val="00723421"/>
    <w:rsid w:val="00775CF7"/>
    <w:rsid w:val="008C7AF4"/>
    <w:rsid w:val="00923614"/>
    <w:rsid w:val="00A20F05"/>
    <w:rsid w:val="00B670EB"/>
    <w:rsid w:val="00BB2C6E"/>
    <w:rsid w:val="00C2188F"/>
    <w:rsid w:val="00CD0F70"/>
    <w:rsid w:val="00DC0258"/>
    <w:rsid w:val="00F07695"/>
    <w:rsid w:val="00F07F7F"/>
    <w:rsid w:val="00FB3BC8"/>
    <w:rsid w:val="00FF78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C7567E3"/>
  <w15:docId w15:val="{05519B13-A4F4-7143-9D09-B8E679228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236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B19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1646</Words>
  <Characters>9267</Characters>
  <Application>Microsoft Office Word</Application>
  <DocSecurity>0</DocSecurity>
  <Lines>166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Kelly</cp:lastModifiedBy>
  <cp:revision>2</cp:revision>
  <dcterms:created xsi:type="dcterms:W3CDTF">2026-07-07T13:34:00Z</dcterms:created>
  <dcterms:modified xsi:type="dcterms:W3CDTF">2026-07-07T13:34:00Z</dcterms:modified>
</cp:coreProperties>
</file>