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65D6" w14:textId="77777777" w:rsidR="00FB4D89" w:rsidRDefault="00FB4D89">
      <w:pPr>
        <w:rPr>
          <w:b/>
          <w:u w:val="single"/>
        </w:rPr>
      </w:pPr>
    </w:p>
    <w:p w14:paraId="4E0065D7" w14:textId="77777777" w:rsidR="00FB4D89" w:rsidRDefault="00BC2567">
      <w:pPr>
        <w:rPr>
          <w:b/>
        </w:rPr>
      </w:pPr>
      <w:r>
        <w:rPr>
          <w:b/>
          <w:u w:val="single"/>
        </w:rPr>
        <w:t xml:space="preserve">Motion C </w:t>
      </w:r>
      <w:r>
        <w:rPr>
          <w:b/>
        </w:rPr>
        <w:t xml:space="preserve">- </w:t>
      </w:r>
      <w:r>
        <w:t>Add Article VIII,</w:t>
      </w:r>
      <w:r>
        <w:rPr>
          <w:b/>
        </w:rPr>
        <w:t xml:space="preserve"> "Finance Policies and Procedures" </w:t>
      </w:r>
      <w:r>
        <w:t>to the existing</w:t>
      </w:r>
    </w:p>
    <w:p w14:paraId="4E0065D8" w14:textId="77777777" w:rsidR="00FB4D89" w:rsidRDefault="00BC2567">
      <w:pPr>
        <w:rPr>
          <w:b/>
        </w:rPr>
      </w:pPr>
      <w:r>
        <w:rPr>
          <w:b/>
        </w:rPr>
        <w:t xml:space="preserve"> </w:t>
      </w:r>
      <w:hyperlink r:id="rId5">
        <w:r>
          <w:rPr>
            <w:b/>
            <w:color w:val="467886"/>
          </w:rPr>
          <w:t>Area Guidelines</w:t>
        </w:r>
      </w:hyperlink>
      <w:r>
        <w:rPr>
          <w:b/>
        </w:rPr>
        <w:t xml:space="preserve"> </w:t>
      </w:r>
      <w:hyperlink r:id="rId6">
        <w:r>
          <w:rPr>
            <w:b/>
            <w:color w:val="467886"/>
          </w:rPr>
          <w:br/>
        </w:r>
        <w:r>
          <w:rPr>
            <w:b/>
            <w:color w:val="467886"/>
          </w:rPr>
          <w:br/>
        </w:r>
      </w:hyperlink>
    </w:p>
    <w:p w14:paraId="4E0065D9" w14:textId="77777777" w:rsidR="00FB4D89" w:rsidRDefault="00BC2567">
      <w:pPr>
        <w:rPr>
          <w:b/>
          <w:u w:val="single"/>
        </w:rPr>
      </w:pPr>
      <w:r>
        <w:rPr>
          <w:b/>
          <w:u w:val="single"/>
        </w:rPr>
        <w:t>Background: </w:t>
      </w:r>
    </w:p>
    <w:p w14:paraId="4E0065DA" w14:textId="77777777" w:rsidR="00FB4D89" w:rsidRDefault="00FB4D89">
      <w:pPr>
        <w:rPr>
          <w:b/>
          <w:u w:val="single"/>
        </w:rPr>
      </w:pPr>
    </w:p>
    <w:p w14:paraId="4E0065DB" w14:textId="77777777" w:rsidR="00FB4D89" w:rsidRDefault="00BC2567">
      <w:r>
        <w:t xml:space="preserve">The current Area guidelines do not contain information about expense reimbursement. The Finance Committee has met and is introducing a formal statement to guide the Area on the process and to require expense reimbursement requests be submitted within a fixed </w:t>
      </w:r>
      <w:proofErr w:type="gramStart"/>
      <w:r>
        <w:t>period of time</w:t>
      </w:r>
      <w:proofErr w:type="gramEnd"/>
      <w:r>
        <w:t xml:space="preserve"> after the expense is incurred. This is to ensure that our budgets are accurate representations of our financial standing and can be trusted to inform future spending options. </w:t>
      </w:r>
    </w:p>
    <w:p w14:paraId="4E0065DC" w14:textId="77777777" w:rsidR="00FB4D89" w:rsidRDefault="00FB4D89"/>
    <w:p w14:paraId="4E0065DD" w14:textId="77777777" w:rsidR="00FB4D89" w:rsidRDefault="00BC2567">
      <w:r>
        <w:t xml:space="preserve">Additionally, in the future, this new Article, "Finance Policies and Procedures", can be expanded to include other items such as a statement on the Area Reserve, Contribution and Receipts policies, </w:t>
      </w:r>
      <w:proofErr w:type="spellStart"/>
      <w:r>
        <w:t>etc</w:t>
      </w:r>
      <w:proofErr w:type="spellEnd"/>
    </w:p>
    <w:p w14:paraId="4E0065DE" w14:textId="77777777" w:rsidR="00FB4D89" w:rsidRDefault="00FB4D89">
      <w:pPr>
        <w:rPr>
          <w:u w:val="single"/>
        </w:rPr>
      </w:pPr>
    </w:p>
    <w:p w14:paraId="4E0065DF" w14:textId="77777777" w:rsidR="00FB4D89" w:rsidRDefault="00FB4D89">
      <w:pPr>
        <w:rPr>
          <w:u w:val="single"/>
        </w:rPr>
      </w:pPr>
    </w:p>
    <w:p w14:paraId="4E0065E0" w14:textId="77777777" w:rsidR="00FB4D89" w:rsidRDefault="00FB4D89">
      <w:pPr>
        <w:jc w:val="center"/>
        <w:rPr>
          <w:b/>
          <w:u w:val="single"/>
        </w:rPr>
      </w:pPr>
    </w:p>
    <w:p w14:paraId="4E0065E1" w14:textId="77777777" w:rsidR="00FB4D89" w:rsidRDefault="00FB4D89">
      <w:pPr>
        <w:rPr>
          <w:b/>
          <w:u w:val="single"/>
        </w:rPr>
      </w:pPr>
    </w:p>
    <w:p w14:paraId="4E0065E2" w14:textId="77777777" w:rsidR="00FB4D89" w:rsidRDefault="00BC2567">
      <w:pPr>
        <w:rPr>
          <w:b/>
          <w:u w:val="single"/>
        </w:rPr>
      </w:pPr>
      <w:proofErr w:type="spellStart"/>
      <w:r>
        <w:rPr>
          <w:b/>
          <w:u w:val="single"/>
        </w:rPr>
        <w:t>Moción</w:t>
      </w:r>
      <w:proofErr w:type="spellEnd"/>
      <w:r>
        <w:rPr>
          <w:b/>
          <w:u w:val="single"/>
        </w:rPr>
        <w:t xml:space="preserve"> </w:t>
      </w:r>
      <w:r>
        <w:rPr>
          <w:b/>
        </w:rPr>
        <w:t xml:space="preserve">C -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VIII</w:t>
      </w:r>
      <w:r>
        <w:rPr>
          <w:b/>
        </w:rPr>
        <w:t>, «</w:t>
      </w:r>
      <w:proofErr w:type="spellStart"/>
      <w:r>
        <w:rPr>
          <w:b/>
        </w:rPr>
        <w:t>Políticas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Procedimientos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Financieros</w:t>
      </w:r>
      <w:proofErr w:type="spellEnd"/>
      <w:r>
        <w:rPr>
          <w:b/>
        </w:rPr>
        <w:t xml:space="preserve">», </w:t>
      </w:r>
      <w:r>
        <w:t xml:space="preserve">a las Directrices del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. </w:t>
      </w:r>
      <w:hyperlink r:id="rId7">
        <w:r>
          <w:rPr>
            <w:b/>
            <w:color w:val="467886"/>
          </w:rPr>
          <w:t>GUÍAS PARA EL ÁREA</w:t>
        </w:r>
      </w:hyperlink>
      <w:hyperlink r:id="rId8">
        <w:r>
          <w:rPr>
            <w:u w:val="single"/>
          </w:rPr>
          <w:br/>
        </w:r>
        <w:r>
          <w:rPr>
            <w:u w:val="single"/>
          </w:rPr>
          <w:br/>
        </w:r>
      </w:hyperlink>
    </w:p>
    <w:p w14:paraId="4E0065E3" w14:textId="77777777" w:rsidR="00FB4D89" w:rsidRDefault="00BC2567">
      <w:pPr>
        <w:rPr>
          <w:b/>
          <w:u w:val="single"/>
        </w:rPr>
      </w:pPr>
      <w:proofErr w:type="spellStart"/>
      <w:r>
        <w:rPr>
          <w:b/>
          <w:u w:val="single"/>
        </w:rPr>
        <w:t>Antecedentes</w:t>
      </w:r>
      <w:proofErr w:type="spellEnd"/>
      <w:r>
        <w:rPr>
          <w:b/>
          <w:u w:val="single"/>
        </w:rPr>
        <w:t>:</w:t>
      </w:r>
    </w:p>
    <w:p w14:paraId="4E0065E4" w14:textId="77777777" w:rsidR="00FB4D89" w:rsidRDefault="00FB4D89">
      <w:pPr>
        <w:rPr>
          <w:b/>
          <w:u w:val="single"/>
        </w:rPr>
      </w:pPr>
    </w:p>
    <w:p w14:paraId="4E0065E5" w14:textId="77777777" w:rsidR="00FB4D89" w:rsidRDefault="00BC2567">
      <w:r>
        <w:t xml:space="preserve">Las directrices </w:t>
      </w:r>
      <w:proofErr w:type="spellStart"/>
      <w:r>
        <w:t>actuales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 xml:space="preserve"> no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reembolso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. El </w:t>
      </w:r>
      <w:proofErr w:type="spellStart"/>
      <w:r>
        <w:t>Comité</w:t>
      </w:r>
      <w:proofErr w:type="spellEnd"/>
      <w:r>
        <w:t xml:space="preserve"> de </w:t>
      </w:r>
      <w:proofErr w:type="spellStart"/>
      <w:r>
        <w:t>Finanzas</w:t>
      </w:r>
      <w:proofErr w:type="spellEnd"/>
      <w:r>
        <w:t xml:space="preserve"> se ha </w:t>
      </w:r>
      <w:proofErr w:type="spellStart"/>
      <w:r>
        <w:t>reunido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formal para </w:t>
      </w:r>
      <w:proofErr w:type="spellStart"/>
      <w:r>
        <w:t>guiar</w:t>
      </w:r>
      <w:proofErr w:type="spellEnd"/>
      <w:r>
        <w:t xml:space="preserve"> al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y </w:t>
      </w:r>
      <w:proofErr w:type="spellStart"/>
      <w:r>
        <w:t>exigir</w:t>
      </w:r>
      <w:proofErr w:type="spellEnd"/>
      <w:r>
        <w:t xml:space="preserve"> que las solicitudes de </w:t>
      </w:r>
      <w:proofErr w:type="spellStart"/>
      <w:r>
        <w:t>reembolso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 se </w:t>
      </w:r>
      <w:proofErr w:type="spellStart"/>
      <w:r>
        <w:t>presenten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plazo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. Esto </w:t>
      </w:r>
      <w:proofErr w:type="spellStart"/>
      <w:r>
        <w:t>garantiza</w:t>
      </w:r>
      <w:proofErr w:type="spellEnd"/>
      <w:r>
        <w:t xml:space="preserve"> que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reflejen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y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confiables</w:t>
      </w:r>
      <w:proofErr w:type="spellEnd"/>
      <w:r>
        <w:t xml:space="preserve"> para </w:t>
      </w:r>
      <w:proofErr w:type="spellStart"/>
      <w:r>
        <w:t>fundamentar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gasto</w:t>
      </w:r>
      <w:proofErr w:type="spellEnd"/>
      <w:r>
        <w:t xml:space="preserve">. </w:t>
      </w:r>
    </w:p>
    <w:p w14:paraId="4E0065E6" w14:textId="77777777" w:rsidR="00FB4D89" w:rsidRDefault="00FB4D89"/>
    <w:p w14:paraId="4E0065E7" w14:textId="77777777" w:rsidR="00FB4D89" w:rsidRDefault="00BC2567">
      <w:proofErr w:type="spellStart"/>
      <w:r>
        <w:t>Además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nuevo </w:t>
      </w:r>
      <w:proofErr w:type="spellStart"/>
      <w:r>
        <w:t>Artículo</w:t>
      </w:r>
      <w:proofErr w:type="spellEnd"/>
      <w:r>
        <w:t>, "</w:t>
      </w:r>
      <w:proofErr w:type="spellStart"/>
      <w:r>
        <w:t>Políticas</w:t>
      </w:r>
      <w:proofErr w:type="spellEnd"/>
      <w:r>
        <w:t xml:space="preserve"> y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",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ampliarse</w:t>
      </w:r>
      <w:proofErr w:type="spellEnd"/>
      <w:r>
        <w:t xml:space="preserve"> para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Contribuciones</w:t>
      </w:r>
      <w:proofErr w:type="spellEnd"/>
      <w:r>
        <w:t xml:space="preserve"> e </w:t>
      </w:r>
      <w:proofErr w:type="spellStart"/>
      <w:r>
        <w:t>Ingresos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>, etc.</w:t>
      </w:r>
    </w:p>
    <w:p w14:paraId="4E0065E8" w14:textId="77777777" w:rsidR="00FB4D89" w:rsidRDefault="00FB4D89"/>
    <w:p w14:paraId="4E0065E9" w14:textId="77777777" w:rsidR="00FB4D89" w:rsidRDefault="00FB4D89">
      <w:pPr>
        <w:rPr>
          <w:u w:val="single"/>
        </w:rPr>
      </w:pPr>
    </w:p>
    <w:p w14:paraId="4E0065EA" w14:textId="77777777" w:rsidR="00FB4D89" w:rsidRDefault="00FB4D89">
      <w:pPr>
        <w:rPr>
          <w:u w:val="single"/>
        </w:rPr>
      </w:pPr>
    </w:p>
    <w:p w14:paraId="4E0065EB" w14:textId="77777777" w:rsidR="00FB4D89" w:rsidRDefault="00FB4D89">
      <w:pPr>
        <w:rPr>
          <w:u w:val="single"/>
        </w:rPr>
      </w:pPr>
    </w:p>
    <w:p w14:paraId="4E0065EC" w14:textId="77777777" w:rsidR="00FB4D89" w:rsidRDefault="00FB4D89">
      <w:pPr>
        <w:rPr>
          <w:u w:val="single"/>
        </w:rPr>
      </w:pPr>
    </w:p>
    <w:p w14:paraId="4E0065ED" w14:textId="77777777" w:rsidR="00FB4D89" w:rsidRDefault="00FB4D89">
      <w:pPr>
        <w:rPr>
          <w:u w:val="single"/>
        </w:rPr>
      </w:pPr>
    </w:p>
    <w:p w14:paraId="4E0065EE" w14:textId="77777777" w:rsidR="00FB4D89" w:rsidRDefault="00FB4D89">
      <w:pPr>
        <w:rPr>
          <w:u w:val="single"/>
        </w:rPr>
      </w:pPr>
    </w:p>
    <w:p w14:paraId="4E0065EF" w14:textId="77777777" w:rsidR="00FB4D89" w:rsidRDefault="00FB4D89">
      <w:pPr>
        <w:rPr>
          <w:u w:val="single"/>
        </w:rPr>
      </w:pPr>
    </w:p>
    <w:p w14:paraId="4E0065F0" w14:textId="77777777" w:rsidR="00FB4D89" w:rsidRDefault="00FB4D89">
      <w:pPr>
        <w:rPr>
          <w:b/>
          <w:u w:val="single"/>
        </w:rPr>
      </w:pPr>
    </w:p>
    <w:p w14:paraId="4E0065F1" w14:textId="77777777" w:rsidR="00FB4D89" w:rsidRDefault="00FB4D89">
      <w:pPr>
        <w:rPr>
          <w:b/>
          <w:u w:val="single"/>
        </w:rPr>
      </w:pPr>
    </w:p>
    <w:p w14:paraId="4E0065F2" w14:textId="77777777" w:rsidR="00FB4D89" w:rsidRDefault="00FB4D89">
      <w:pPr>
        <w:rPr>
          <w:b/>
          <w:u w:val="single"/>
        </w:rPr>
      </w:pPr>
    </w:p>
    <w:sectPr w:rsidR="00FB4D89">
      <w:pgSz w:w="12240" w:h="15840"/>
      <w:pgMar w:top="630" w:right="144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462C5C0-FBE2-445D-AF4C-46D16E2E4711}"/>
    <w:embedBold r:id="rId2" w:fontKey="{667CDC88-A81B-45DD-8976-726D009C44DE}"/>
    <w:embedItalic r:id="rId3" w:fontKey="{391EF121-C824-498F-8975-33E7C5CC0607}"/>
  </w:font>
  <w:font w:name="Play">
    <w:charset w:val="00"/>
    <w:family w:val="auto"/>
    <w:pitch w:val="default"/>
    <w:embedRegular r:id="rId4" w:fontKey="{0FBA50BE-3F48-4D01-AD7A-F356D4EC02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538DD3C-A4D7-41E5-A54B-8729FBFC7C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D89"/>
    <w:rsid w:val="002404E5"/>
    <w:rsid w:val="0072104E"/>
    <w:rsid w:val="00BC2567"/>
    <w:rsid w:val="00CB3CC8"/>
    <w:rsid w:val="00FB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65D6"/>
  <w15:docId w15:val="{251CAF88-8080-411B-A78C-A90A811F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6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8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8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9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9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33D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ca09aa.org/wp-content/uploads/2023/10/MSCA09-Guidelines-Revision-P-2023.09.20-Spanish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sca09aa.org/wp-content/uploads/2023/10/MSCA09-Guidelines-Revision-P-2023.09.20-Spanish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sca09aa.org/wp-content/uploads/2023/10/MSCA09-Guidelines-Revision-P-2023.09.20-Spanish.pdf" TargetMode="External"/><Relationship Id="rId5" Type="http://schemas.openxmlformats.org/officeDocument/2006/relationships/hyperlink" Target="https://msca09aa.org/wp-content/uploads/2023/10/MSCA09-Guidelines-Revision-P-2023.09.20-English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QhSbLD8JBIMqxuzfcisoE4IAw==">CgMxLjA4AHIhMUlhNzctcXFyWGZjRm96TGl3YXA3YTFWVENkZ1dxclBU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MSCA 09 Archives Mid-Southern California Area 09</dc:creator>
  <cp:lastModifiedBy>MSCA 09 Archives Mid-Southern California Area 09</cp:lastModifiedBy>
  <cp:revision>2</cp:revision>
  <dcterms:created xsi:type="dcterms:W3CDTF">2025-08-07T23:09:00Z</dcterms:created>
  <dcterms:modified xsi:type="dcterms:W3CDTF">2025-08-07T23:09:00Z</dcterms:modified>
</cp:coreProperties>
</file>