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50F07" w:rsidRDefault="00E976E2">
      <w:pPr>
        <w:jc w:val="center"/>
        <w:rPr>
          <w:rFonts w:ascii="Roboto" w:eastAsia="Roboto" w:hAnsi="Roboto" w:cs="Roboto"/>
          <w:b/>
          <w:bCs/>
          <w:color w:val="1F1F1F"/>
          <w:sz w:val="32"/>
          <w:szCs w:val="32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32"/>
          <w:szCs w:val="32"/>
          <w:highlight w:val="white"/>
        </w:rPr>
        <w:t>Audit Work Program</w:t>
      </w:r>
    </w:p>
    <w:p w14:paraId="00000002" w14:textId="77777777" w:rsidR="00F50F07" w:rsidRDefault="00F50F07">
      <w:pPr>
        <w:jc w:val="center"/>
        <w:rPr>
          <w:rFonts w:ascii="Roboto" w:eastAsia="Roboto" w:hAnsi="Roboto" w:cs="Roboto"/>
          <w:b/>
          <w:bCs/>
          <w:color w:val="1F1F1F"/>
          <w:sz w:val="30"/>
          <w:szCs w:val="30"/>
          <w:highlight w:val="white"/>
        </w:rPr>
      </w:pPr>
    </w:p>
    <w:p w14:paraId="00000003" w14:textId="77777777" w:rsidR="00F50F07" w:rsidRDefault="00E976E2">
      <w:p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The IIA Internal Audit</w:t>
      </w:r>
      <w:hyperlink r:id="rId5">
        <w:r>
          <w:rPr>
            <w:rFonts w:ascii="Roboto" w:eastAsia="Roboto" w:hAnsi="Roboto" w:cs="Roboto"/>
            <w:color w:val="1155CC"/>
            <w:sz w:val="26"/>
            <w:szCs w:val="26"/>
            <w:highlight w:val="white"/>
            <w:u w:val="single"/>
          </w:rPr>
          <w:t xml:space="preserve"> Performance Standard 2240</w:t>
        </w:r>
      </w:hyperlink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 xml:space="preserve"> requires Internal auditors to develop and document work programs that achieve the engagement objectives.</w:t>
      </w:r>
    </w:p>
    <w:p w14:paraId="00000004" w14:textId="77777777" w:rsidR="00F50F07" w:rsidRDefault="00F50F07">
      <w:pPr>
        <w:rPr>
          <w:rFonts w:ascii="Roboto" w:eastAsia="Roboto" w:hAnsi="Roboto" w:cs="Roboto"/>
          <w:b/>
          <w:bCs/>
          <w:color w:val="1F1F1F"/>
          <w:sz w:val="26"/>
          <w:szCs w:val="26"/>
          <w:highlight w:val="white"/>
        </w:rPr>
      </w:pPr>
    </w:p>
    <w:p w14:paraId="00000005" w14:textId="77777777" w:rsidR="00F50F07" w:rsidRDefault="00E976E2">
      <w:p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This is achieved by creating a Work Program with the following directions:</w:t>
      </w:r>
    </w:p>
    <w:p w14:paraId="00000006" w14:textId="77777777" w:rsidR="00F50F07" w:rsidRDefault="00F50F07">
      <w:p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</w:p>
    <w:p w14:paraId="00000007" w14:textId="77777777" w:rsidR="00F50F07" w:rsidRDefault="00E976E2">
      <w:pPr>
        <w:numPr>
          <w:ilvl w:val="0"/>
          <w:numId w:val="1"/>
        </w:num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Work programs must include the procedures for identifying, analyzing, eva</w:t>
      </w: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luating, and documenting information during the engagement. The work program must be approved prior to its implementation, and any adjustments approved promptly.</w:t>
      </w:r>
    </w:p>
    <w:p w14:paraId="00000008" w14:textId="77777777" w:rsidR="00F50F07" w:rsidRDefault="00E976E2">
      <w:pPr>
        <w:numPr>
          <w:ilvl w:val="0"/>
          <w:numId w:val="1"/>
        </w:num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Work programs for consulting engagements may vary in form and content depending upon the natur</w:t>
      </w: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 xml:space="preserve">e of the </w:t>
      </w:r>
      <w:proofErr w:type="gramStart"/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engagement.​</w:t>
      </w:r>
      <w:proofErr w:type="gramEnd"/>
    </w:p>
    <w:p w14:paraId="00000009" w14:textId="77777777" w:rsidR="00F50F07" w:rsidRDefault="00F50F07">
      <w:p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</w:p>
    <w:p w14:paraId="0000000A" w14:textId="77777777" w:rsidR="00F50F07" w:rsidRDefault="00E976E2">
      <w:p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 xml:space="preserve">A </w:t>
      </w:r>
      <w:proofErr w:type="spellStart"/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well documented</w:t>
      </w:r>
      <w:proofErr w:type="spellEnd"/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 xml:space="preserve"> Work Program should provide:</w:t>
      </w:r>
    </w:p>
    <w:p w14:paraId="0000000B" w14:textId="77777777" w:rsidR="00F50F07" w:rsidRDefault="00F50F07">
      <w:p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</w:p>
    <w:p w14:paraId="0000000C" w14:textId="77777777" w:rsidR="00F50F07" w:rsidRDefault="00E976E2">
      <w:pPr>
        <w:numPr>
          <w:ilvl w:val="0"/>
          <w:numId w:val="4"/>
        </w:num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Cleary defined test Objectives and Steps.</w:t>
      </w:r>
    </w:p>
    <w:p w14:paraId="0000000D" w14:textId="77777777" w:rsidR="00F50F07" w:rsidRDefault="00E976E2">
      <w:pPr>
        <w:numPr>
          <w:ilvl w:val="0"/>
          <w:numId w:val="4"/>
        </w:num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Provides clarity of the audit and ensures that the Audit stays on scope.</w:t>
      </w:r>
    </w:p>
    <w:p w14:paraId="0000000E" w14:textId="77777777" w:rsidR="00F50F07" w:rsidRDefault="00E976E2">
      <w:pPr>
        <w:numPr>
          <w:ilvl w:val="0"/>
          <w:numId w:val="4"/>
        </w:num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Provides a level of assurance that the relevant risks are being addres</w:t>
      </w: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sed.</w:t>
      </w:r>
    </w:p>
    <w:p w14:paraId="0000000F" w14:textId="77777777" w:rsidR="00F50F07" w:rsidRDefault="00E976E2">
      <w:pPr>
        <w:numPr>
          <w:ilvl w:val="0"/>
          <w:numId w:val="4"/>
        </w:numPr>
        <w:rPr>
          <w:rFonts w:ascii="Roboto" w:eastAsia="Roboto" w:hAnsi="Roboto" w:cs="Roboto"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color w:val="1F1F1F"/>
          <w:sz w:val="26"/>
          <w:szCs w:val="26"/>
          <w:highlight w:val="white"/>
        </w:rPr>
        <w:t>The ability to communicate the required testing artifacts to the teams being audited.</w:t>
      </w:r>
    </w:p>
    <w:p w14:paraId="00000020" w14:textId="77777777" w:rsidR="00F50F07" w:rsidRDefault="00F50F07">
      <w:pPr>
        <w:rPr>
          <w:rFonts w:ascii="Roboto" w:eastAsia="Roboto" w:hAnsi="Roboto" w:cs="Roboto"/>
          <w:color w:val="1F1F1F"/>
          <w:highlight w:val="white"/>
        </w:rPr>
      </w:pPr>
    </w:p>
    <w:p w14:paraId="00000021" w14:textId="77777777" w:rsidR="00F50F07" w:rsidRDefault="00E976E2">
      <w:pPr>
        <w:rPr>
          <w:rFonts w:ascii="Roboto" w:eastAsia="Roboto" w:hAnsi="Roboto" w:cs="Roboto"/>
          <w:b/>
          <w:bCs/>
          <w:color w:val="1F1F1F"/>
          <w:sz w:val="26"/>
          <w:szCs w:val="26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6"/>
          <w:szCs w:val="26"/>
          <w:highlight w:val="white"/>
        </w:rPr>
        <w:t>Generative AI Services/APIs/Plugins - Audit Work Program (example)</w:t>
      </w:r>
    </w:p>
    <w:p w14:paraId="00000022" w14:textId="77777777" w:rsidR="00F50F07" w:rsidRDefault="00F50F07">
      <w:pPr>
        <w:rPr>
          <w:rFonts w:ascii="Roboto" w:eastAsia="Roboto" w:hAnsi="Roboto" w:cs="Roboto"/>
          <w:color w:val="1F1F1F"/>
          <w:sz w:val="18"/>
          <w:szCs w:val="18"/>
          <w:highlight w:val="white"/>
        </w:rPr>
      </w:pPr>
    </w:p>
    <w:p w14:paraId="00000024" w14:textId="77777777" w:rsidR="00F50F07" w:rsidRDefault="00F50F07">
      <w:pPr>
        <w:rPr>
          <w:rFonts w:ascii="Roboto" w:eastAsia="Roboto" w:hAnsi="Roboto" w:cs="Roboto"/>
          <w:color w:val="1F1F1F"/>
          <w:sz w:val="18"/>
          <w:szCs w:val="18"/>
          <w:highlight w:val="white"/>
        </w:rPr>
      </w:pPr>
      <w:bookmarkStart w:id="0" w:name="_GoBack"/>
      <w:bookmarkEnd w:id="0"/>
    </w:p>
    <w:p w14:paraId="00000025" w14:textId="77777777" w:rsidR="00F50F07" w:rsidRDefault="00E976E2">
      <w:pPr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Audit Objectives</w:t>
      </w:r>
    </w:p>
    <w:p w14:paraId="00000026" w14:textId="77777777" w:rsidR="00F50F07" w:rsidRDefault="00E976E2">
      <w:pPr>
        <w:numPr>
          <w:ilvl w:val="0"/>
          <w:numId w:val="2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Determine the population of existing Generative AI Services, APIs, or Plugins within the company.</w:t>
      </w:r>
    </w:p>
    <w:p w14:paraId="00000027" w14:textId="77777777" w:rsidR="00F50F07" w:rsidRDefault="00E976E2">
      <w:pPr>
        <w:numPr>
          <w:ilvl w:val="0"/>
          <w:numId w:val="2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Validate that all existing Generative AI Services, or Plugins have been reviewed by the Technology or Business owners or delegates to ensure alignment to the </w:t>
      </w: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company Responsible AI Principles and Practices.</w:t>
      </w:r>
    </w:p>
    <w:p w14:paraId="00000028" w14:textId="77777777" w:rsidR="00F50F07" w:rsidRDefault="00E976E2">
      <w:pPr>
        <w:numPr>
          <w:ilvl w:val="0"/>
          <w:numId w:val="2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If the company does not currently have a defined Responsible AI Principles and Practices policy, standard, or guidelines, use existing Industry guidance from Microsoft, Google, or others.  </w:t>
      </w:r>
    </w:p>
    <w:p w14:paraId="00000029" w14:textId="77777777" w:rsidR="00F50F07" w:rsidRDefault="00E976E2">
      <w:pPr>
        <w:numPr>
          <w:ilvl w:val="0"/>
          <w:numId w:val="2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 xml:space="preserve">Determine if the </w:t>
      </w: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relevant Vendors SOC (service organization controls) Reports including controls and testing results related to their Generative AI offerings and Foundational Models.</w:t>
      </w:r>
    </w:p>
    <w:p w14:paraId="0000002A" w14:textId="77777777" w:rsidR="00F50F07" w:rsidRDefault="00F50F07">
      <w:pPr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</w:p>
    <w:p w14:paraId="0000002B" w14:textId="77777777" w:rsidR="00F50F07" w:rsidRDefault="00E976E2">
      <w:pPr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4"/>
          <w:szCs w:val="24"/>
          <w:highlight w:val="white"/>
        </w:rPr>
        <w:t>Test Step</w:t>
      </w:r>
    </w:p>
    <w:p w14:paraId="0000002C" w14:textId="77777777" w:rsidR="00F50F07" w:rsidRDefault="00F50F07">
      <w:pPr>
        <w:rPr>
          <w:rFonts w:ascii="Roboto" w:eastAsia="Roboto" w:hAnsi="Roboto" w:cs="Roboto"/>
          <w:color w:val="1F1F1F"/>
          <w:sz w:val="18"/>
          <w:szCs w:val="18"/>
          <w:highlight w:val="white"/>
        </w:rPr>
      </w:pPr>
    </w:p>
    <w:p w14:paraId="0000002D" w14:textId="77777777" w:rsidR="00F50F07" w:rsidRDefault="00F50F07">
      <w:pPr>
        <w:rPr>
          <w:rFonts w:ascii="Roboto" w:eastAsia="Roboto" w:hAnsi="Roboto" w:cs="Roboto"/>
          <w:color w:val="1F1F1F"/>
          <w:sz w:val="18"/>
          <w:szCs w:val="18"/>
          <w:highlight w:val="white"/>
        </w:rPr>
      </w:pPr>
    </w:p>
    <w:p w14:paraId="0000002E" w14:textId="77777777" w:rsidR="00F50F07" w:rsidRDefault="00E976E2">
      <w:pPr>
        <w:numPr>
          <w:ilvl w:val="0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Obtain a list of all existing Generative AI Services, APIs, or Plugins.  Veri</w:t>
      </w: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fy the following:</w:t>
      </w:r>
    </w:p>
    <w:p w14:paraId="0000002F" w14:textId="77777777" w:rsidR="00F50F07" w:rsidRDefault="00E976E2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Vendor Name</w:t>
      </w:r>
    </w:p>
    <w:p w14:paraId="00000030" w14:textId="77777777" w:rsidR="00F50F07" w:rsidRDefault="00E976E2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Tool Name and Owner</w:t>
      </w:r>
    </w:p>
    <w:p w14:paraId="00000031" w14:textId="77777777" w:rsidR="00F50F07" w:rsidRDefault="00E976E2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Tool Capability</w:t>
      </w:r>
    </w:p>
    <w:p w14:paraId="00000032" w14:textId="77777777" w:rsidR="00F50F07" w:rsidRDefault="00E976E2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Determine if the Foundational Model is provided by the Vendor or leverages and internal Foundational Model</w:t>
      </w:r>
    </w:p>
    <w:p w14:paraId="00000033" w14:textId="77777777" w:rsidR="00F50F07" w:rsidRDefault="00E976E2">
      <w:pPr>
        <w:numPr>
          <w:ilvl w:val="0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Obtain documentation that shows a review of the existing Generative AI Services, APIs, or Plugins has been completed and all relevant Responsible AI Principles and Practices have been addressed.</w:t>
      </w:r>
    </w:p>
    <w:p w14:paraId="00000034" w14:textId="77777777" w:rsidR="00F50F07" w:rsidRDefault="00E976E2">
      <w:pPr>
        <w:numPr>
          <w:ilvl w:val="0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Obtain a SOC report from the Vendors that are providing exist</w:t>
      </w: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ing Generative AI Services, APIs, or Plugins.  Verity the following:</w:t>
      </w:r>
    </w:p>
    <w:p w14:paraId="00000035" w14:textId="77777777" w:rsidR="00F50F07" w:rsidRDefault="00E976E2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4"/>
          <w:szCs w:val="24"/>
          <w:highlight w:val="white"/>
        </w:rPr>
      </w:pPr>
      <w:r>
        <w:rPr>
          <w:rFonts w:ascii="Roboto" w:eastAsia="Roboto" w:hAnsi="Roboto" w:cs="Roboto"/>
          <w:color w:val="1F1F1F"/>
          <w:sz w:val="24"/>
          <w:szCs w:val="24"/>
          <w:highlight w:val="white"/>
        </w:rPr>
        <w:t>Details on the Foundational Model they are using.</w:t>
      </w:r>
    </w:p>
    <w:p w14:paraId="00000036" w14:textId="77777777" w:rsidR="00F50F07" w:rsidRDefault="00F50F07">
      <w:pPr>
        <w:rPr>
          <w:rFonts w:ascii="Roboto" w:eastAsia="Roboto" w:hAnsi="Roboto" w:cs="Roboto"/>
          <w:color w:val="1F1F1F"/>
          <w:sz w:val="18"/>
          <w:szCs w:val="18"/>
          <w:highlight w:val="white"/>
        </w:rPr>
      </w:pPr>
    </w:p>
    <w:p w14:paraId="0000003C" w14:textId="7941F970" w:rsidR="00F50F07" w:rsidRDefault="00F50F07">
      <w:pPr>
        <w:rPr>
          <w:rFonts w:ascii="Roboto" w:eastAsia="Roboto" w:hAnsi="Roboto" w:cs="Roboto"/>
          <w:b/>
          <w:bCs/>
          <w:color w:val="1F1F1F"/>
          <w:sz w:val="26"/>
          <w:szCs w:val="26"/>
          <w:highlight w:val="white"/>
        </w:rPr>
      </w:pPr>
    </w:p>
    <w:sectPr w:rsidR="00F50F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634EAB"/>
    <w:multiLevelType w:val="multilevel"/>
    <w:tmpl w:val="593481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E06EAA"/>
    <w:multiLevelType w:val="multilevel"/>
    <w:tmpl w:val="842624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B211AEE"/>
    <w:multiLevelType w:val="multilevel"/>
    <w:tmpl w:val="856878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EE41919"/>
    <w:multiLevelType w:val="multilevel"/>
    <w:tmpl w:val="29562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07"/>
    <w:rsid w:val="00E976E2"/>
    <w:rsid w:val="00F5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D3E1E"/>
  <w15:docId w15:val="{84D4B0D8-88B2-0046-84DD-3E398C0F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heiia.org/en/standards/what-are-the-standards/mandatory-guidance/standards/performance-standar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2026-10-12T02:24:00Z</dcterms:created>
  <dcterms:modified xsi:type="dcterms:W3CDTF">2026-10-12T02:25:00Z</dcterms:modified>
</cp:coreProperties>
</file>