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b w:val="1"/>
          <w:bCs w:val="1"/>
          <w:sz w:val="24"/>
          <w:szCs w:val="24"/>
          <w:rtl w:val="0"/>
        </w:rPr>
        <w:t xml:space="preserve">Background Information and Audit Overview</w:t>
      </w:r>
    </w:p>
    <w:p w:rsidR="00000000" w:rsidDel="00000000" w:rsidP="00000000" w:rsidRDefault="00000000" w:rsidRPr="00000000" w14:paraId="00000004">
      <w:pPr>
        <w:ind w:left="0" w:firstLine="0"/>
        <w:rPr>
          <w:b w:val="1"/>
          <w:bCs w:val="1"/>
          <w:sz w:val="24"/>
          <w:szCs w:val="24"/>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Generative AI is quickly becoming a ubiquitous technology that will soon be integrated into every capability and domain within business and technology - making this technology the equivalent of monitors and keyboards. This provides a challenge to Internal Audit groups who may need to provide an objective and independent opinion on Generative AI technologies and solutions based on requests from their Boards, Regulators, or internal Leaders.</w:t>
      </w:r>
    </w:p>
    <w:p w:rsidR="00000000" w:rsidDel="00000000" w:rsidP="00000000" w:rsidRDefault="00000000" w:rsidRPr="00000000" w14:paraId="00000006">
      <w:pPr>
        <w:ind w:left="0" w:firstLine="0"/>
        <w:rPr>
          <w:b w:val="1"/>
          <w:bCs w:val="1"/>
          <w:sz w:val="24"/>
          <w:szCs w:val="24"/>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For Internal Audit groups to be able to provide an objective opinion on potential risks within the proper context, there needs to be a common understanding of the terms Artificial Intelligence, Machine Learning, Deep Learning, Transformers and Large Language Models, and Generative AI.</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b w:val="1"/>
          <w:bCs w:val="1"/>
          <w:rtl w:val="0"/>
        </w:rPr>
        <w:t xml:space="preserve">Artificial Intelligence</w:t>
      </w:r>
      <w:r w:rsidDel="00000000" w:rsidR="00000000" w:rsidRPr="00000000">
        <w:rPr>
          <w:rtl w:val="0"/>
        </w:rPr>
        <w:t xml:space="preserve">: Nils J. Nilsson defines AI as the “activity devoted to making machines intelligent, and intelligence is that quality that enables an entity to function appropriately and with foresight in its environment.”  The AAAI provides the following definition, “The ѕсiеntifiс undеrѕtаnding оf the mесhаniѕmѕ underlying thought аnd intеlligеnt behavior and thеir embodiment in machines.”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Simplifying these definitions, the term AI can be understood as the technology that enables machines to function intelligently in an appropriate context.</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b w:val="1"/>
          <w:bCs w:val="1"/>
          <w:rtl w:val="0"/>
        </w:rPr>
        <w:t xml:space="preserve">Machine Learning: </w:t>
      </w:r>
      <w:r w:rsidDel="00000000" w:rsidR="00000000" w:rsidRPr="00000000">
        <w:rPr>
          <w:rtl w:val="0"/>
        </w:rPr>
        <w:t xml:space="preserve"> Machine Learning can be thought of as a subset of AI.  Luca R. </w:t>
      </w:r>
      <w:r w:rsidDel="00000000" w:rsidR="00000000" w:rsidRPr="00000000">
        <w:rPr>
          <w:rtl w:val="0"/>
        </w:rPr>
        <w:t xml:space="preserve">Joahnson</w:t>
      </w:r>
      <w:r w:rsidDel="00000000" w:rsidR="00000000" w:rsidRPr="00000000">
        <w:rPr>
          <w:rtl w:val="0"/>
        </w:rPr>
        <w:t xml:space="preserve"> defines Machine Learning as, “саtеgоrу оf algorithm that allows ѕоftwаrе applications tо bесоmе mоrе ассurаtе in рrеdiсting оutсоmеѕ withоut being explicitly рrоgrаmmеd. The bаѕiс рrеmiѕе оf mасhinе learning is tо build algorithms that саn receive inрut dаtа and uѕе ѕtаtiѕtiсаl аnаlуѕiѕ to рrеdiсt аn output while uрdаting оutрutѕ аѕ new data bесоmеѕ available.”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As this definition implies, large amounts of quality data need to be continually available for Machine Learning solutions to function accurately - without the need of explicit human training.</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b w:val="1"/>
          <w:bCs w:val="1"/>
          <w:rtl w:val="0"/>
        </w:rPr>
        <w:t xml:space="preserve">Deep Learning: </w:t>
      </w:r>
      <w:r w:rsidDel="00000000" w:rsidR="00000000" w:rsidRPr="00000000">
        <w:rPr>
          <w:rtl w:val="0"/>
        </w:rPr>
        <w:t xml:space="preserve">Deep Learning can be thought of as a subset of Machine Learning.  John D. Kelleher defines this technology as “a subfield of AI that focuses on creating large neural network models that are capable of making accurate data driven decisions.”  Ian Goodfellow, Yoshua Bengio, and Aaron Courville define Deep Learning as a “particular kind of machine learning that achieves great power and flexibility by representing the world as a nested hierarchy of concepts, with each concept defined in relation to simpler concepts, and more abstract representations computed in terms of less abstract ones.”</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Simplifying these definitions, Deep Learning tries to mimic how humans learn via Neural Networks which try to mimic the brain - starting with simple concepts and data and continually building on top of them until they are able to comprehend complex concepts and patterns.</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b w:val="1"/>
          <w:bCs w:val="1"/>
          <w:rtl w:val="0"/>
        </w:rPr>
        <w:t xml:space="preserve">Transformers and Large Language Models (LLMs): </w:t>
      </w:r>
      <w:r w:rsidDel="00000000" w:rsidR="00000000" w:rsidRPr="00000000">
        <w:rPr>
          <w:rtl w:val="0"/>
        </w:rPr>
        <w:t xml:space="preserve">One of the major pain-points of Deep Learning and Machine Learning was the difficulty of providing context - something which humans are naturally able to apply to situations.  In the 2017 paper </w:t>
      </w:r>
      <w:hyperlink r:id="rId6">
        <w:r w:rsidDel="00000000" w:rsidR="00000000" w:rsidRPr="00000000">
          <w:rPr>
            <w:color w:val="1155cc"/>
            <w:u w:val="single"/>
            <w:rtl w:val="0"/>
          </w:rPr>
          <w:t xml:space="preserve">Attention Is All You Need</w:t>
        </w:r>
      </w:hyperlink>
      <w:r w:rsidDel="00000000" w:rsidR="00000000" w:rsidRPr="00000000">
        <w:rPr>
          <w:rtl w:val="0"/>
        </w:rPr>
        <w:t xml:space="preserve">, the authors  present a new architecture, the Transformer, that is able to provide this needed context.</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Large Language Models are Deep Learning Models that work on human language and leverage Transformers to be able to provide the context of words within sentences and even paragraphs.</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Transformers could be considered the breakthrough technology behind the proliferation of Generative AI solutions that we see today - all based on the core concept of the appropriate context, which is key for a successful Artificial Intelligence.</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b w:val="1"/>
          <w:bCs w:val="1"/>
          <w:rtl w:val="0"/>
        </w:rPr>
        <w:t xml:space="preserve">Generative AI</w:t>
      </w:r>
      <w:r w:rsidDel="00000000" w:rsidR="00000000" w:rsidRPr="00000000">
        <w:rPr>
          <w:rtl w:val="0"/>
        </w:rPr>
        <w:t xml:space="preserve">: Generative AI is a subset of Deep Learning and has grabbed the world’s attention - and for good reason.  This technology can generate high quality and context appropriate images, videos, music and text. A subset of Generative leverages LLMs to focus on text-based data.</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The power of Generative AI comes from the power of the Foundational Models, which are based on complex Neural Networks which are able to understand the context of the data it’s been presented.  This allows them to produce results that should be meaningful for a human audience.  </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b w:val="1"/>
          <w:bCs w:val="1"/>
          <w:rtl w:val="0"/>
        </w:rPr>
        <w:t xml:space="preserve">Audit Overview: </w:t>
      </w:r>
      <w:r w:rsidDel="00000000" w:rsidR="00000000" w:rsidRPr="00000000">
        <w:rPr>
          <w:rtl w:val="0"/>
        </w:rPr>
        <w:t xml:space="preserve">To help enable an effective risk opinion in the proper context of Generative AI, this Audit will not focus on each of these technologies and how they have been applied and governed.  The Audit will focus on two Domains of Generative AI - one will be a more simplified review of Services and the other will take a more in-depth view of Development, Foundational Models, and RAG.  </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The first Domain is Generative AI Services, APIs, and Plug-ins which are developed and provided by vendors and partners - such as Microsoft, Google, GitHub, and Amazon.  There are many Copilot’s and AI helpers which are being built into existing tools and services.  These will soon be ubiquitous, but may introduce some potential material risks which may need to be reviewed by Internal Audit.</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The second Domain of the Audit will focus on the Delivery Lifecycle of Generative AI Solutions, Foundational Models that power the Generative AI solutions, and  Retrieval Augmented Generation (RAG) capabilities which may be leveraged to provide Company specific context to Generative AI output.  RAG accomplishes this without having to re-train or fine tune the underlying Foundational Model.</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The Delivery Lifecycle can be broken up into 2 parts.  First, external solutions provided by vendors which will be covered in SOC (service organization controls) Reports and other audit documentation.  Second, there may be internal Development of Generative AI solutions that will need to be audited - generally with more traditional SDLC controls and processes.  These SDLC controls and processes should also be included in external vendor SOC reports as well.</w:t>
      </w:r>
    </w:p>
    <w:p w:rsidR="00000000" w:rsidDel="00000000" w:rsidP="00000000" w:rsidRDefault="00000000" w:rsidRPr="00000000" w14:paraId="00000026">
      <w:pPr>
        <w:ind w:left="0" w:firstLine="0"/>
        <w:rPr>
          <w:b w:val="1"/>
          <w:bCs w:val="1"/>
          <w:sz w:val="24"/>
          <w:szCs w:val="24"/>
        </w:rPr>
      </w:pPr>
      <w:r w:rsidDel="00000000" w:rsidR="00000000" w:rsidRPr="00000000">
        <w:rPr>
          <w:rtl w:val="0"/>
        </w:rPr>
      </w:r>
    </w:p>
    <w:p w:rsidR="00000000" w:rsidDel="00000000" w:rsidP="00000000" w:rsidRDefault="00000000" w:rsidRPr="00000000" w14:paraId="00000027">
      <w:pPr>
        <w:ind w:left="0" w:firstLine="0"/>
        <w:rPr>
          <w:b w:val="1"/>
          <w:bCs w:val="1"/>
          <w:sz w:val="24"/>
          <w:szCs w:val="24"/>
        </w:rPr>
      </w:pPr>
      <w:r w:rsidDel="00000000" w:rsidR="00000000" w:rsidRPr="00000000">
        <w:rPr>
          <w:b w:val="1"/>
          <w:bCs w:val="1"/>
          <w:sz w:val="24"/>
          <w:szCs w:val="24"/>
          <w:rtl w:val="0"/>
        </w:rPr>
        <w:t xml:space="preserve">Risk Assessments</w:t>
      </w:r>
    </w:p>
    <w:p w:rsidR="00000000" w:rsidDel="00000000" w:rsidP="00000000" w:rsidRDefault="00000000" w:rsidRPr="00000000" w14:paraId="00000028">
      <w:pPr>
        <w:ind w:left="0" w:firstLine="0"/>
        <w:rPr>
          <w:b w:val="1"/>
          <w:bCs w:val="1"/>
          <w:sz w:val="24"/>
          <w:szCs w:val="24"/>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For each of the two Audit Domain areas, a Risk and Control Matrix has been created to rate the overall inherent risk within the company.  </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The area of Generative AI Services, APIs, and Plug-ins will be rated on the existing solutions adherence to common Responsible AI Principles, Practices and Guidelines - such as </w:t>
      </w:r>
      <w:hyperlink r:id="rId7">
        <w:r w:rsidDel="00000000" w:rsidR="00000000" w:rsidRPr="00000000">
          <w:rPr>
            <w:color w:val="1155cc"/>
            <w:u w:val="single"/>
            <w:rtl w:val="0"/>
          </w:rPr>
          <w:t xml:space="preserve">Microsoft’s Responsible AI Principles and Approach</w:t>
        </w:r>
      </w:hyperlink>
      <w:r w:rsidDel="00000000" w:rsidR="00000000" w:rsidRPr="00000000">
        <w:rPr>
          <w:rtl w:val="0"/>
        </w:rPr>
        <w:t xml:space="preserve">.  These can include, but are not limited to:</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b w:val="1"/>
          <w:bCs w:val="1"/>
          <w:rtl w:val="0"/>
        </w:rPr>
        <w:t xml:space="preserve">Fairness and Accountability: </w:t>
      </w:r>
      <w:r w:rsidDel="00000000" w:rsidR="00000000" w:rsidRPr="00000000">
        <w:rPr>
          <w:rtl w:val="0"/>
        </w:rPr>
        <w:t xml:space="preserve">How is the technology being applied in the company and who is accountable to ensure there is a human-focused approach?</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b w:val="1"/>
          <w:bCs w:val="1"/>
          <w:rtl w:val="0"/>
        </w:rPr>
        <w:t xml:space="preserve">Reliability and Accuracy: </w:t>
      </w:r>
      <w:r w:rsidDel="00000000" w:rsidR="00000000" w:rsidRPr="00000000">
        <w:rPr>
          <w:rtl w:val="0"/>
        </w:rPr>
        <w:t xml:space="preserve">What controls are in place to ensure any content that is created is not only reliable and accurate - but also includes human oversight.</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b w:val="1"/>
          <w:bCs w:val="1"/>
          <w:rtl w:val="0"/>
        </w:rPr>
        <w:t xml:space="preserve">Privacy and Security: </w:t>
      </w:r>
      <w:r w:rsidDel="00000000" w:rsidR="00000000" w:rsidRPr="00000000">
        <w:rPr>
          <w:rtl w:val="0"/>
        </w:rPr>
        <w:t xml:space="preserve">Are existing privacy and security controls materially affected by the rollout of Generative AI solutions?</w:t>
      </w:r>
    </w:p>
    <w:p w:rsidR="00000000" w:rsidDel="00000000" w:rsidP="00000000" w:rsidRDefault="00000000" w:rsidRPr="00000000" w14:paraId="00000032">
      <w:pPr>
        <w:ind w:left="0" w:firstLine="0"/>
        <w:rPr>
          <w:b w:val="1"/>
          <w:bCs w:val="1"/>
          <w:sz w:val="24"/>
          <w:szCs w:val="24"/>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b w:val="1"/>
          <w:bCs w:val="1"/>
          <w:rtl w:val="0"/>
        </w:rPr>
        <w:t xml:space="preserve">Human Centric Approach: </w:t>
      </w:r>
      <w:r w:rsidDel="00000000" w:rsidR="00000000" w:rsidRPr="00000000">
        <w:rPr>
          <w:rtl w:val="0"/>
        </w:rPr>
        <w:t xml:space="preserve">Throughout the rollout of Generative AI solutions, is there a human-centric approach that will enable greater opportunities.  Or, are the solutions being leveraged for cost-cutting opportunities?</w:t>
      </w:r>
    </w:p>
    <w:p w:rsidR="00000000" w:rsidDel="00000000" w:rsidP="00000000" w:rsidRDefault="00000000" w:rsidRPr="00000000" w14:paraId="00000034">
      <w:pPr>
        <w:ind w:left="0" w:firstLine="0"/>
        <w:rPr>
          <w:b w:val="1"/>
          <w:bCs w:val="1"/>
          <w:sz w:val="24"/>
          <w:szCs w:val="24"/>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The area of Delivery LIfecycle, Generative AI Foundational Models and RAG capabilities will be rated on existing Software Development controls and best practices as well as new audit capabilities that will ensure the accuracy and truthfulness of the Models.</w:t>
      </w:r>
    </w:p>
    <w:p w:rsidR="00000000" w:rsidDel="00000000" w:rsidP="00000000" w:rsidRDefault="00000000" w:rsidRPr="00000000" w14:paraId="00000036">
      <w:pPr>
        <w:ind w:left="0" w:firstLine="0"/>
        <w:rPr>
          <w:b w:val="1"/>
          <w:bCs w:val="1"/>
          <w:sz w:val="24"/>
          <w:szCs w:val="24"/>
        </w:rPr>
      </w:pPr>
      <w:r w:rsidDel="00000000" w:rsidR="00000000" w:rsidRPr="00000000">
        <w:rPr>
          <w:rtl w:val="0"/>
        </w:rPr>
      </w:r>
    </w:p>
    <w:p w:rsidR="00000000" w:rsidDel="00000000" w:rsidP="00000000" w:rsidRDefault="00000000" w:rsidRPr="00000000" w14:paraId="00000037">
      <w:pPr>
        <w:ind w:left="0" w:firstLine="0"/>
        <w:rPr>
          <w:b w:val="1"/>
          <w:bCs w:val="1"/>
          <w:sz w:val="24"/>
          <w:szCs w:val="24"/>
        </w:rPr>
      </w:pPr>
      <w:r w:rsidDel="00000000" w:rsidR="00000000" w:rsidRPr="00000000">
        <w:rPr>
          <w:b w:val="1"/>
          <w:bCs w:val="1"/>
          <w:sz w:val="24"/>
          <w:szCs w:val="24"/>
          <w:rtl w:val="0"/>
        </w:rPr>
        <w:t xml:space="preserve">Audit Scope and Objectives</w:t>
      </w:r>
    </w:p>
    <w:p w:rsidR="00000000" w:rsidDel="00000000" w:rsidP="00000000" w:rsidRDefault="00000000" w:rsidRPr="00000000" w14:paraId="00000038">
      <w:pPr>
        <w:ind w:left="0" w:firstLine="0"/>
        <w:rPr>
          <w:b w:val="1"/>
          <w:bCs w:val="1"/>
          <w:sz w:val="24"/>
          <w:szCs w:val="24"/>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The Audit Engagement scope and objectives will be based on the key controls, processes, and inherent risks defined and highlighted in the Risk and Controls Matrix.</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The scope and objectives will also include opinions based on the following criteria which were highlighted in the </w:t>
      </w:r>
      <w:hyperlink r:id="rId8">
        <w:r w:rsidDel="00000000" w:rsidR="00000000" w:rsidRPr="00000000">
          <w:rPr>
            <w:color w:val="1155cc"/>
            <w:u w:val="single"/>
            <w:rtl w:val="0"/>
          </w:rPr>
          <w:t xml:space="preserve">Quantitative AI Risk Assessments</w:t>
        </w:r>
      </w:hyperlink>
      <w:r w:rsidDel="00000000" w:rsidR="00000000" w:rsidRPr="00000000">
        <w:rPr>
          <w:rtl w:val="0"/>
        </w:rPr>
        <w:t xml:space="preserve"> paper from IBM to help companies leverage the positive capabilities of AI technology while reducing the risks</w:t>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b w:val="1"/>
          <w:bCs w:val="1"/>
        </w:rPr>
      </w:pPr>
      <w:r w:rsidDel="00000000" w:rsidR="00000000" w:rsidRPr="00000000">
        <w:rPr>
          <w:b w:val="1"/>
          <w:bCs w:val="1"/>
          <w:rtl w:val="0"/>
        </w:rPr>
        <w:t xml:space="preserve">Performance and Uncertainty: </w:t>
      </w:r>
      <w:r w:rsidDel="00000000" w:rsidR="00000000" w:rsidRPr="00000000">
        <w:rPr>
          <w:rtl w:val="0"/>
        </w:rPr>
        <w:t xml:space="preserve">Models that do not provide sufficiently accurate decisions presents a fundamental risk if it is deployed.  </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numPr>
          <w:ilvl w:val="0"/>
          <w:numId w:val="1"/>
        </w:numPr>
        <w:ind w:left="720" w:hanging="360"/>
        <w:rPr>
          <w:b w:val="1"/>
          <w:bCs w:val="1"/>
        </w:rPr>
      </w:pPr>
      <w:r w:rsidDel="00000000" w:rsidR="00000000" w:rsidRPr="00000000">
        <w:rPr>
          <w:b w:val="1"/>
          <w:bCs w:val="1"/>
          <w:rtl w:val="0"/>
        </w:rPr>
        <w:t xml:space="preserve">Fairness: </w:t>
      </w:r>
      <w:r w:rsidDel="00000000" w:rsidR="00000000" w:rsidRPr="00000000">
        <w:rPr>
          <w:rtl w:val="0"/>
        </w:rPr>
        <w:t xml:space="preserve">Although machine learning, by its very nature, is a form of statical discrimination, the discrimination becomes objectionable when it places certain privileged groups at systematic advantage over unprivileged groups.  </w:t>
      </w:r>
    </w:p>
    <w:p w:rsidR="00000000" w:rsidDel="00000000" w:rsidP="00000000" w:rsidRDefault="00000000" w:rsidRPr="00000000" w14:paraId="00000040">
      <w:pPr>
        <w:ind w:left="720" w:firstLine="0"/>
        <w:rPr>
          <w:b w:val="1"/>
          <w:bCs w:val="1"/>
        </w:rPr>
      </w:pPr>
      <w:r w:rsidDel="00000000" w:rsidR="00000000" w:rsidRPr="00000000">
        <w:rPr>
          <w:rtl w:val="0"/>
        </w:rPr>
      </w:r>
    </w:p>
    <w:p w:rsidR="00000000" w:rsidDel="00000000" w:rsidP="00000000" w:rsidRDefault="00000000" w:rsidRPr="00000000" w14:paraId="00000041">
      <w:pPr>
        <w:numPr>
          <w:ilvl w:val="0"/>
          <w:numId w:val="1"/>
        </w:numPr>
        <w:ind w:left="720" w:hanging="360"/>
        <w:rPr>
          <w:b w:val="1"/>
          <w:bCs w:val="1"/>
        </w:rPr>
      </w:pPr>
      <w:r w:rsidDel="00000000" w:rsidR="00000000" w:rsidRPr="00000000">
        <w:rPr>
          <w:b w:val="1"/>
          <w:bCs w:val="1"/>
          <w:rtl w:val="0"/>
        </w:rPr>
        <w:t xml:space="preserve">Privacy: </w:t>
      </w:r>
      <w:r w:rsidDel="00000000" w:rsidR="00000000" w:rsidRPr="00000000">
        <w:rPr>
          <w:rtl w:val="0"/>
        </w:rPr>
        <w:t xml:space="preserve">Many privacy regulations (for example EU GDPR) mandate that organizations be held liable by certain privacy principles when processing personal information.</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numPr>
          <w:ilvl w:val="0"/>
          <w:numId w:val="1"/>
        </w:numPr>
        <w:ind w:left="720" w:hanging="360"/>
        <w:rPr>
          <w:b w:val="1"/>
          <w:bCs w:val="1"/>
        </w:rPr>
      </w:pPr>
      <w:r w:rsidDel="00000000" w:rsidR="00000000" w:rsidRPr="00000000">
        <w:rPr>
          <w:b w:val="1"/>
          <w:bCs w:val="1"/>
          <w:rtl w:val="0"/>
        </w:rPr>
        <w:t xml:space="preserve">Robustness: </w:t>
      </w:r>
      <w:r w:rsidDel="00000000" w:rsidR="00000000" w:rsidRPr="00000000">
        <w:rPr>
          <w:rtl w:val="0"/>
        </w:rPr>
        <w:t xml:space="preserve">If a model is not robust, a malicious actor could manipulate the model inputs to change its outcomes.</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numPr>
          <w:ilvl w:val="0"/>
          <w:numId w:val="1"/>
        </w:numPr>
        <w:ind w:left="720" w:hanging="360"/>
        <w:rPr>
          <w:b w:val="1"/>
          <w:bCs w:val="1"/>
        </w:rPr>
      </w:pPr>
      <w:r w:rsidDel="00000000" w:rsidR="00000000" w:rsidRPr="00000000">
        <w:rPr>
          <w:b w:val="1"/>
          <w:bCs w:val="1"/>
          <w:rtl w:val="0"/>
        </w:rPr>
        <w:t xml:space="preserve">Explainability: </w:t>
      </w:r>
      <w:r w:rsidDel="00000000" w:rsidR="00000000" w:rsidRPr="00000000">
        <w:rPr>
          <w:rtl w:val="0"/>
        </w:rPr>
        <w:t xml:space="preserve">Explanations can provide information to a human about why a model made a particular decision.  This complements the more global information associated with overall model transparency of understandability.  </w:t>
      </w:r>
      <w:r w:rsidDel="00000000" w:rsidR="00000000" w:rsidRPr="00000000">
        <w:rPr>
          <w:rtl w:val="0"/>
        </w:rPr>
      </w:r>
    </w:p>
    <w:p w:rsidR="00000000" w:rsidDel="00000000" w:rsidP="00000000" w:rsidRDefault="00000000" w:rsidRPr="00000000" w14:paraId="00000046">
      <w:pPr>
        <w:ind w:left="0" w:firstLine="0"/>
        <w:rPr>
          <w:b w:val="1"/>
          <w:bCs w:val="1"/>
          <w:sz w:val="24"/>
          <w:szCs w:val="24"/>
        </w:rPr>
      </w:pPr>
      <w:r w:rsidDel="00000000" w:rsidR="00000000" w:rsidRPr="00000000">
        <w:rPr>
          <w:rtl w:val="0"/>
        </w:rPr>
      </w:r>
    </w:p>
    <w:p w:rsidR="00000000" w:rsidDel="00000000" w:rsidP="00000000" w:rsidRDefault="00000000" w:rsidRPr="00000000" w14:paraId="00000047">
      <w:pPr>
        <w:ind w:left="0" w:firstLine="0"/>
        <w:rPr>
          <w:b w:val="1"/>
          <w:bCs w:val="1"/>
          <w:sz w:val="24"/>
          <w:szCs w:val="24"/>
        </w:rPr>
      </w:pPr>
      <w:r w:rsidDel="00000000" w:rsidR="00000000" w:rsidRPr="00000000">
        <w:rPr>
          <w:rtl w:val="0"/>
        </w:rPr>
      </w:r>
    </w:p>
    <w:p w:rsidR="00000000" w:rsidDel="00000000" w:rsidP="00000000" w:rsidRDefault="00000000" w:rsidRPr="00000000" w14:paraId="00000048">
      <w:pPr>
        <w:ind w:left="0" w:firstLine="0"/>
        <w:rPr>
          <w:b w:val="1"/>
          <w:bCs w:val="1"/>
          <w:sz w:val="24"/>
          <w:szCs w:val="24"/>
        </w:rPr>
      </w:pPr>
      <w:r w:rsidDel="00000000" w:rsidR="00000000" w:rsidRPr="00000000">
        <w:rPr>
          <w:rtl w:val="0"/>
        </w:rPr>
      </w:r>
    </w:p>
    <w:p w:rsidR="00000000" w:rsidDel="00000000" w:rsidP="00000000" w:rsidRDefault="00000000" w:rsidRPr="00000000" w14:paraId="00000049">
      <w:pPr>
        <w:ind w:left="0" w:firstLine="0"/>
        <w:rPr>
          <w:b w:val="1"/>
          <w:bCs w:val="1"/>
          <w:sz w:val="24"/>
          <w:szCs w:val="24"/>
        </w:rPr>
      </w:pPr>
      <w:r w:rsidDel="00000000" w:rsidR="00000000" w:rsidRPr="00000000">
        <w:rPr>
          <w:b w:val="1"/>
          <w:bCs w:val="1"/>
          <w:sz w:val="24"/>
          <w:szCs w:val="24"/>
          <w:rtl w:val="0"/>
        </w:rPr>
        <w:t xml:space="preserve">Sampling Details (if applicable)</w:t>
      </w:r>
    </w:p>
    <w:p w:rsidR="00000000" w:rsidDel="00000000" w:rsidP="00000000" w:rsidRDefault="00000000" w:rsidRPr="00000000" w14:paraId="0000004A">
      <w:pPr>
        <w:ind w:left="0" w:firstLine="0"/>
        <w:rPr>
          <w:b w:val="1"/>
          <w:bCs w:val="1"/>
          <w:sz w:val="24"/>
          <w:szCs w:val="24"/>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The sampling approach during the audit will be based on the judgment of the Internal Audit team and will follow statistical best practices based on the Institute of Internal Auditors (IIA) standards and guidance.  </w:t>
      </w:r>
    </w:p>
    <w:p w:rsidR="00000000" w:rsidDel="00000000" w:rsidP="00000000" w:rsidRDefault="00000000" w:rsidRPr="00000000" w14:paraId="0000004C">
      <w:pPr>
        <w:ind w:left="0" w:firstLine="0"/>
        <w:rPr>
          <w:b w:val="1"/>
          <w:bCs w:val="1"/>
          <w:sz w:val="24"/>
          <w:szCs w:val="24"/>
        </w:rPr>
      </w:pPr>
      <w:r w:rsidDel="00000000" w:rsidR="00000000" w:rsidRPr="00000000">
        <w:rPr>
          <w:rtl w:val="0"/>
        </w:rPr>
      </w:r>
    </w:p>
    <w:p w:rsidR="00000000" w:rsidDel="00000000" w:rsidP="00000000" w:rsidRDefault="00000000" w:rsidRPr="00000000" w14:paraId="0000004D">
      <w:pPr>
        <w:ind w:left="0" w:firstLine="0"/>
        <w:rPr>
          <w:b w:val="1"/>
          <w:bCs w:val="1"/>
          <w:sz w:val="24"/>
          <w:szCs w:val="24"/>
        </w:rPr>
      </w:pPr>
      <w:r w:rsidDel="00000000" w:rsidR="00000000" w:rsidRPr="00000000">
        <w:rPr>
          <w:b w:val="1"/>
          <w:bCs w:val="1"/>
          <w:sz w:val="24"/>
          <w:szCs w:val="24"/>
          <w:rtl w:val="0"/>
        </w:rPr>
        <w:t xml:space="preserve">Audit Timing</w:t>
      </w:r>
    </w:p>
    <w:p w:rsidR="00000000" w:rsidDel="00000000" w:rsidP="00000000" w:rsidRDefault="00000000" w:rsidRPr="00000000" w14:paraId="0000004E">
      <w:pPr>
        <w:ind w:left="0" w:firstLine="0"/>
        <w:rPr>
          <w:b w:val="1"/>
          <w:bCs w:val="1"/>
          <w:sz w:val="24"/>
          <w:szCs w:val="24"/>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TBD</w:t>
      </w:r>
    </w:p>
    <w:p w:rsidR="00000000" w:rsidDel="00000000" w:rsidP="00000000" w:rsidRDefault="00000000" w:rsidRPr="00000000" w14:paraId="00000050">
      <w:pPr>
        <w:ind w:left="0" w:firstLine="0"/>
        <w:rPr>
          <w:b w:val="1"/>
          <w:bCs w:val="1"/>
          <w:sz w:val="24"/>
          <w:szCs w:val="24"/>
        </w:rPr>
      </w:pPr>
      <w:r w:rsidDel="00000000" w:rsidR="00000000" w:rsidRPr="00000000">
        <w:rPr>
          <w:rtl w:val="0"/>
        </w:rPr>
      </w:r>
    </w:p>
    <w:p w:rsidR="00000000" w:rsidDel="00000000" w:rsidP="00000000" w:rsidRDefault="00000000" w:rsidRPr="00000000" w14:paraId="00000051">
      <w:pPr>
        <w:ind w:left="0" w:firstLine="0"/>
        <w:rPr>
          <w:b w:val="1"/>
          <w:bCs w:val="1"/>
          <w:sz w:val="24"/>
          <w:szCs w:val="24"/>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sz w:val="20"/>
        <w:szCs w:val="20"/>
      </w:rPr>
    </w:pPr>
    <w:r w:rsidDel="00000000" w:rsidR="00000000" w:rsidRPr="00000000">
      <w:rPr>
        <w:sz w:val="20"/>
        <w:szCs w:val="20"/>
        <w:rtl w:val="0"/>
      </w:rPr>
      <w:t xml:space="preserve">Company Name: </w:t>
      <w:tab/>
      <w:tab/>
      <w:t xml:space="preserve">     Line of Business:</w:t>
    </w:r>
  </w:p>
  <w:p w:rsidR="00000000" w:rsidDel="00000000" w:rsidP="00000000" w:rsidRDefault="00000000" w:rsidRPr="00000000" w14:paraId="00000053">
    <w:pPr>
      <w:rPr>
        <w:sz w:val="20"/>
        <w:szCs w:val="20"/>
      </w:rPr>
    </w:pPr>
    <w:r w:rsidDel="00000000" w:rsidR="00000000" w:rsidRPr="00000000">
      <w:rPr>
        <w:sz w:val="20"/>
        <w:szCs w:val="20"/>
        <w:rtl w:val="0"/>
      </w:rPr>
      <w:t xml:space="preserve">Audit Type: </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rxiv.org/abs/1706.03762?ref=jeremyjordan.me" TargetMode="External"/><Relationship Id="rId7" Type="http://schemas.openxmlformats.org/officeDocument/2006/relationships/hyperlink" Target="https://www.microsoft.com/en-us/ai/principles-and-approach" TargetMode="External"/><Relationship Id="rId8" Type="http://schemas.openxmlformats.org/officeDocument/2006/relationships/hyperlink" Target="https://arxiv.org/abs/2209.063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