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sz w:val="44"/>
        </w:rPr>
        <w:t>Empirical Results, Diagnostics, Limitations, and Conclusion</w:t>
      </w:r>
    </w:p>
    <w:p>
      <w:pPr>
        <w:spacing w:after="240"/>
      </w:pPr>
      <w:r>
        <w:rPr>
          <w:rFonts w:ascii="Calibri" w:hAnsi="Calibri"/>
          <w:color w:val="595959"/>
          <w:sz w:val="24"/>
        </w:rPr>
        <w:t>Battery build-out and the shape of California electricity prices</w:t>
      </w:r>
    </w:p>
    <w:p>
      <w:pPr>
        <w:spacing w:after="200"/>
      </w:pPr>
      <w:r>
        <w:rPr>
          <w:rFonts w:ascii="Calibri" w:hAnsi="Calibri"/>
          <w:b/>
          <w:sz w:val="22"/>
        </w:rPr>
        <w:t>Main finding. After demand, solar, delivered gas cost, calendar effects, and a linear trend are included, the estimated association between battery power capacity and the SP15 evening-minus-midday price spread is close to zero and very imprecise.</w:t>
      </w:r>
    </w:p>
    <w:p>
      <w:pPr>
        <w:pStyle w:val="Heading1"/>
      </w:pPr>
      <w:r>
        <w:t>Results</w:t>
      </w:r>
    </w:p>
    <w:p>
      <w:pPr/>
      <w:r>
        <w:t>The merged file contains all 976 operating dates from 1 May 2023 to 31 December 2025. The adjusted EIA-930 demand and solar fields are blank for all hours on 2 November 2024, so the pre-specified complete-window rule leaves 975 observations. No value was imputed. The mean daily SP15 evening-minus-midday spread was 45.18 USD/MWh (standard deviation 41.48; median 38.56). Its range, from -0.11 to 841.08 USD/MWh, reflects both occasional near-zero spreads and genuine scarcity-price episodes. Operating battery power capacity increased from 4.856 GW to 15.435 GW over the sample.</w:t>
      </w:r>
    </w:p>
    <w:p>
      <w:r>
        <w:drawing>
          <wp:inline xmlns:a="http://schemas.openxmlformats.org/drawingml/2006/main" xmlns:pic="http://schemas.openxmlformats.org/drawingml/2006/picture">
            <wp:extent cx="5715000" cy="3880980"/>
            <wp:docPr id="1" name="Picture 1"/>
            <wp:cNvGraphicFramePr>
              <a:graphicFrameLocks noChangeAspect="1"/>
            </wp:cNvGraphicFramePr>
            <a:graphic>
              <a:graphicData uri="http://schemas.openxmlformats.org/drawingml/2006/picture">
                <pic:pic>
                  <pic:nvPicPr>
                    <pic:cNvPr id="0" name="figure_01_capacity_and_price.png"/>
                    <pic:cNvPicPr/>
                  </pic:nvPicPr>
                  <pic:blipFill>
                    <a:blip r:embed="rId11"/>
                    <a:stretch>
                      <a:fillRect/>
                    </a:stretch>
                  </pic:blipFill>
                  <pic:spPr>
                    <a:xfrm>
                      <a:off x="0" y="0"/>
                      <a:ext cx="5715000" cy="3880980"/>
                    </a:xfrm>
                    <a:prstGeom prst="rect"/>
                  </pic:spPr>
                </pic:pic>
              </a:graphicData>
            </a:graphic>
          </wp:inline>
        </w:drawing>
      </w:r>
    </w:p>
    <w:p>
      <w:pPr>
        <w:spacing w:before="60" w:after="160"/>
        <w:jc w:val="center"/>
      </w:pPr>
      <w:r>
        <w:rPr>
          <w:rFonts w:ascii="Calibri" w:hAnsi="Calibri"/>
          <w:i/>
          <w:color w:val="595959"/>
          <w:sz w:val="18"/>
        </w:rPr>
        <w:t>Figure 1. Daily SP15 spread and operating battery power capacity, standardized only for visual comparison. Regressions use original units.</w:t>
      </w:r>
    </w:p>
    <w:p>
      <w:pPr/>
      <w:r>
        <w:t>The nested estimates show why the conditional specification matters. With battery capacity as the only regressor, an additional GW is associated with a 3.755 USD/MWh narrower spread (HAC SE 0.805, p &lt; 0.001). Adding the demand gap, solar drop, and gas price yields -2.765 (SE 0.598, p &lt; 0.001). Once weekday and month indicators and the linear trend are added, however, the battery coefficient becomes 0.645 USD/MWh per GW (HAC SE 8.012, p = 0.936), with a 95% confidence interval from -15.059 to 16.349. The baseline R-squared is 0.286. Thus, the full model neither supports a precisely negative association nor rules out economically meaningful effects in either direction. The sign change should not be read as evidence that batteries widen spreads; it shows that the raw negative relationship is largely inseparable from common time movement and calendar/fundamental differences in this short sample.</w:t>
      </w:r>
    </w:p>
    <w:tbl>
      <w:tblPr>
        <w:tblStyle w:val="TableGrid"/>
        <w:tblW w:type="dxa" w:w="9360"/>
        <w:jc w:val="left"/>
        <w:tblLayout w:type="fixed"/>
        <w:tblLook w:firstColumn="1" w:firstRow="1" w:lastColumn="0" w:lastRow="0" w:noHBand="0" w:noVBand="1" w:val="04A0"/>
        <w:tblInd w:type="dxa" w:w="120"/>
      </w:tblPr>
      <w:tblGrid>
        <w:gridCol w:w="3650"/>
        <w:gridCol w:w="1250"/>
        <w:gridCol w:w="1100"/>
        <w:gridCol w:w="1000"/>
        <w:gridCol w:w="2360"/>
      </w:tblGrid>
      <w:tr>
        <w:trPr>
          <w:tblHeader w:val="true"/>
        </w:trPr>
        <w:tc>
          <w:tcPr>
            <w:tcW w:type="dxa" w:w="3650"/>
            <w:vAlign w:val="center"/>
            <w:shd w:fill="2E74B5"/>
            <w:tcMar>
              <w:top w:w="80" w:type="dxa"/>
              <w:bottom w:w="80" w:type="dxa"/>
              <w:start w:w="120" w:type="dxa"/>
              <w:end w:w="120" w:type="dxa"/>
            </w:tcMar>
          </w:tcPr>
          <w:p>
            <w:pPr>
              <w:spacing w:before="0" w:after="0" w:line="240" w:lineRule="auto"/>
            </w:pPr>
            <w:r/>
            <w:r>
              <w:rPr>
                <w:rFonts w:ascii="Calibri" w:hAnsi="Calibri"/>
                <w:b/>
                <w:color w:val="FFFFFF"/>
                <w:sz w:val="18"/>
              </w:rPr>
              <w:t>Regressor</w:t>
            </w:r>
          </w:p>
        </w:tc>
        <w:tc>
          <w:tcPr>
            <w:tcW w:type="dxa" w:w="1250"/>
            <w:vAlign w:val="center"/>
            <w:shd w:fill="2E74B5"/>
            <w:tcMar>
              <w:top w:w="80" w:type="dxa"/>
              <w:bottom w:w="80" w:type="dxa"/>
              <w:start w:w="120" w:type="dxa"/>
              <w:end w:w="120" w:type="dxa"/>
            </w:tcMar>
          </w:tcPr>
          <w:p>
            <w:pPr>
              <w:spacing w:before="0" w:after="0" w:line="240" w:lineRule="auto"/>
            </w:pPr>
            <w:r/>
            <w:r>
              <w:rPr>
                <w:rFonts w:ascii="Calibri" w:hAnsi="Calibri"/>
                <w:b/>
                <w:color w:val="FFFFFF"/>
                <w:sz w:val="18"/>
              </w:rPr>
              <w:t>Coefficient</w:t>
            </w:r>
          </w:p>
        </w:tc>
        <w:tc>
          <w:tcPr>
            <w:tcW w:type="dxa" w:w="1100"/>
            <w:vAlign w:val="center"/>
            <w:shd w:fill="2E74B5"/>
            <w:tcMar>
              <w:top w:w="80" w:type="dxa"/>
              <w:bottom w:w="80" w:type="dxa"/>
              <w:start w:w="120" w:type="dxa"/>
              <w:end w:w="120" w:type="dxa"/>
            </w:tcMar>
          </w:tcPr>
          <w:p>
            <w:pPr>
              <w:spacing w:before="0" w:after="0" w:line="240" w:lineRule="auto"/>
            </w:pPr>
            <w:r/>
            <w:r>
              <w:rPr>
                <w:rFonts w:ascii="Calibri" w:hAnsi="Calibri"/>
                <w:b/>
                <w:color w:val="FFFFFF"/>
                <w:sz w:val="18"/>
              </w:rPr>
              <w:t>HAC SE</w:t>
            </w:r>
          </w:p>
        </w:tc>
        <w:tc>
          <w:tcPr>
            <w:tcW w:type="dxa" w:w="1000"/>
            <w:vAlign w:val="center"/>
            <w:shd w:fill="2E74B5"/>
            <w:tcMar>
              <w:top w:w="80" w:type="dxa"/>
              <w:bottom w:w="80" w:type="dxa"/>
              <w:start w:w="120" w:type="dxa"/>
              <w:end w:w="120" w:type="dxa"/>
            </w:tcMar>
          </w:tcPr>
          <w:p>
            <w:pPr>
              <w:spacing w:before="0" w:after="0" w:line="240" w:lineRule="auto"/>
            </w:pPr>
            <w:r/>
            <w:r>
              <w:rPr>
                <w:rFonts w:ascii="Calibri" w:hAnsi="Calibri"/>
                <w:b/>
                <w:color w:val="FFFFFF"/>
                <w:sz w:val="18"/>
              </w:rPr>
              <w:t>p value</w:t>
            </w:r>
          </w:p>
        </w:tc>
        <w:tc>
          <w:tcPr>
            <w:tcW w:type="dxa" w:w="2360"/>
            <w:vAlign w:val="center"/>
            <w:shd w:fill="2E74B5"/>
            <w:tcMar>
              <w:top w:w="80" w:type="dxa"/>
              <w:bottom w:w="80" w:type="dxa"/>
              <w:start w:w="120" w:type="dxa"/>
              <w:end w:w="120" w:type="dxa"/>
            </w:tcMar>
          </w:tcPr>
          <w:p>
            <w:pPr>
              <w:spacing w:before="0" w:after="0" w:line="240" w:lineRule="auto"/>
            </w:pPr>
            <w:r/>
            <w:r>
              <w:rPr>
                <w:rFonts w:ascii="Calibri" w:hAnsi="Calibri"/>
                <w:b/>
                <w:color w:val="FFFFFF"/>
                <w:sz w:val="18"/>
              </w:rPr>
              <w:t>95% CI</w:t>
            </w:r>
          </w:p>
        </w:tc>
      </w:tr>
      <w:tr>
        <w:trPr/>
        <w:tc>
          <w:tcPr>
            <w:tcW w:type="dxa" w:w="3650"/>
            <w:vAlign w:val="center"/>
            <w:tcMar>
              <w:top w:w="80" w:type="dxa"/>
              <w:bottom w:w="80" w:type="dxa"/>
              <w:start w:w="120" w:type="dxa"/>
              <w:end w:w="120" w:type="dxa"/>
            </w:tcMar>
          </w:tcPr>
          <w:p>
            <w:pPr>
              <w:spacing w:before="0" w:after="0" w:line="240" w:lineRule="auto"/>
            </w:pPr>
            <w:r/>
            <w:r>
              <w:rPr>
                <w:rFonts w:ascii="Calibri" w:hAnsi="Calibri"/>
                <w:b w:val="0"/>
                <w:sz w:val="17"/>
              </w:rPr>
              <w:t>Battery power capacity (GW)</w:t>
            </w:r>
          </w:p>
        </w:tc>
        <w:tc>
          <w:tcPr>
            <w:tcW w:type="dxa" w:w="1250"/>
            <w:vAlign w:val="center"/>
            <w:tcMar>
              <w:top w:w="80" w:type="dxa"/>
              <w:bottom w:w="80" w:type="dxa"/>
              <w:start w:w="120" w:type="dxa"/>
              <w:end w:w="120" w:type="dxa"/>
            </w:tcMar>
          </w:tcPr>
          <w:p>
            <w:pPr>
              <w:spacing w:before="0" w:after="0" w:line="240" w:lineRule="auto"/>
            </w:pPr>
            <w:r/>
            <w:r>
              <w:rPr>
                <w:rFonts w:ascii="Calibri" w:hAnsi="Calibri"/>
                <w:b w:val="0"/>
                <w:sz w:val="17"/>
              </w:rPr>
              <w:t>0.645</w:t>
            </w:r>
          </w:p>
        </w:tc>
        <w:tc>
          <w:tcPr>
            <w:tcW w:type="dxa" w:w="1100"/>
            <w:vAlign w:val="center"/>
            <w:tcMar>
              <w:top w:w="80" w:type="dxa"/>
              <w:bottom w:w="80" w:type="dxa"/>
              <w:start w:w="120" w:type="dxa"/>
              <w:end w:w="120" w:type="dxa"/>
            </w:tcMar>
          </w:tcPr>
          <w:p>
            <w:pPr>
              <w:spacing w:before="0" w:after="0" w:line="240" w:lineRule="auto"/>
            </w:pPr>
            <w:r/>
            <w:r>
              <w:rPr>
                <w:rFonts w:ascii="Calibri" w:hAnsi="Calibri"/>
                <w:b w:val="0"/>
                <w:sz w:val="17"/>
              </w:rPr>
              <w:t>8.012</w:t>
            </w:r>
          </w:p>
        </w:tc>
        <w:tc>
          <w:tcPr>
            <w:tcW w:type="dxa" w:w="1000"/>
            <w:vAlign w:val="center"/>
            <w:tcMar>
              <w:top w:w="80" w:type="dxa"/>
              <w:bottom w:w="80" w:type="dxa"/>
              <w:start w:w="120" w:type="dxa"/>
              <w:end w:w="120" w:type="dxa"/>
            </w:tcMar>
          </w:tcPr>
          <w:p>
            <w:pPr>
              <w:spacing w:before="0" w:after="0" w:line="240" w:lineRule="auto"/>
            </w:pPr>
            <w:r/>
            <w:r>
              <w:rPr>
                <w:rFonts w:ascii="Calibri" w:hAnsi="Calibri"/>
                <w:b w:val="0"/>
                <w:sz w:val="17"/>
              </w:rPr>
              <w:t>0.9359</w:t>
            </w:r>
          </w:p>
        </w:tc>
        <w:tc>
          <w:tcPr>
            <w:tcW w:type="dxa" w:w="2360"/>
            <w:vAlign w:val="center"/>
            <w:tcMar>
              <w:top w:w="80" w:type="dxa"/>
              <w:bottom w:w="80" w:type="dxa"/>
              <w:start w:w="120" w:type="dxa"/>
              <w:end w:w="120" w:type="dxa"/>
            </w:tcMar>
          </w:tcPr>
          <w:p>
            <w:pPr>
              <w:spacing w:before="0" w:after="0" w:line="240" w:lineRule="auto"/>
            </w:pPr>
            <w:r/>
            <w:r>
              <w:rPr>
                <w:rFonts w:ascii="Calibri" w:hAnsi="Calibri"/>
                <w:b w:val="0"/>
                <w:sz w:val="17"/>
              </w:rPr>
              <w:t>[-15.059, 16.349]</w:t>
            </w:r>
          </w:p>
        </w:tc>
      </w:tr>
      <w:tr>
        <w:trPr/>
        <w:tc>
          <w:tcPr>
            <w:tcW w:type="dxa" w:w="3650"/>
            <w:vAlign w:val="center"/>
            <w:tcMar>
              <w:top w:w="80" w:type="dxa"/>
              <w:bottom w:w="80" w:type="dxa"/>
              <w:start w:w="120" w:type="dxa"/>
              <w:end w:w="120" w:type="dxa"/>
            </w:tcMar>
          </w:tcPr>
          <w:p>
            <w:pPr>
              <w:spacing w:before="0" w:after="0" w:line="240" w:lineRule="auto"/>
            </w:pPr>
            <w:r/>
            <w:r>
              <w:rPr>
                <w:rFonts w:ascii="Calibri" w:hAnsi="Calibri"/>
                <w:b w:val="0"/>
                <w:sz w:val="17"/>
              </w:rPr>
              <w:t>Evening-minus-midday demand (GW)</w:t>
            </w:r>
          </w:p>
        </w:tc>
        <w:tc>
          <w:tcPr>
            <w:tcW w:type="dxa" w:w="1250"/>
            <w:vAlign w:val="center"/>
            <w:tcMar>
              <w:top w:w="80" w:type="dxa"/>
              <w:bottom w:w="80" w:type="dxa"/>
              <w:start w:w="120" w:type="dxa"/>
              <w:end w:w="120" w:type="dxa"/>
            </w:tcMar>
          </w:tcPr>
          <w:p>
            <w:pPr>
              <w:spacing w:before="0" w:after="0" w:line="240" w:lineRule="auto"/>
            </w:pPr>
            <w:r/>
            <w:r>
              <w:rPr>
                <w:rFonts w:ascii="Calibri" w:hAnsi="Calibri"/>
                <w:b w:val="0"/>
                <w:sz w:val="17"/>
              </w:rPr>
              <w:t>4.449</w:t>
            </w:r>
          </w:p>
        </w:tc>
        <w:tc>
          <w:tcPr>
            <w:tcW w:type="dxa" w:w="1100"/>
            <w:vAlign w:val="center"/>
            <w:tcMar>
              <w:top w:w="80" w:type="dxa"/>
              <w:bottom w:w="80" w:type="dxa"/>
              <w:start w:w="120" w:type="dxa"/>
              <w:end w:w="120" w:type="dxa"/>
            </w:tcMar>
          </w:tcPr>
          <w:p>
            <w:pPr>
              <w:spacing w:before="0" w:after="0" w:line="240" w:lineRule="auto"/>
            </w:pPr>
            <w:r/>
            <w:r>
              <w:rPr>
                <w:rFonts w:ascii="Calibri" w:hAnsi="Calibri"/>
                <w:b w:val="0"/>
                <w:sz w:val="17"/>
              </w:rPr>
              <w:t>1.244</w:t>
            </w:r>
          </w:p>
        </w:tc>
        <w:tc>
          <w:tcPr>
            <w:tcW w:type="dxa" w:w="1000"/>
            <w:vAlign w:val="center"/>
            <w:tcMar>
              <w:top w:w="80" w:type="dxa"/>
              <w:bottom w:w="80" w:type="dxa"/>
              <w:start w:w="120" w:type="dxa"/>
              <w:end w:w="120" w:type="dxa"/>
            </w:tcMar>
          </w:tcPr>
          <w:p>
            <w:pPr>
              <w:spacing w:before="0" w:after="0" w:line="240" w:lineRule="auto"/>
            </w:pPr>
            <w:r/>
            <w:r>
              <w:rPr>
                <w:rFonts w:ascii="Calibri" w:hAnsi="Calibri"/>
                <w:b w:val="0"/>
                <w:sz w:val="17"/>
              </w:rPr>
              <w:t>&lt;0.001</w:t>
            </w:r>
          </w:p>
        </w:tc>
        <w:tc>
          <w:tcPr>
            <w:tcW w:type="dxa" w:w="2360"/>
            <w:vAlign w:val="center"/>
            <w:tcMar>
              <w:top w:w="80" w:type="dxa"/>
              <w:bottom w:w="80" w:type="dxa"/>
              <w:start w:w="120" w:type="dxa"/>
              <w:end w:w="120" w:type="dxa"/>
            </w:tcMar>
          </w:tcPr>
          <w:p>
            <w:pPr>
              <w:spacing w:before="0" w:after="0" w:line="240" w:lineRule="auto"/>
            </w:pPr>
            <w:r/>
            <w:r>
              <w:rPr>
                <w:rFonts w:ascii="Calibri" w:hAnsi="Calibri"/>
                <w:b w:val="0"/>
                <w:sz w:val="17"/>
              </w:rPr>
              <w:t>[2.012, 6.887]</w:t>
            </w:r>
          </w:p>
        </w:tc>
      </w:tr>
      <w:tr>
        <w:trPr/>
        <w:tc>
          <w:tcPr>
            <w:tcW w:type="dxa" w:w="3650"/>
            <w:vAlign w:val="center"/>
            <w:tcMar>
              <w:top w:w="80" w:type="dxa"/>
              <w:bottom w:w="80" w:type="dxa"/>
              <w:start w:w="120" w:type="dxa"/>
              <w:end w:w="120" w:type="dxa"/>
            </w:tcMar>
          </w:tcPr>
          <w:p>
            <w:pPr>
              <w:spacing w:before="0" w:after="0" w:line="240" w:lineRule="auto"/>
            </w:pPr>
            <w:r/>
            <w:r>
              <w:rPr>
                <w:rFonts w:ascii="Calibri" w:hAnsi="Calibri"/>
                <w:b w:val="0"/>
                <w:sz w:val="17"/>
              </w:rPr>
              <w:t>Midday-minus-evening solar (GW)</w:t>
            </w:r>
          </w:p>
        </w:tc>
        <w:tc>
          <w:tcPr>
            <w:tcW w:type="dxa" w:w="1250"/>
            <w:vAlign w:val="center"/>
            <w:tcMar>
              <w:top w:w="80" w:type="dxa"/>
              <w:bottom w:w="80" w:type="dxa"/>
              <w:start w:w="120" w:type="dxa"/>
              <w:end w:w="120" w:type="dxa"/>
            </w:tcMar>
          </w:tcPr>
          <w:p>
            <w:pPr>
              <w:spacing w:before="0" w:after="0" w:line="240" w:lineRule="auto"/>
            </w:pPr>
            <w:r/>
            <w:r>
              <w:rPr>
                <w:rFonts w:ascii="Calibri" w:hAnsi="Calibri"/>
                <w:b w:val="0"/>
                <w:sz w:val="17"/>
              </w:rPr>
              <w:t>1.571</w:t>
            </w:r>
          </w:p>
        </w:tc>
        <w:tc>
          <w:tcPr>
            <w:tcW w:type="dxa" w:w="1100"/>
            <w:vAlign w:val="center"/>
            <w:tcMar>
              <w:top w:w="80" w:type="dxa"/>
              <w:bottom w:w="80" w:type="dxa"/>
              <w:start w:w="120" w:type="dxa"/>
              <w:end w:w="120" w:type="dxa"/>
            </w:tcMar>
          </w:tcPr>
          <w:p>
            <w:pPr>
              <w:spacing w:before="0" w:after="0" w:line="240" w:lineRule="auto"/>
            </w:pPr>
            <w:r/>
            <w:r>
              <w:rPr>
                <w:rFonts w:ascii="Calibri" w:hAnsi="Calibri"/>
                <w:b w:val="0"/>
                <w:sz w:val="17"/>
              </w:rPr>
              <w:t>0.621</w:t>
            </w:r>
          </w:p>
        </w:tc>
        <w:tc>
          <w:tcPr>
            <w:tcW w:type="dxa" w:w="1000"/>
            <w:vAlign w:val="center"/>
            <w:tcMar>
              <w:top w:w="80" w:type="dxa"/>
              <w:bottom w:w="80" w:type="dxa"/>
              <w:start w:w="120" w:type="dxa"/>
              <w:end w:w="120" w:type="dxa"/>
            </w:tcMar>
          </w:tcPr>
          <w:p>
            <w:pPr>
              <w:spacing w:before="0" w:after="0" w:line="240" w:lineRule="auto"/>
            </w:pPr>
            <w:r/>
            <w:r>
              <w:rPr>
                <w:rFonts w:ascii="Calibri" w:hAnsi="Calibri"/>
                <w:b w:val="0"/>
                <w:sz w:val="17"/>
              </w:rPr>
              <w:t>0.0115</w:t>
            </w:r>
          </w:p>
        </w:tc>
        <w:tc>
          <w:tcPr>
            <w:tcW w:type="dxa" w:w="2360"/>
            <w:vAlign w:val="center"/>
            <w:tcMar>
              <w:top w:w="80" w:type="dxa"/>
              <w:bottom w:w="80" w:type="dxa"/>
              <w:start w:w="120" w:type="dxa"/>
              <w:end w:w="120" w:type="dxa"/>
            </w:tcMar>
          </w:tcPr>
          <w:p>
            <w:pPr>
              <w:spacing w:before="0" w:after="0" w:line="240" w:lineRule="auto"/>
            </w:pPr>
            <w:r/>
            <w:r>
              <w:rPr>
                <w:rFonts w:ascii="Calibri" w:hAnsi="Calibri"/>
                <w:b w:val="0"/>
                <w:sz w:val="17"/>
              </w:rPr>
              <w:t>[0.353, 2.788]</w:t>
            </w:r>
          </w:p>
        </w:tc>
      </w:tr>
      <w:tr>
        <w:trPr/>
        <w:tc>
          <w:tcPr>
            <w:tcW w:type="dxa" w:w="3650"/>
            <w:vAlign w:val="center"/>
            <w:tcMar>
              <w:top w:w="80" w:type="dxa"/>
              <w:bottom w:w="80" w:type="dxa"/>
              <w:start w:w="120" w:type="dxa"/>
              <w:end w:w="120" w:type="dxa"/>
            </w:tcMar>
          </w:tcPr>
          <w:p>
            <w:pPr>
              <w:spacing w:before="0" w:after="0" w:line="240" w:lineRule="auto"/>
            </w:pPr>
            <w:r/>
            <w:r>
              <w:rPr>
                <w:rFonts w:ascii="Calibri" w:hAnsi="Calibri"/>
                <w:b w:val="0"/>
                <w:sz w:val="17"/>
              </w:rPr>
              <w:t>FRSCE3 delivered gas cost (USD/MMBtu)</w:t>
            </w:r>
          </w:p>
        </w:tc>
        <w:tc>
          <w:tcPr>
            <w:tcW w:type="dxa" w:w="1250"/>
            <w:vAlign w:val="center"/>
            <w:tcMar>
              <w:top w:w="80" w:type="dxa"/>
              <w:bottom w:w="80" w:type="dxa"/>
              <w:start w:w="120" w:type="dxa"/>
              <w:end w:w="120" w:type="dxa"/>
            </w:tcMar>
          </w:tcPr>
          <w:p>
            <w:pPr>
              <w:spacing w:before="0" w:after="0" w:line="240" w:lineRule="auto"/>
            </w:pPr>
            <w:r/>
            <w:r>
              <w:rPr>
                <w:rFonts w:ascii="Calibri" w:hAnsi="Calibri"/>
                <w:b w:val="0"/>
                <w:sz w:val="17"/>
              </w:rPr>
              <w:t>9.534</w:t>
            </w:r>
          </w:p>
        </w:tc>
        <w:tc>
          <w:tcPr>
            <w:tcW w:type="dxa" w:w="1100"/>
            <w:vAlign w:val="center"/>
            <w:tcMar>
              <w:top w:w="80" w:type="dxa"/>
              <w:bottom w:w="80" w:type="dxa"/>
              <w:start w:w="120" w:type="dxa"/>
              <w:end w:w="120" w:type="dxa"/>
            </w:tcMar>
          </w:tcPr>
          <w:p>
            <w:pPr>
              <w:spacing w:before="0" w:after="0" w:line="240" w:lineRule="auto"/>
            </w:pPr>
            <w:r/>
            <w:r>
              <w:rPr>
                <w:rFonts w:ascii="Calibri" w:hAnsi="Calibri"/>
                <w:b w:val="0"/>
                <w:sz w:val="17"/>
              </w:rPr>
              <w:t>2.639</w:t>
            </w:r>
          </w:p>
        </w:tc>
        <w:tc>
          <w:tcPr>
            <w:tcW w:type="dxa" w:w="1000"/>
            <w:vAlign w:val="center"/>
            <w:tcMar>
              <w:top w:w="80" w:type="dxa"/>
              <w:bottom w:w="80" w:type="dxa"/>
              <w:start w:w="120" w:type="dxa"/>
              <w:end w:w="120" w:type="dxa"/>
            </w:tcMar>
          </w:tcPr>
          <w:p>
            <w:pPr>
              <w:spacing w:before="0" w:after="0" w:line="240" w:lineRule="auto"/>
            </w:pPr>
            <w:r/>
            <w:r>
              <w:rPr>
                <w:rFonts w:ascii="Calibri" w:hAnsi="Calibri"/>
                <w:b w:val="0"/>
                <w:sz w:val="17"/>
              </w:rPr>
              <w:t>&lt;0.001</w:t>
            </w:r>
          </w:p>
        </w:tc>
        <w:tc>
          <w:tcPr>
            <w:tcW w:type="dxa" w:w="2360"/>
            <w:vAlign w:val="center"/>
            <w:tcMar>
              <w:top w:w="80" w:type="dxa"/>
              <w:bottom w:w="80" w:type="dxa"/>
              <w:start w:w="120" w:type="dxa"/>
              <w:end w:w="120" w:type="dxa"/>
            </w:tcMar>
          </w:tcPr>
          <w:p>
            <w:pPr>
              <w:spacing w:before="0" w:after="0" w:line="240" w:lineRule="auto"/>
            </w:pPr>
            <w:r/>
            <w:r>
              <w:rPr>
                <w:rFonts w:ascii="Calibri" w:hAnsi="Calibri"/>
                <w:b w:val="0"/>
                <w:sz w:val="17"/>
              </w:rPr>
              <w:t>[4.361, 14.707]</w:t>
            </w:r>
          </w:p>
        </w:tc>
      </w:tr>
      <w:tr>
        <w:trPr/>
        <w:tc>
          <w:tcPr>
            <w:tcW w:type="dxa" w:w="3650"/>
            <w:vAlign w:val="center"/>
            <w:tcMar>
              <w:top w:w="80" w:type="dxa"/>
              <w:bottom w:w="80" w:type="dxa"/>
              <w:start w:w="120" w:type="dxa"/>
              <w:end w:w="120" w:type="dxa"/>
            </w:tcMar>
          </w:tcPr>
          <w:p>
            <w:pPr>
              <w:spacing w:before="0" w:after="0" w:line="240" w:lineRule="auto"/>
            </w:pPr>
            <w:r/>
            <w:r>
              <w:rPr>
                <w:rFonts w:ascii="Calibri" w:hAnsi="Calibri"/>
                <w:b w:val="0"/>
                <w:sz w:val="17"/>
              </w:rPr>
              <w:t>Linear trend (years)</w:t>
            </w:r>
          </w:p>
        </w:tc>
        <w:tc>
          <w:tcPr>
            <w:tcW w:type="dxa" w:w="1250"/>
            <w:vAlign w:val="center"/>
            <w:tcMar>
              <w:top w:w="80" w:type="dxa"/>
              <w:bottom w:w="80" w:type="dxa"/>
              <w:start w:w="120" w:type="dxa"/>
              <w:end w:w="120" w:type="dxa"/>
            </w:tcMar>
          </w:tcPr>
          <w:p>
            <w:pPr>
              <w:spacing w:before="0" w:after="0" w:line="240" w:lineRule="auto"/>
            </w:pPr>
            <w:r/>
            <w:r>
              <w:rPr>
                <w:rFonts w:ascii="Calibri" w:hAnsi="Calibri"/>
                <w:b w:val="0"/>
                <w:sz w:val="17"/>
              </w:rPr>
              <w:t>-11.539</w:t>
            </w:r>
          </w:p>
        </w:tc>
        <w:tc>
          <w:tcPr>
            <w:tcW w:type="dxa" w:w="1100"/>
            <w:vAlign w:val="center"/>
            <w:tcMar>
              <w:top w:w="80" w:type="dxa"/>
              <w:bottom w:w="80" w:type="dxa"/>
              <w:start w:w="120" w:type="dxa"/>
              <w:end w:w="120" w:type="dxa"/>
            </w:tcMar>
          </w:tcPr>
          <w:p>
            <w:pPr>
              <w:spacing w:before="0" w:after="0" w:line="240" w:lineRule="auto"/>
            </w:pPr>
            <w:r/>
            <w:r>
              <w:rPr>
                <w:rFonts w:ascii="Calibri" w:hAnsi="Calibri"/>
                <w:b w:val="0"/>
                <w:sz w:val="17"/>
              </w:rPr>
              <w:t>33.068</w:t>
            </w:r>
          </w:p>
        </w:tc>
        <w:tc>
          <w:tcPr>
            <w:tcW w:type="dxa" w:w="1000"/>
            <w:vAlign w:val="center"/>
            <w:tcMar>
              <w:top w:w="80" w:type="dxa"/>
              <w:bottom w:w="80" w:type="dxa"/>
              <w:start w:w="120" w:type="dxa"/>
              <w:end w:w="120" w:type="dxa"/>
            </w:tcMar>
          </w:tcPr>
          <w:p>
            <w:pPr>
              <w:spacing w:before="0" w:after="0" w:line="240" w:lineRule="auto"/>
            </w:pPr>
            <w:r/>
            <w:r>
              <w:rPr>
                <w:rFonts w:ascii="Calibri" w:hAnsi="Calibri"/>
                <w:b w:val="0"/>
                <w:sz w:val="17"/>
              </w:rPr>
              <w:t>0.7271</w:t>
            </w:r>
          </w:p>
        </w:tc>
        <w:tc>
          <w:tcPr>
            <w:tcW w:type="dxa" w:w="2360"/>
            <w:vAlign w:val="center"/>
            <w:tcMar>
              <w:top w:w="80" w:type="dxa"/>
              <w:bottom w:w="80" w:type="dxa"/>
              <w:start w:w="120" w:type="dxa"/>
              <w:end w:w="120" w:type="dxa"/>
            </w:tcMar>
          </w:tcPr>
          <w:p>
            <w:pPr>
              <w:spacing w:before="0" w:after="0" w:line="240" w:lineRule="auto"/>
            </w:pPr>
            <w:r/>
            <w:r>
              <w:rPr>
                <w:rFonts w:ascii="Calibri" w:hAnsi="Calibri"/>
                <w:b w:val="0"/>
                <w:sz w:val="17"/>
              </w:rPr>
              <w:t>[-76.351, 53.273]</w:t>
            </w:r>
          </w:p>
        </w:tc>
      </w:tr>
    </w:tbl>
    <w:p>
      <w:pPr>
        <w:spacing w:before="60" w:after="160"/>
        <w:jc w:val="center"/>
      </w:pPr>
      <w:r>
        <w:rPr>
          <w:rFonts w:ascii="Calibri" w:hAnsi="Calibri"/>
          <w:i/>
          <w:color w:val="595959"/>
          <w:sz w:val="18"/>
        </w:rPr>
        <w:t>Table 1. Full baseline OLS coefficients with seven-lag Newey-West/HAC standard errors. Weekday and month indicators are included but omitted from the compact display. N = 975.</w:t>
      </w:r>
    </w:p>
    <w:p>
      <w:pPr/>
      <w:r>
        <w:t>The fundamentals have economically intuitive conditional associations. A one-GW larger evening-minus-midday demand gap is associated with a 4.449 USD/MWh wider price spread (p &lt; 0.001); a one-GW larger solar drop is associated with a 1.571 USD/MWh wider spread (p = 0.012); and a one-USD/MMBtu higher delivered gas cost is associated with a 9.534 USD/MWh wider spread (p &lt; 0.001). These coefficients are controls within an observational model, not separately identified causal effects.</w:t>
      </w:r>
    </w:p>
    <w:p>
      <w:pPr>
        <w:pStyle w:val="Heading1"/>
      </w:pPr>
      <w:r>
        <w:t>Diagnostics and focused checks</w:t>
      </w:r>
    </w:p>
    <w:p>
      <w:pPr/>
      <w:r>
        <w:t>Serial dependence is substantial. The Durbin-Watson statistic is 0.918, and the seven-lag Breusch-Godfrey F statistic is 63.42 (p &lt; 0.001). The residual autocorrelation is about 0.54 at one day and remains outside the approximate reference bands at several later lags. Seven-lag HAC standard errors are therefore the primary inference. HAC adjusts the estimated covariance matrix; it does not remove omitted dynamics or turn the model into a causal design.</w:t>
      </w:r>
    </w:p>
    <w:p>
      <w:r>
        <w:drawing>
          <wp:inline xmlns:a="http://schemas.openxmlformats.org/drawingml/2006/main" xmlns:pic="http://schemas.openxmlformats.org/drawingml/2006/picture">
            <wp:extent cx="5715000" cy="3569296"/>
            <wp:docPr id="2" name="Picture 2"/>
            <wp:cNvGraphicFramePr>
              <a:graphicFrameLocks noChangeAspect="1"/>
            </wp:cNvGraphicFramePr>
            <a:graphic>
              <a:graphicData uri="http://schemas.openxmlformats.org/drawingml/2006/picture">
                <pic:pic>
                  <pic:nvPicPr>
                    <pic:cNvPr id="0" name="figure_07_residual_acf.png"/>
                    <pic:cNvPicPr/>
                  </pic:nvPicPr>
                  <pic:blipFill>
                    <a:blip r:embed="rId12"/>
                    <a:stretch>
                      <a:fillRect/>
                    </a:stretch>
                  </pic:blipFill>
                  <pic:spPr>
                    <a:xfrm>
                      <a:off x="0" y="0"/>
                      <a:ext cx="5715000" cy="3569296"/>
                    </a:xfrm>
                    <a:prstGeom prst="rect"/>
                  </pic:spPr>
                </pic:pic>
              </a:graphicData>
            </a:graphic>
          </wp:inline>
        </w:drawing>
      </w:r>
    </w:p>
    <w:p>
      <w:pPr>
        <w:spacing w:before="60" w:after="160"/>
        <w:jc w:val="center"/>
      </w:pPr>
      <w:r>
        <w:rPr>
          <w:rFonts w:ascii="Calibri" w:hAnsi="Calibri"/>
          <w:i/>
          <w:color w:val="595959"/>
          <w:sz w:val="18"/>
        </w:rPr>
        <w:t>Figure 2. Baseline residual autocorrelation through 30 days. Dashed lines are approximate 95% reference bands.</w:t>
      </w:r>
    </w:p>
    <w:p>
      <w:pPr/>
      <w:r>
        <w:t>Battery capacity and the linear trend have a correlation of 0.9975, with VIFs of 391.3 and 387.2. This severe multicollinearity is the central precision problem: the sample contains 975 daily outcomes but only 32 monthly capacity levels, and capacity rises almost monotonically. High VIFs do not bias OLS by themselves, but they greatly widen the separate confidence intervals for capacity and trend. The augmented Dickey-Fuller checks with a constant, trend, and seven lagged differences reject a unit root for each principal series (all p &lt;= 0.0031). Even so, the monthly first-difference estimate is -21.017 (SE 17.094, p = 0.219), so the pre-specified alternative treatment of common trends is also imprecise.</w:t>
      </w:r>
    </w:p>
    <w:p>
      <w:pPr/>
      <w:r>
        <w:t>Ten days have absolute externally studentized residuals above three. They cluster around identifiable high-price episodes, including 15-16 August 2023 and 5-6 September 2024, and the source checks provide no evidence that they are transcription errors. Retaining these genuine extremes is appropriate for the primary model. Excluding them changes the battery estimate to -0.787 (SE 4.952, p = 0.874), leaving the substantive conclusion unchanged.</w:t>
      </w:r>
    </w:p>
    <w:tbl>
      <w:tblPr>
        <w:tblStyle w:val="TableGrid"/>
        <w:tblW w:type="dxa" w:w="9360"/>
        <w:jc w:val="left"/>
        <w:tblLayout w:type="fixed"/>
        <w:tblLook w:firstColumn="1" w:firstRow="1" w:lastColumn="0" w:lastRow="0" w:noHBand="0" w:noVBand="1" w:val="04A0"/>
        <w:tblInd w:type="dxa" w:w="120"/>
      </w:tblPr>
      <w:tblGrid>
        <w:gridCol w:w="3400"/>
        <w:gridCol w:w="1800"/>
        <w:gridCol w:w="900"/>
        <w:gridCol w:w="2400"/>
        <w:gridCol w:w="860"/>
      </w:tblGrid>
      <w:tr>
        <w:trPr>
          <w:tblHeader w:val="true"/>
        </w:trPr>
        <w:tc>
          <w:tcPr>
            <w:tcW w:type="dxa" w:w="3400"/>
            <w:vAlign w:val="center"/>
            <w:shd w:fill="2E74B5"/>
            <w:tcMar>
              <w:top w:w="50" w:type="dxa"/>
              <w:bottom w:w="50" w:type="dxa"/>
              <w:start w:w="120" w:type="dxa"/>
              <w:end w:w="120" w:type="dxa"/>
            </w:tcMar>
          </w:tcPr>
          <w:p>
            <w:pPr>
              <w:spacing w:before="0" w:after="0" w:line="240" w:lineRule="auto"/>
            </w:pPr>
            <w:r/>
            <w:r>
              <w:rPr>
                <w:rFonts w:ascii="Calibri" w:hAnsi="Calibri"/>
                <w:b/>
                <w:color w:val="FFFFFF"/>
                <w:sz w:val="16"/>
              </w:rPr>
              <w:t>Specification or outcome</w:t>
            </w:r>
          </w:p>
        </w:tc>
        <w:tc>
          <w:tcPr>
            <w:tcW w:type="dxa" w:w="1800"/>
            <w:vAlign w:val="center"/>
            <w:shd w:fill="2E74B5"/>
            <w:tcMar>
              <w:top w:w="50" w:type="dxa"/>
              <w:bottom w:w="50" w:type="dxa"/>
              <w:start w:w="120" w:type="dxa"/>
              <w:end w:w="120" w:type="dxa"/>
            </w:tcMar>
          </w:tcPr>
          <w:p>
            <w:pPr>
              <w:spacing w:before="0" w:after="0" w:line="240" w:lineRule="auto"/>
            </w:pPr>
            <w:r/>
            <w:r>
              <w:rPr>
                <w:rFonts w:ascii="Calibri" w:hAnsi="Calibri"/>
                <w:b/>
                <w:color w:val="FFFFFF"/>
                <w:sz w:val="16"/>
              </w:rPr>
              <w:t>Estimate (HAC SE)</w:t>
            </w:r>
          </w:p>
        </w:tc>
        <w:tc>
          <w:tcPr>
            <w:tcW w:type="dxa" w:w="900"/>
            <w:vAlign w:val="center"/>
            <w:shd w:fill="2E74B5"/>
            <w:tcMar>
              <w:top w:w="50" w:type="dxa"/>
              <w:bottom w:w="50" w:type="dxa"/>
              <w:start w:w="120" w:type="dxa"/>
              <w:end w:w="120" w:type="dxa"/>
            </w:tcMar>
          </w:tcPr>
          <w:p>
            <w:pPr>
              <w:spacing w:before="0" w:after="0" w:line="240" w:lineRule="auto"/>
            </w:pPr>
            <w:r/>
            <w:r>
              <w:rPr>
                <w:rFonts w:ascii="Calibri" w:hAnsi="Calibri"/>
                <w:b/>
                <w:color w:val="FFFFFF"/>
                <w:sz w:val="16"/>
              </w:rPr>
              <w:t>p value</w:t>
            </w:r>
          </w:p>
        </w:tc>
        <w:tc>
          <w:tcPr>
            <w:tcW w:type="dxa" w:w="2400"/>
            <w:vAlign w:val="center"/>
            <w:shd w:fill="2E74B5"/>
            <w:tcMar>
              <w:top w:w="50" w:type="dxa"/>
              <w:bottom w:w="50" w:type="dxa"/>
              <w:start w:w="120" w:type="dxa"/>
              <w:end w:w="120" w:type="dxa"/>
            </w:tcMar>
          </w:tcPr>
          <w:p>
            <w:pPr>
              <w:spacing w:before="0" w:after="0" w:line="240" w:lineRule="auto"/>
            </w:pPr>
            <w:r/>
            <w:r>
              <w:rPr>
                <w:rFonts w:ascii="Calibri" w:hAnsi="Calibri"/>
                <w:b/>
                <w:color w:val="FFFFFF"/>
                <w:sz w:val="16"/>
              </w:rPr>
              <w:t>95% CI</w:t>
            </w:r>
          </w:p>
        </w:tc>
        <w:tc>
          <w:tcPr>
            <w:tcW w:type="dxa" w:w="860"/>
            <w:vAlign w:val="center"/>
            <w:shd w:fill="2E74B5"/>
            <w:tcMar>
              <w:top w:w="50" w:type="dxa"/>
              <w:bottom w:w="50" w:type="dxa"/>
              <w:start w:w="120" w:type="dxa"/>
              <w:end w:w="120" w:type="dxa"/>
            </w:tcMar>
          </w:tcPr>
          <w:p>
            <w:pPr>
              <w:spacing w:before="0" w:after="0" w:line="240" w:lineRule="auto"/>
            </w:pPr>
            <w:r/>
            <w:r>
              <w:rPr>
                <w:rFonts w:ascii="Calibri" w:hAnsi="Calibri"/>
                <w:b/>
                <w:color w:val="FFFFFF"/>
                <w:sz w:val="16"/>
              </w:rPr>
              <w:t>N</w:t>
            </w:r>
          </w:p>
        </w:tc>
      </w:tr>
      <w:tr>
        <w:trPr/>
        <w:tc>
          <w:tcPr>
            <w:tcW w:type="dxa" w:w="3400"/>
            <w:vAlign w:val="center"/>
            <w:tcMar>
              <w:top w:w="50" w:type="dxa"/>
              <w:bottom w:w="50" w:type="dxa"/>
              <w:start w:w="120" w:type="dxa"/>
              <w:end w:w="120" w:type="dxa"/>
            </w:tcMar>
          </w:tcPr>
          <w:p>
            <w:pPr>
              <w:spacing w:before="0" w:after="0" w:line="240" w:lineRule="auto"/>
            </w:pPr>
            <w:r/>
            <w:r>
              <w:rPr>
                <w:rFonts w:ascii="Calibri" w:hAnsi="Calibri"/>
                <w:b w:val="0"/>
                <w:sz w:val="15"/>
              </w:rPr>
              <w:t>Full baseline [GW]</w:t>
            </w:r>
          </w:p>
        </w:tc>
        <w:tc>
          <w:tcPr>
            <w:tcW w:type="dxa" w:w="1800"/>
            <w:vAlign w:val="center"/>
            <w:tcMar>
              <w:top w:w="50" w:type="dxa"/>
              <w:bottom w:w="50" w:type="dxa"/>
              <w:start w:w="120" w:type="dxa"/>
              <w:end w:w="120" w:type="dxa"/>
            </w:tcMar>
          </w:tcPr>
          <w:p>
            <w:pPr>
              <w:spacing w:before="0" w:after="0" w:line="240" w:lineRule="auto"/>
            </w:pPr>
            <w:r/>
            <w:r>
              <w:rPr>
                <w:rFonts w:ascii="Calibri" w:hAnsi="Calibri"/>
                <w:b w:val="0"/>
                <w:sz w:val="15"/>
              </w:rPr>
              <w:t>0.645 (8.012)</w:t>
            </w:r>
          </w:p>
        </w:tc>
        <w:tc>
          <w:tcPr>
            <w:tcW w:type="dxa" w:w="900"/>
            <w:vAlign w:val="center"/>
            <w:tcMar>
              <w:top w:w="50" w:type="dxa"/>
              <w:bottom w:w="50" w:type="dxa"/>
              <w:start w:w="120" w:type="dxa"/>
              <w:end w:w="120" w:type="dxa"/>
            </w:tcMar>
          </w:tcPr>
          <w:p>
            <w:pPr>
              <w:spacing w:before="0" w:after="0" w:line="240" w:lineRule="auto"/>
            </w:pPr>
            <w:r/>
            <w:r>
              <w:rPr>
                <w:rFonts w:ascii="Calibri" w:hAnsi="Calibri"/>
                <w:b w:val="0"/>
                <w:sz w:val="15"/>
              </w:rPr>
              <w:t>0.936</w:t>
            </w:r>
          </w:p>
        </w:tc>
        <w:tc>
          <w:tcPr>
            <w:tcW w:type="dxa" w:w="2400"/>
            <w:vAlign w:val="center"/>
            <w:tcMar>
              <w:top w:w="50" w:type="dxa"/>
              <w:bottom w:w="50" w:type="dxa"/>
              <w:start w:w="120" w:type="dxa"/>
              <w:end w:w="120" w:type="dxa"/>
            </w:tcMar>
          </w:tcPr>
          <w:p>
            <w:pPr>
              <w:spacing w:before="0" w:after="0" w:line="240" w:lineRule="auto"/>
            </w:pPr>
            <w:r/>
            <w:r>
              <w:rPr>
                <w:rFonts w:ascii="Calibri" w:hAnsi="Calibri"/>
                <w:b w:val="0"/>
                <w:sz w:val="15"/>
              </w:rPr>
              <w:t>[-15.059, 16.349]</w:t>
            </w:r>
          </w:p>
        </w:tc>
        <w:tc>
          <w:tcPr>
            <w:tcW w:type="dxa" w:w="860"/>
            <w:vAlign w:val="center"/>
            <w:tcMar>
              <w:top w:w="50" w:type="dxa"/>
              <w:bottom w:w="50" w:type="dxa"/>
              <w:start w:w="120" w:type="dxa"/>
              <w:end w:w="120" w:type="dxa"/>
            </w:tcMar>
          </w:tcPr>
          <w:p>
            <w:pPr>
              <w:spacing w:before="0" w:after="0" w:line="240" w:lineRule="auto"/>
            </w:pPr>
            <w:r/>
            <w:r>
              <w:rPr>
                <w:rFonts w:ascii="Calibri" w:hAnsi="Calibri"/>
                <w:b w:val="0"/>
                <w:sz w:val="15"/>
              </w:rPr>
              <w:t>975</w:t>
            </w:r>
          </w:p>
        </w:tc>
      </w:tr>
      <w:tr>
        <w:trPr/>
        <w:tc>
          <w:tcPr>
            <w:tcW w:type="dxa" w:w="3400"/>
            <w:vAlign w:val="center"/>
            <w:shd w:fill="F2F4F7"/>
            <w:tcMar>
              <w:top w:w="50" w:type="dxa"/>
              <w:bottom w:w="50" w:type="dxa"/>
              <w:start w:w="120" w:type="dxa"/>
              <w:end w:w="120" w:type="dxa"/>
            </w:tcMar>
          </w:tcPr>
          <w:p>
            <w:pPr>
              <w:spacing w:before="0" w:after="0" w:line="240" w:lineRule="auto"/>
            </w:pPr>
            <w:r/>
            <w:r>
              <w:rPr>
                <w:rFonts w:ascii="Calibri" w:hAnsi="Calibri"/>
                <w:b w:val="0"/>
                <w:sz w:val="15"/>
              </w:rPr>
              <w:t>Additional one-month lag [lagged GW]</w:t>
            </w:r>
          </w:p>
        </w:tc>
        <w:tc>
          <w:tcPr>
            <w:tcW w:type="dxa" w:w="1800"/>
            <w:vAlign w:val="center"/>
            <w:shd w:fill="F2F4F7"/>
            <w:tcMar>
              <w:top w:w="50" w:type="dxa"/>
              <w:bottom w:w="50" w:type="dxa"/>
              <w:start w:w="120" w:type="dxa"/>
              <w:end w:w="120" w:type="dxa"/>
            </w:tcMar>
          </w:tcPr>
          <w:p>
            <w:pPr>
              <w:spacing w:before="0" w:after="0" w:line="240" w:lineRule="auto"/>
            </w:pPr>
            <w:r/>
            <w:r>
              <w:rPr>
                <w:rFonts w:ascii="Calibri" w:hAnsi="Calibri"/>
                <w:b w:val="0"/>
                <w:sz w:val="15"/>
              </w:rPr>
              <w:t>2.271 (6.524)</w:t>
            </w:r>
          </w:p>
        </w:tc>
        <w:tc>
          <w:tcPr>
            <w:tcW w:type="dxa" w:w="900"/>
            <w:vAlign w:val="center"/>
            <w:shd w:fill="F2F4F7"/>
            <w:tcMar>
              <w:top w:w="50" w:type="dxa"/>
              <w:bottom w:w="50" w:type="dxa"/>
              <w:start w:w="120" w:type="dxa"/>
              <w:end w:w="120" w:type="dxa"/>
            </w:tcMar>
          </w:tcPr>
          <w:p>
            <w:pPr>
              <w:spacing w:before="0" w:after="0" w:line="240" w:lineRule="auto"/>
            </w:pPr>
            <w:r/>
            <w:r>
              <w:rPr>
                <w:rFonts w:ascii="Calibri" w:hAnsi="Calibri"/>
                <w:b w:val="0"/>
                <w:sz w:val="15"/>
              </w:rPr>
              <w:t>0.728</w:t>
            </w:r>
          </w:p>
        </w:tc>
        <w:tc>
          <w:tcPr>
            <w:tcW w:type="dxa" w:w="2400"/>
            <w:vAlign w:val="center"/>
            <w:shd w:fill="F2F4F7"/>
            <w:tcMar>
              <w:top w:w="50" w:type="dxa"/>
              <w:bottom w:w="50" w:type="dxa"/>
              <w:start w:w="120" w:type="dxa"/>
              <w:end w:w="120" w:type="dxa"/>
            </w:tcMar>
          </w:tcPr>
          <w:p>
            <w:pPr>
              <w:spacing w:before="0" w:after="0" w:line="240" w:lineRule="auto"/>
            </w:pPr>
            <w:r/>
            <w:r>
              <w:rPr>
                <w:rFonts w:ascii="Calibri" w:hAnsi="Calibri"/>
                <w:b w:val="0"/>
                <w:sz w:val="15"/>
              </w:rPr>
              <w:t>[-10.515, 15.058]</w:t>
            </w:r>
          </w:p>
        </w:tc>
        <w:tc>
          <w:tcPr>
            <w:tcW w:type="dxa" w:w="860"/>
            <w:vAlign w:val="center"/>
            <w:shd w:fill="F2F4F7"/>
            <w:tcMar>
              <w:top w:w="50" w:type="dxa"/>
              <w:bottom w:w="50" w:type="dxa"/>
              <w:start w:w="120" w:type="dxa"/>
              <w:end w:w="120" w:type="dxa"/>
            </w:tcMar>
          </w:tcPr>
          <w:p>
            <w:pPr>
              <w:spacing w:before="0" w:after="0" w:line="240" w:lineRule="auto"/>
            </w:pPr>
            <w:r/>
            <w:r>
              <w:rPr>
                <w:rFonts w:ascii="Calibri" w:hAnsi="Calibri"/>
                <w:b w:val="0"/>
                <w:sz w:val="15"/>
              </w:rPr>
              <w:t>944</w:t>
            </w:r>
          </w:p>
        </w:tc>
      </w:tr>
      <w:tr>
        <w:trPr/>
        <w:tc>
          <w:tcPr>
            <w:tcW w:type="dxa" w:w="3400"/>
            <w:vAlign w:val="center"/>
            <w:tcMar>
              <w:top w:w="50" w:type="dxa"/>
              <w:bottom w:w="50" w:type="dxa"/>
              <w:start w:w="120" w:type="dxa"/>
              <w:end w:w="120" w:type="dxa"/>
            </w:tcMar>
          </w:tcPr>
          <w:p>
            <w:pPr>
              <w:spacing w:before="0" w:after="0" w:line="240" w:lineRule="auto"/>
            </w:pPr>
            <w:r/>
            <w:r>
              <w:rPr>
                <w:rFonts w:ascii="Calibri" w:hAnsi="Calibri"/>
                <w:b w:val="0"/>
                <w:sz w:val="15"/>
              </w:rPr>
              <w:t>Exclude |studentized residual| &gt; 3 [GW]</w:t>
            </w:r>
          </w:p>
        </w:tc>
        <w:tc>
          <w:tcPr>
            <w:tcW w:type="dxa" w:w="1800"/>
            <w:vAlign w:val="center"/>
            <w:tcMar>
              <w:top w:w="50" w:type="dxa"/>
              <w:bottom w:w="50" w:type="dxa"/>
              <w:start w:w="120" w:type="dxa"/>
              <w:end w:w="120" w:type="dxa"/>
            </w:tcMar>
          </w:tcPr>
          <w:p>
            <w:pPr>
              <w:spacing w:before="0" w:after="0" w:line="240" w:lineRule="auto"/>
            </w:pPr>
            <w:r/>
            <w:r>
              <w:rPr>
                <w:rFonts w:ascii="Calibri" w:hAnsi="Calibri"/>
                <w:b w:val="0"/>
                <w:sz w:val="15"/>
              </w:rPr>
              <w:t>-0.787 (4.952)</w:t>
            </w:r>
          </w:p>
        </w:tc>
        <w:tc>
          <w:tcPr>
            <w:tcW w:type="dxa" w:w="900"/>
            <w:vAlign w:val="center"/>
            <w:tcMar>
              <w:top w:w="50" w:type="dxa"/>
              <w:bottom w:w="50" w:type="dxa"/>
              <w:start w:w="120" w:type="dxa"/>
              <w:end w:w="120" w:type="dxa"/>
            </w:tcMar>
          </w:tcPr>
          <w:p>
            <w:pPr>
              <w:spacing w:before="0" w:after="0" w:line="240" w:lineRule="auto"/>
            </w:pPr>
            <w:r/>
            <w:r>
              <w:rPr>
                <w:rFonts w:ascii="Calibri" w:hAnsi="Calibri"/>
                <w:b w:val="0"/>
                <w:sz w:val="15"/>
              </w:rPr>
              <w:t>0.874</w:t>
            </w:r>
          </w:p>
        </w:tc>
        <w:tc>
          <w:tcPr>
            <w:tcW w:type="dxa" w:w="2400"/>
            <w:vAlign w:val="center"/>
            <w:tcMar>
              <w:top w:w="50" w:type="dxa"/>
              <w:bottom w:w="50" w:type="dxa"/>
              <w:start w:w="120" w:type="dxa"/>
              <w:end w:w="120" w:type="dxa"/>
            </w:tcMar>
          </w:tcPr>
          <w:p>
            <w:pPr>
              <w:spacing w:before="0" w:after="0" w:line="240" w:lineRule="auto"/>
            </w:pPr>
            <w:r/>
            <w:r>
              <w:rPr>
                <w:rFonts w:ascii="Calibri" w:hAnsi="Calibri"/>
                <w:b w:val="0"/>
                <w:sz w:val="15"/>
              </w:rPr>
              <w:t>[-10.492, 8.918]</w:t>
            </w:r>
          </w:p>
        </w:tc>
        <w:tc>
          <w:tcPr>
            <w:tcW w:type="dxa" w:w="860"/>
            <w:vAlign w:val="center"/>
            <w:tcMar>
              <w:top w:w="50" w:type="dxa"/>
              <w:bottom w:w="50" w:type="dxa"/>
              <w:start w:w="120" w:type="dxa"/>
              <w:end w:w="120" w:type="dxa"/>
            </w:tcMar>
          </w:tcPr>
          <w:p>
            <w:pPr>
              <w:spacing w:before="0" w:after="0" w:line="240" w:lineRule="auto"/>
            </w:pPr>
            <w:r/>
            <w:r>
              <w:rPr>
                <w:rFonts w:ascii="Calibri" w:hAnsi="Calibri"/>
                <w:b w:val="0"/>
                <w:sz w:val="15"/>
              </w:rPr>
              <w:t>965</w:t>
            </w:r>
          </w:p>
        </w:tc>
      </w:tr>
      <w:tr>
        <w:trPr/>
        <w:tc>
          <w:tcPr>
            <w:tcW w:type="dxa" w:w="3400"/>
            <w:vAlign w:val="center"/>
            <w:shd w:fill="F2F4F7"/>
            <w:tcMar>
              <w:top w:w="50" w:type="dxa"/>
              <w:bottom w:w="50" w:type="dxa"/>
              <w:start w:w="120" w:type="dxa"/>
              <w:end w:w="120" w:type="dxa"/>
            </w:tcMar>
          </w:tcPr>
          <w:p>
            <w:pPr>
              <w:spacing w:before="0" w:after="0" w:line="240" w:lineRule="auto"/>
            </w:pPr>
            <w:r/>
            <w:r>
              <w:rPr>
                <w:rFonts w:ascii="Calibri" w:hAnsi="Calibri"/>
                <w:b w:val="0"/>
                <w:sz w:val="15"/>
              </w:rPr>
              <w:t>Add FRSCE3 tariff-break indicator [GW]</w:t>
            </w:r>
          </w:p>
        </w:tc>
        <w:tc>
          <w:tcPr>
            <w:tcW w:type="dxa" w:w="1800"/>
            <w:vAlign w:val="center"/>
            <w:shd w:fill="F2F4F7"/>
            <w:tcMar>
              <w:top w:w="50" w:type="dxa"/>
              <w:bottom w:w="50" w:type="dxa"/>
              <w:start w:w="120" w:type="dxa"/>
              <w:end w:w="120" w:type="dxa"/>
            </w:tcMar>
          </w:tcPr>
          <w:p>
            <w:pPr>
              <w:spacing w:before="0" w:after="0" w:line="240" w:lineRule="auto"/>
            </w:pPr>
            <w:r/>
            <w:r>
              <w:rPr>
                <w:rFonts w:ascii="Calibri" w:hAnsi="Calibri"/>
                <w:b w:val="0"/>
                <w:sz w:val="15"/>
              </w:rPr>
              <w:t>4.791 (8.226)</w:t>
            </w:r>
          </w:p>
        </w:tc>
        <w:tc>
          <w:tcPr>
            <w:tcW w:type="dxa" w:w="900"/>
            <w:vAlign w:val="center"/>
            <w:shd w:fill="F2F4F7"/>
            <w:tcMar>
              <w:top w:w="50" w:type="dxa"/>
              <w:bottom w:w="50" w:type="dxa"/>
              <w:start w:w="120" w:type="dxa"/>
              <w:end w:w="120" w:type="dxa"/>
            </w:tcMar>
          </w:tcPr>
          <w:p>
            <w:pPr>
              <w:spacing w:before="0" w:after="0" w:line="240" w:lineRule="auto"/>
            </w:pPr>
            <w:r/>
            <w:r>
              <w:rPr>
                <w:rFonts w:ascii="Calibri" w:hAnsi="Calibri"/>
                <w:b w:val="0"/>
                <w:sz w:val="15"/>
              </w:rPr>
              <w:t>0.560</w:t>
            </w:r>
          </w:p>
        </w:tc>
        <w:tc>
          <w:tcPr>
            <w:tcW w:type="dxa" w:w="2400"/>
            <w:vAlign w:val="center"/>
            <w:shd w:fill="F2F4F7"/>
            <w:tcMar>
              <w:top w:w="50" w:type="dxa"/>
              <w:bottom w:w="50" w:type="dxa"/>
              <w:start w:w="120" w:type="dxa"/>
              <w:end w:w="120" w:type="dxa"/>
            </w:tcMar>
          </w:tcPr>
          <w:p>
            <w:pPr>
              <w:spacing w:before="0" w:after="0" w:line="240" w:lineRule="auto"/>
            </w:pPr>
            <w:r/>
            <w:r>
              <w:rPr>
                <w:rFonts w:ascii="Calibri" w:hAnsi="Calibri"/>
                <w:b w:val="0"/>
                <w:sz w:val="15"/>
              </w:rPr>
              <w:t>[-11.332, 20.915]</w:t>
            </w:r>
          </w:p>
        </w:tc>
        <w:tc>
          <w:tcPr>
            <w:tcW w:type="dxa" w:w="860"/>
            <w:vAlign w:val="center"/>
            <w:shd w:fill="F2F4F7"/>
            <w:tcMar>
              <w:top w:w="50" w:type="dxa"/>
              <w:bottom w:w="50" w:type="dxa"/>
              <w:start w:w="120" w:type="dxa"/>
              <w:end w:w="120" w:type="dxa"/>
            </w:tcMar>
          </w:tcPr>
          <w:p>
            <w:pPr>
              <w:spacing w:before="0" w:after="0" w:line="240" w:lineRule="auto"/>
            </w:pPr>
            <w:r/>
            <w:r>
              <w:rPr>
                <w:rFonts w:ascii="Calibri" w:hAnsi="Calibri"/>
                <w:b w:val="0"/>
                <w:sz w:val="15"/>
              </w:rPr>
              <w:t>975</w:t>
            </w:r>
          </w:p>
        </w:tc>
      </w:tr>
      <w:tr>
        <w:trPr/>
        <w:tc>
          <w:tcPr>
            <w:tcW w:type="dxa" w:w="3400"/>
            <w:vAlign w:val="center"/>
            <w:tcMar>
              <w:top w:w="50" w:type="dxa"/>
              <w:bottom w:w="50" w:type="dxa"/>
              <w:start w:w="120" w:type="dxa"/>
              <w:end w:w="120" w:type="dxa"/>
            </w:tcMar>
          </w:tcPr>
          <w:p>
            <w:pPr>
              <w:spacing w:before="0" w:after="0" w:line="240" w:lineRule="auto"/>
            </w:pPr>
            <w:r/>
            <w:r>
              <w:rPr>
                <w:rFonts w:ascii="Calibri" w:hAnsi="Calibri"/>
                <w:b w:val="0"/>
                <w:sz w:val="15"/>
              </w:rPr>
              <w:t>Monthly first differences [change in GW]</w:t>
            </w:r>
          </w:p>
        </w:tc>
        <w:tc>
          <w:tcPr>
            <w:tcW w:type="dxa" w:w="1800"/>
            <w:vAlign w:val="center"/>
            <w:tcMar>
              <w:top w:w="50" w:type="dxa"/>
              <w:bottom w:w="50" w:type="dxa"/>
              <w:start w:w="120" w:type="dxa"/>
              <w:end w:w="120" w:type="dxa"/>
            </w:tcMar>
          </w:tcPr>
          <w:p>
            <w:pPr>
              <w:spacing w:before="0" w:after="0" w:line="240" w:lineRule="auto"/>
            </w:pPr>
            <w:r/>
            <w:r>
              <w:rPr>
                <w:rFonts w:ascii="Calibri" w:hAnsi="Calibri"/>
                <w:b w:val="0"/>
                <w:sz w:val="15"/>
              </w:rPr>
              <w:t>-21.017 (17.094)</w:t>
            </w:r>
          </w:p>
        </w:tc>
        <w:tc>
          <w:tcPr>
            <w:tcW w:type="dxa" w:w="900"/>
            <w:vAlign w:val="center"/>
            <w:tcMar>
              <w:top w:w="50" w:type="dxa"/>
              <w:bottom w:w="50" w:type="dxa"/>
              <w:start w:w="120" w:type="dxa"/>
              <w:end w:w="120" w:type="dxa"/>
            </w:tcMar>
          </w:tcPr>
          <w:p>
            <w:pPr>
              <w:spacing w:before="0" w:after="0" w:line="240" w:lineRule="auto"/>
            </w:pPr>
            <w:r/>
            <w:r>
              <w:rPr>
                <w:rFonts w:ascii="Calibri" w:hAnsi="Calibri"/>
                <w:b w:val="0"/>
                <w:sz w:val="15"/>
              </w:rPr>
              <w:t>0.219</w:t>
            </w:r>
          </w:p>
        </w:tc>
        <w:tc>
          <w:tcPr>
            <w:tcW w:type="dxa" w:w="2400"/>
            <w:vAlign w:val="center"/>
            <w:tcMar>
              <w:top w:w="50" w:type="dxa"/>
              <w:bottom w:w="50" w:type="dxa"/>
              <w:start w:w="120" w:type="dxa"/>
              <w:end w:w="120" w:type="dxa"/>
            </w:tcMar>
          </w:tcPr>
          <w:p>
            <w:pPr>
              <w:spacing w:before="0" w:after="0" w:line="240" w:lineRule="auto"/>
            </w:pPr>
            <w:r/>
            <w:r>
              <w:rPr>
                <w:rFonts w:ascii="Calibri" w:hAnsi="Calibri"/>
                <w:b w:val="0"/>
                <w:sz w:val="15"/>
              </w:rPr>
              <w:t>[-54.521, 12.487]</w:t>
            </w:r>
          </w:p>
        </w:tc>
        <w:tc>
          <w:tcPr>
            <w:tcW w:type="dxa" w:w="860"/>
            <w:vAlign w:val="center"/>
            <w:tcMar>
              <w:top w:w="50" w:type="dxa"/>
              <w:bottom w:w="50" w:type="dxa"/>
              <w:start w:w="120" w:type="dxa"/>
              <w:end w:w="120" w:type="dxa"/>
            </w:tcMar>
          </w:tcPr>
          <w:p>
            <w:pPr>
              <w:spacing w:before="0" w:after="0" w:line="240" w:lineRule="auto"/>
            </w:pPr>
            <w:r/>
            <w:r>
              <w:rPr>
                <w:rFonts w:ascii="Calibri" w:hAnsi="Calibri"/>
                <w:b w:val="0"/>
                <w:sz w:val="15"/>
              </w:rPr>
              <w:t>31</w:t>
            </w:r>
          </w:p>
        </w:tc>
      </w:tr>
      <w:tr>
        <w:trPr/>
        <w:tc>
          <w:tcPr>
            <w:tcW w:type="dxa" w:w="3400"/>
            <w:vAlign w:val="center"/>
            <w:shd w:fill="F2F4F7"/>
            <w:tcMar>
              <w:top w:w="50" w:type="dxa"/>
              <w:bottom w:w="50" w:type="dxa"/>
              <w:start w:w="120" w:type="dxa"/>
              <w:end w:w="120" w:type="dxa"/>
            </w:tcMar>
          </w:tcPr>
          <w:p>
            <w:pPr>
              <w:spacing w:before="0" w:after="0" w:line="240" w:lineRule="auto"/>
            </w:pPr>
            <w:r/>
            <w:r>
              <w:rPr>
                <w:rFonts w:ascii="Calibri" w:hAnsi="Calibri"/>
                <w:b w:val="0"/>
                <w:sz w:val="15"/>
              </w:rPr>
              <w:t>Energy-capacity alternative [GWh]</w:t>
            </w:r>
          </w:p>
        </w:tc>
        <w:tc>
          <w:tcPr>
            <w:tcW w:type="dxa" w:w="1800"/>
            <w:vAlign w:val="center"/>
            <w:shd w:fill="F2F4F7"/>
            <w:tcMar>
              <w:top w:w="50" w:type="dxa"/>
              <w:bottom w:w="50" w:type="dxa"/>
              <w:start w:w="120" w:type="dxa"/>
              <w:end w:w="120" w:type="dxa"/>
            </w:tcMar>
          </w:tcPr>
          <w:p>
            <w:pPr>
              <w:spacing w:before="0" w:after="0" w:line="240" w:lineRule="auto"/>
            </w:pPr>
            <w:r/>
            <w:r>
              <w:rPr>
                <w:rFonts w:ascii="Calibri" w:hAnsi="Calibri"/>
                <w:b w:val="0"/>
                <w:sz w:val="15"/>
              </w:rPr>
              <w:t>1.588 (0.844)</w:t>
            </w:r>
          </w:p>
        </w:tc>
        <w:tc>
          <w:tcPr>
            <w:tcW w:type="dxa" w:w="900"/>
            <w:vAlign w:val="center"/>
            <w:shd w:fill="F2F4F7"/>
            <w:tcMar>
              <w:top w:w="50" w:type="dxa"/>
              <w:bottom w:w="50" w:type="dxa"/>
              <w:start w:w="120" w:type="dxa"/>
              <w:end w:w="120" w:type="dxa"/>
            </w:tcMar>
          </w:tcPr>
          <w:p>
            <w:pPr>
              <w:spacing w:before="0" w:after="0" w:line="240" w:lineRule="auto"/>
            </w:pPr>
            <w:r/>
            <w:r>
              <w:rPr>
                <w:rFonts w:ascii="Calibri" w:hAnsi="Calibri"/>
                <w:b w:val="0"/>
                <w:sz w:val="15"/>
              </w:rPr>
              <w:t>0.060</w:t>
            </w:r>
          </w:p>
        </w:tc>
        <w:tc>
          <w:tcPr>
            <w:tcW w:type="dxa" w:w="2400"/>
            <w:vAlign w:val="center"/>
            <w:shd w:fill="F2F4F7"/>
            <w:tcMar>
              <w:top w:w="50" w:type="dxa"/>
              <w:bottom w:w="50" w:type="dxa"/>
              <w:start w:w="120" w:type="dxa"/>
              <w:end w:w="120" w:type="dxa"/>
            </w:tcMar>
          </w:tcPr>
          <w:p>
            <w:pPr>
              <w:spacing w:before="0" w:after="0" w:line="240" w:lineRule="auto"/>
            </w:pPr>
            <w:r/>
            <w:r>
              <w:rPr>
                <w:rFonts w:ascii="Calibri" w:hAnsi="Calibri"/>
                <w:b w:val="0"/>
                <w:sz w:val="15"/>
              </w:rPr>
              <w:t>[-0.066, 3.242]</w:t>
            </w:r>
          </w:p>
        </w:tc>
        <w:tc>
          <w:tcPr>
            <w:tcW w:type="dxa" w:w="860"/>
            <w:vAlign w:val="center"/>
            <w:shd w:fill="F2F4F7"/>
            <w:tcMar>
              <w:top w:w="50" w:type="dxa"/>
              <w:bottom w:w="50" w:type="dxa"/>
              <w:start w:w="120" w:type="dxa"/>
              <w:end w:w="120" w:type="dxa"/>
            </w:tcMar>
          </w:tcPr>
          <w:p>
            <w:pPr>
              <w:spacing w:before="0" w:after="0" w:line="240" w:lineRule="auto"/>
            </w:pPr>
            <w:r/>
            <w:r>
              <w:rPr>
                <w:rFonts w:ascii="Calibri" w:hAnsi="Calibri"/>
                <w:b w:val="0"/>
                <w:sz w:val="15"/>
              </w:rPr>
              <w:t>975</w:t>
            </w:r>
          </w:p>
        </w:tc>
      </w:tr>
      <w:tr>
        <w:trPr/>
        <w:tc>
          <w:tcPr>
            <w:tcW w:type="dxa" w:w="3400"/>
            <w:vAlign w:val="center"/>
            <w:tcMar>
              <w:top w:w="50" w:type="dxa"/>
              <w:bottom w:w="50" w:type="dxa"/>
              <w:start w:w="120" w:type="dxa"/>
              <w:end w:w="120" w:type="dxa"/>
            </w:tcMar>
          </w:tcPr>
          <w:p>
            <w:pPr>
              <w:spacing w:before="0" w:after="0" w:line="240" w:lineRule="auto"/>
            </w:pPr>
            <w:r/>
            <w:r>
              <w:rPr>
                <w:rFonts w:ascii="Calibri" w:hAnsi="Calibri"/>
                <w:b w:val="0"/>
                <w:sz w:val="15"/>
              </w:rPr>
              <w:t>Evening LMP outcome [GW]</w:t>
            </w:r>
          </w:p>
        </w:tc>
        <w:tc>
          <w:tcPr>
            <w:tcW w:type="dxa" w:w="1800"/>
            <w:vAlign w:val="center"/>
            <w:tcMar>
              <w:top w:w="50" w:type="dxa"/>
              <w:bottom w:w="50" w:type="dxa"/>
              <w:start w:w="120" w:type="dxa"/>
              <w:end w:w="120" w:type="dxa"/>
            </w:tcMar>
          </w:tcPr>
          <w:p>
            <w:pPr>
              <w:spacing w:before="0" w:after="0" w:line="240" w:lineRule="auto"/>
            </w:pPr>
            <w:r/>
            <w:r>
              <w:rPr>
                <w:rFonts w:ascii="Calibri" w:hAnsi="Calibri"/>
                <w:b w:val="0"/>
                <w:sz w:val="15"/>
              </w:rPr>
              <w:t>4.010 (8.985)</w:t>
            </w:r>
          </w:p>
        </w:tc>
        <w:tc>
          <w:tcPr>
            <w:tcW w:type="dxa" w:w="900"/>
            <w:vAlign w:val="center"/>
            <w:tcMar>
              <w:top w:w="50" w:type="dxa"/>
              <w:bottom w:w="50" w:type="dxa"/>
              <w:start w:w="120" w:type="dxa"/>
              <w:end w:w="120" w:type="dxa"/>
            </w:tcMar>
          </w:tcPr>
          <w:p>
            <w:pPr>
              <w:spacing w:before="0" w:after="0" w:line="240" w:lineRule="auto"/>
            </w:pPr>
            <w:r/>
            <w:r>
              <w:rPr>
                <w:rFonts w:ascii="Calibri" w:hAnsi="Calibri"/>
                <w:b w:val="0"/>
                <w:sz w:val="15"/>
              </w:rPr>
              <w:t>0.655</w:t>
            </w:r>
          </w:p>
        </w:tc>
        <w:tc>
          <w:tcPr>
            <w:tcW w:type="dxa" w:w="2400"/>
            <w:vAlign w:val="center"/>
            <w:tcMar>
              <w:top w:w="50" w:type="dxa"/>
              <w:bottom w:w="50" w:type="dxa"/>
              <w:start w:w="120" w:type="dxa"/>
              <w:end w:w="120" w:type="dxa"/>
            </w:tcMar>
          </w:tcPr>
          <w:p>
            <w:pPr>
              <w:spacing w:before="0" w:after="0" w:line="240" w:lineRule="auto"/>
            </w:pPr>
            <w:r/>
            <w:r>
              <w:rPr>
                <w:rFonts w:ascii="Calibri" w:hAnsi="Calibri"/>
                <w:b w:val="0"/>
                <w:sz w:val="15"/>
              </w:rPr>
              <w:t>[-13.599, 21.620]</w:t>
            </w:r>
          </w:p>
        </w:tc>
        <w:tc>
          <w:tcPr>
            <w:tcW w:type="dxa" w:w="860"/>
            <w:vAlign w:val="center"/>
            <w:tcMar>
              <w:top w:w="50" w:type="dxa"/>
              <w:bottom w:w="50" w:type="dxa"/>
              <w:start w:w="120" w:type="dxa"/>
              <w:end w:w="120" w:type="dxa"/>
            </w:tcMar>
          </w:tcPr>
          <w:p>
            <w:pPr>
              <w:spacing w:before="0" w:after="0" w:line="240" w:lineRule="auto"/>
            </w:pPr>
            <w:r/>
            <w:r>
              <w:rPr>
                <w:rFonts w:ascii="Calibri" w:hAnsi="Calibri"/>
                <w:b w:val="0"/>
                <w:sz w:val="15"/>
              </w:rPr>
              <w:t>975</w:t>
            </w:r>
          </w:p>
        </w:tc>
      </w:tr>
      <w:tr>
        <w:trPr/>
        <w:tc>
          <w:tcPr>
            <w:tcW w:type="dxa" w:w="3400"/>
            <w:vAlign w:val="center"/>
            <w:shd w:fill="F2F4F7"/>
            <w:tcMar>
              <w:top w:w="50" w:type="dxa"/>
              <w:bottom w:w="50" w:type="dxa"/>
              <w:start w:w="120" w:type="dxa"/>
              <w:end w:w="120" w:type="dxa"/>
            </w:tcMar>
          </w:tcPr>
          <w:p>
            <w:pPr>
              <w:spacing w:before="0" w:after="0" w:line="240" w:lineRule="auto"/>
            </w:pPr>
            <w:r/>
            <w:r>
              <w:rPr>
                <w:rFonts w:ascii="Calibri" w:hAnsi="Calibri"/>
                <w:b w:val="0"/>
                <w:sz w:val="15"/>
              </w:rPr>
              <w:t>Midday LMP outcome [GW]</w:t>
            </w:r>
          </w:p>
        </w:tc>
        <w:tc>
          <w:tcPr>
            <w:tcW w:type="dxa" w:w="1800"/>
            <w:vAlign w:val="center"/>
            <w:shd w:fill="F2F4F7"/>
            <w:tcMar>
              <w:top w:w="50" w:type="dxa"/>
              <w:bottom w:w="50" w:type="dxa"/>
              <w:start w:w="120" w:type="dxa"/>
              <w:end w:w="120" w:type="dxa"/>
            </w:tcMar>
          </w:tcPr>
          <w:p>
            <w:pPr>
              <w:spacing w:before="0" w:after="0" w:line="240" w:lineRule="auto"/>
            </w:pPr>
            <w:r/>
            <w:r>
              <w:rPr>
                <w:rFonts w:ascii="Calibri" w:hAnsi="Calibri"/>
                <w:b w:val="0"/>
                <w:sz w:val="15"/>
              </w:rPr>
              <w:t>3.365 (5.256)</w:t>
            </w:r>
          </w:p>
        </w:tc>
        <w:tc>
          <w:tcPr>
            <w:tcW w:type="dxa" w:w="900"/>
            <w:vAlign w:val="center"/>
            <w:shd w:fill="F2F4F7"/>
            <w:tcMar>
              <w:top w:w="50" w:type="dxa"/>
              <w:bottom w:w="50" w:type="dxa"/>
              <w:start w:w="120" w:type="dxa"/>
              <w:end w:w="120" w:type="dxa"/>
            </w:tcMar>
          </w:tcPr>
          <w:p>
            <w:pPr>
              <w:spacing w:before="0" w:after="0" w:line="240" w:lineRule="auto"/>
            </w:pPr>
            <w:r/>
            <w:r>
              <w:rPr>
                <w:rFonts w:ascii="Calibri" w:hAnsi="Calibri"/>
                <w:b w:val="0"/>
                <w:sz w:val="15"/>
              </w:rPr>
              <w:t>0.522</w:t>
            </w:r>
          </w:p>
        </w:tc>
        <w:tc>
          <w:tcPr>
            <w:tcW w:type="dxa" w:w="2400"/>
            <w:vAlign w:val="center"/>
            <w:shd w:fill="F2F4F7"/>
            <w:tcMar>
              <w:top w:w="50" w:type="dxa"/>
              <w:bottom w:w="50" w:type="dxa"/>
              <w:start w:w="120" w:type="dxa"/>
              <w:end w:w="120" w:type="dxa"/>
            </w:tcMar>
          </w:tcPr>
          <w:p>
            <w:pPr>
              <w:spacing w:before="0" w:after="0" w:line="240" w:lineRule="auto"/>
            </w:pPr>
            <w:r/>
            <w:r>
              <w:rPr>
                <w:rFonts w:ascii="Calibri" w:hAnsi="Calibri"/>
                <w:b w:val="0"/>
                <w:sz w:val="15"/>
              </w:rPr>
              <w:t>[-6.936, 13.667]</w:t>
            </w:r>
          </w:p>
        </w:tc>
        <w:tc>
          <w:tcPr>
            <w:tcW w:type="dxa" w:w="860"/>
            <w:vAlign w:val="center"/>
            <w:shd w:fill="F2F4F7"/>
            <w:tcMar>
              <w:top w:w="50" w:type="dxa"/>
              <w:bottom w:w="50" w:type="dxa"/>
              <w:start w:w="120" w:type="dxa"/>
              <w:end w:w="120" w:type="dxa"/>
            </w:tcMar>
          </w:tcPr>
          <w:p>
            <w:pPr>
              <w:spacing w:before="0" w:after="0" w:line="240" w:lineRule="auto"/>
            </w:pPr>
            <w:r/>
            <w:r>
              <w:rPr>
                <w:rFonts w:ascii="Calibri" w:hAnsi="Calibri"/>
                <w:b w:val="0"/>
                <w:sz w:val="15"/>
              </w:rPr>
              <w:t>975</w:t>
            </w:r>
          </w:p>
        </w:tc>
      </w:tr>
      <w:tr>
        <w:trPr/>
        <w:tc>
          <w:tcPr>
            <w:tcW w:type="dxa" w:w="3400"/>
            <w:vAlign w:val="center"/>
            <w:tcMar>
              <w:top w:w="50" w:type="dxa"/>
              <w:bottom w:w="50" w:type="dxa"/>
              <w:start w:w="120" w:type="dxa"/>
              <w:end w:w="120" w:type="dxa"/>
            </w:tcMar>
          </w:tcPr>
          <w:p>
            <w:pPr>
              <w:spacing w:before="0" w:after="0" w:line="240" w:lineRule="auto"/>
            </w:pPr>
            <w:r/>
            <w:r>
              <w:rPr>
                <w:rFonts w:ascii="Calibri" w:hAnsi="Calibri"/>
                <w:b w:val="0"/>
                <w:sz w:val="15"/>
              </w:rPr>
              <w:t>Negative-price hours outcome [GW]</w:t>
            </w:r>
          </w:p>
        </w:tc>
        <w:tc>
          <w:tcPr>
            <w:tcW w:type="dxa" w:w="1800"/>
            <w:vAlign w:val="center"/>
            <w:tcMar>
              <w:top w:w="50" w:type="dxa"/>
              <w:bottom w:w="50" w:type="dxa"/>
              <w:start w:w="120" w:type="dxa"/>
              <w:end w:w="120" w:type="dxa"/>
            </w:tcMar>
          </w:tcPr>
          <w:p>
            <w:pPr>
              <w:spacing w:before="0" w:after="0" w:line="240" w:lineRule="auto"/>
            </w:pPr>
            <w:r/>
            <w:r>
              <w:rPr>
                <w:rFonts w:ascii="Calibri" w:hAnsi="Calibri"/>
                <w:b w:val="0"/>
                <w:sz w:val="15"/>
              </w:rPr>
              <w:t>-1.403 (0.797)</w:t>
            </w:r>
          </w:p>
        </w:tc>
        <w:tc>
          <w:tcPr>
            <w:tcW w:type="dxa" w:w="900"/>
            <w:vAlign w:val="center"/>
            <w:tcMar>
              <w:top w:w="50" w:type="dxa"/>
              <w:bottom w:w="50" w:type="dxa"/>
              <w:start w:w="120" w:type="dxa"/>
              <w:end w:w="120" w:type="dxa"/>
            </w:tcMar>
          </w:tcPr>
          <w:p>
            <w:pPr>
              <w:spacing w:before="0" w:after="0" w:line="240" w:lineRule="auto"/>
            </w:pPr>
            <w:r/>
            <w:r>
              <w:rPr>
                <w:rFonts w:ascii="Calibri" w:hAnsi="Calibri"/>
                <w:b w:val="0"/>
                <w:sz w:val="15"/>
              </w:rPr>
              <w:t>0.078</w:t>
            </w:r>
          </w:p>
        </w:tc>
        <w:tc>
          <w:tcPr>
            <w:tcW w:type="dxa" w:w="2400"/>
            <w:vAlign w:val="center"/>
            <w:tcMar>
              <w:top w:w="50" w:type="dxa"/>
              <w:bottom w:w="50" w:type="dxa"/>
              <w:start w:w="120" w:type="dxa"/>
              <w:end w:w="120" w:type="dxa"/>
            </w:tcMar>
          </w:tcPr>
          <w:p>
            <w:pPr>
              <w:spacing w:before="0" w:after="0" w:line="240" w:lineRule="auto"/>
            </w:pPr>
            <w:r/>
            <w:r>
              <w:rPr>
                <w:rFonts w:ascii="Calibri" w:hAnsi="Calibri"/>
                <w:b w:val="0"/>
                <w:sz w:val="15"/>
              </w:rPr>
              <w:t>[-2.965, 0.159]</w:t>
            </w:r>
          </w:p>
        </w:tc>
        <w:tc>
          <w:tcPr>
            <w:tcW w:type="dxa" w:w="860"/>
            <w:vAlign w:val="center"/>
            <w:tcMar>
              <w:top w:w="50" w:type="dxa"/>
              <w:bottom w:w="50" w:type="dxa"/>
              <w:start w:w="120" w:type="dxa"/>
              <w:end w:w="120" w:type="dxa"/>
            </w:tcMar>
          </w:tcPr>
          <w:p>
            <w:pPr>
              <w:spacing w:before="0" w:after="0" w:line="240" w:lineRule="auto"/>
            </w:pPr>
            <w:r/>
            <w:r>
              <w:rPr>
                <w:rFonts w:ascii="Calibri" w:hAnsi="Calibri"/>
                <w:b w:val="0"/>
                <w:sz w:val="15"/>
              </w:rPr>
              <w:t>975</w:t>
            </w:r>
          </w:p>
        </w:tc>
      </w:tr>
    </w:tbl>
    <w:p>
      <w:pPr>
        <w:spacing w:before="60" w:after="160"/>
        <w:jc w:val="center"/>
      </w:pPr>
      <w:r>
        <w:rPr>
          <w:rFonts w:ascii="Calibri" w:hAnsi="Calibri"/>
          <w:i/>
          <w:color w:val="595959"/>
          <w:sz w:val="18"/>
        </w:rPr>
        <w:t>Table 2. Pre-specified focused checks. Estimates are per unit of the battery measure shown in brackets. The monthly first-difference model has 31 monthly changes.</w:t>
      </w:r>
    </w:p>
    <w:p>
      <w:pPr/>
      <w:r>
        <w:t>The additional timing lag uses the preceding monthly exposure and begins in June 2023, leaving 944 complete days. Its coefficient is 2.271 (SE 6.524, p = 0.728), again providing no precise negative association. Adding the FRSCE3 tariff-break indicator, removing extreme-residual days, and replacing power capacity with energy capacity do not generate a robust negative result. The energy-capacity estimate is positive and marginal at the 10% level, but its 95% interval still includes zero and it is exposed to the same common-trend problem. Component regressions are also uninformative: the battery coefficients for evening and midday prices are 4.010 and 3.366, respectively, and neither is significant. For the secondary negative-price-hours outcome, the coefficient is -1.403 hours per GW (p = 0.078; 95% CI -2.965 to 0.159). This is suggestive at most, remains imprecise at the conventional 5% level, and should not displace the pre-specified spread outcome.</w:t>
      </w:r>
    </w:p>
    <w:p>
      <w:pPr>
        <w:pStyle w:val="Heading1"/>
      </w:pPr>
      <w:r>
        <w:t>Limitations and interpretation</w:t>
      </w:r>
    </w:p>
    <w:p>
      <w:pPr/>
      <w:r>
        <w:t>The estimates are conditional historical associations, not causal effects. Expected arbitrage opportunities may encourage storage investment, creating reverse association. Other changes - solar additions, thermal retirements, transmission, hydrology, imports, outages, carbon costs, and market rules - may co-move with capacity and prices. Calendar indicators and a linear trend cannot guarantee that all such factors are removed. The extreme capacity-trend correlation also means that this sample has little independent low-frequency variation with which to separate storage build-out from the passage of time.</w:t>
      </w:r>
    </w:p>
    <w:p>
      <w:pPr/>
      <w:r>
        <w:t>Measurement adds further limits. EIA-860M records nameplate utility-scale capacity, not dispatch availability, state of charge, bidding, degradation, duration, or ancillary-service participation, and it excludes sub-1-MW and behind-the-meter resources. CAISO-wide demand and solar controls do not perfectly match the SP15 trading hub. FRSCE3 is a reproducible delivered gas-cost proxy that includes transportation and in-kind reimbursement, not the stand-alone ICE commodity index; the tariff-break check reduces but cannot eliminate this measurement difference. Finally, the May 2023-December 2025 period covers only 32 monthly exposure levels, so the daily observation count overstates the amount of independent capacity variation.</w:t>
      </w:r>
    </w:p>
    <w:p>
      <w:pPr>
        <w:pStyle w:val="Heading1"/>
      </w:pPr>
      <w:r>
        <w:t>Conclusion</w:t>
      </w:r>
    </w:p>
    <w:p>
      <w:pPr/>
      <w:r>
        <w:t>California's battery build-out coincided with a narrower SP15 evening-minus-midday spread in simple specifications, but that negative association disappears after the pre-specified fundamentals, calendar effects, and trend are included. The baseline estimate is 0.645 USD/MWh per GW, with a wide confidence interval spanning economically meaningful negative and positive values. Timing, outlier, tariff, first-difference, energy-capacity, and component-price checks do not overturn this conclusion. The study therefore does not find precise evidence that installed battery capacity independently narrowed the daily SP15 price spread during May 2023-December 2025; equally, it does not establish that batteries had no effect. A more credible causal estimate would require longer exposure variation or plausibly exogenous deployment or operating shocks, ideally combined with direct battery dispatch data.</w:t>
      </w:r>
    </w:p>
    <w:sectPr w:rsidR="00FC693F" w:rsidRPr="0006063C" w:rsidSect="00034616">
      <w:headerReference w:type="default" r:id="rId9"/>
      <w:footerReference w:type="default" r:id="rId10"/>
      <w:pgSz w:w="12240" w:h="15840"/>
      <w:pgMar w:top="1152"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7"/>
      </w:rPr>
      <w:t xml:space="preserve">Empirical results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BATTERY BUILD-OUT AND CALIFORNIA ELECTRICITY PRICES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