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4\</w:t>
      </w: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Layout w:type="fixed"/>
        <w:tblLook w:val="0600"/>
      </w:tblPr>
      <w:tblGrid>
        <w:gridCol w:w="3525.12"/>
        <w:gridCol w:w="6410.879999999999"/>
        <w:tblGridChange w:id="0">
          <w:tblGrid>
            <w:gridCol w:w="3525.12"/>
            <w:gridCol w:w="6410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Marlis Vignon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Marlis Vignon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11451 Cherry Hill Rd, Beltsville, MD 20705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203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232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4987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maisvigne@gmail.com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Intermediate level: Python, Java, C, Linux, Windows OS, Microsoft Office.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Front-end dev: HTML, CSS,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8.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USDA/Student</w:t>
            </w:r>
            <w:r w:rsidDel="00000000" w:rsidR="00000000" w:rsidRPr="00000000">
              <w:rPr>
                <w:b w:val="0"/>
                <w:rtl w:val="0"/>
              </w:rPr>
              <w:t xml:space="preserve"> Trainee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PRESENT, </w:t>
            </w:r>
            <w:r w:rsidDel="00000000" w:rsidR="00000000" w:rsidRPr="00000000">
              <w:rPr>
                <w:rtl w:val="0"/>
              </w:rPr>
              <w:t xml:space="preserve">Alexandria, 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Improved system security and collaboration by managing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 access controls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mailbox permissions, and shared drives, ensuring compliance with IT security policies.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Reduced risk and improved accountability by maintaining a detailed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asset inventory 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tracking device allocation, lifecycle, and security compliance.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Strengthened system reliability and compliance by conducting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validation and investigations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during contract data migration to a new enterprise platform.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Partnered with the Quality Assurance team to align processes with best practices, contributing to stronger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governance and security documentation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Supported technical troubleshooting and provided IT solutions that enhanced operational efficiency across teams.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7"/>
            <w:bookmarkEnd w:id="7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r7oinwx5vtl9" w:id="8"/>
            <w:bookmarkEnd w:id="8"/>
            <w:r w:rsidDel="00000000" w:rsidR="00000000" w:rsidRPr="00000000">
              <w:rPr>
                <w:rtl w:val="0"/>
              </w:rPr>
              <w:t xml:space="preserve">Bowie State University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Bachelor of Computer Technology: Expected Fall 2026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GPA: 3.2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Relevant Courses: Principle of Secure Coding Using Java, Client Operating Systems, Linux Operating System, Intro to Python Programming, Computer Networking.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