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there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here a couple of reports that I thought might be relevant. I haven’t had a chance to read through them, so they may not all be necessary for the report. Do take note to only present the relevant data!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Institutional Knowledge (InK) at Singapore Management University,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Transformation of Globe Telecom -https://ink.library.smu.edu.sg/cgi/viewcontent.cgi?article=7205&amp;context=lkcsb_research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PhillipCapital, SG Telco Sector- https://internetfileserver.phillip.com.sg/POEMS/Stocks/Research/SectorStrategy/SG/TelcoSector20190104.pdf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Blog,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Are smartphone rentals valu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for money?- https://www.mobileworldlive.com/devices/blogs-devices/blogs-handset-rentals-offer-surprising-value/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BCG,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Playbook for accelerating 5G- https://image-src.bcg.com/Images/BCG-A-Playbook-for-Accelerating-5G-in-Europe-Sep-2018_tcm9-202394.pdf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Market Realist, Why Sprint Is Focusing on Handset Leasing to Accelerate Growth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https://marketrealist.com/2017/04/why-sprint-is-focusing-on-handset-leasing-to-accelerate-growth/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DBS Group Research, Singapore Industry Focus – Telecom Sector,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https://www.dbs.com.sg/corporate/aics/pdfController.page?pdfpath=/content/article/pdf/AIO/112018/181121_insights_TPG_may_not_disrupt_attractive_yield_and_valuations.pdf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