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350BB" w:rsidRDefault="001817C5">
      <w:r>
        <w:t>炒股策略:</w:t>
      </w:r>
    </w:p>
    <w:p w:rsidR="001817C5" w:rsidRDefault="001817C5">
      <w:r>
        <w:t>炒股20w分为2阶段:1把筹码变厚 2进行复利</w:t>
      </w:r>
    </w:p>
    <w:p w:rsidR="001817C5" w:rsidRDefault="001817C5">
      <w:r>
        <w:t>先说阶段一如何操作:</w:t>
      </w:r>
    </w:p>
    <w:p w:rsidR="009045C8" w:rsidRPr="009045C8" w:rsidRDefault="009045C8" w:rsidP="009045C8">
      <w:pPr>
        <w:rPr>
          <w:b/>
          <w:bCs/>
          <w:sz w:val="36"/>
          <w:szCs w:val="36"/>
        </w:rPr>
      </w:pPr>
      <w:r w:rsidRPr="009045C8">
        <w:rPr>
          <w:rFonts w:hint="eastAsia"/>
          <w:b/>
          <w:bCs/>
          <w:sz w:val="36"/>
          <w:szCs w:val="36"/>
        </w:rPr>
        <w:t>Phase A</w:t>
      </w:r>
      <w:r>
        <w:rPr>
          <w:rFonts w:hint="eastAsia"/>
          <w:b/>
          <w:bCs/>
          <w:sz w:val="36"/>
          <w:szCs w:val="36"/>
        </w:rPr>
        <w:t>:</w:t>
      </w:r>
    </w:p>
    <w:p w:rsidR="00097942" w:rsidRPr="00097942" w:rsidRDefault="00097942" w:rsidP="00097942">
      <w:r w:rsidRPr="00097942">
        <w:t>1 核心 60%（长期底座，低波 + 低成本）</w:t>
      </w:r>
    </w:p>
    <w:p w:rsidR="00097942" w:rsidRPr="00097942" w:rsidRDefault="00097942" w:rsidP="00097942">
      <w:pPr>
        <w:numPr>
          <w:ilvl w:val="0"/>
          <w:numId w:val="14"/>
        </w:numPr>
      </w:pPr>
      <w:r w:rsidRPr="00097942">
        <w:t>A 股宽基 20%：沪深 300 ETF</w:t>
      </w:r>
      <w:r>
        <w:rPr>
          <w:rFonts w:hint="eastAsia"/>
        </w:rPr>
        <w:t>等</w:t>
      </w:r>
    </w:p>
    <w:p w:rsidR="00097942" w:rsidRPr="00097942" w:rsidRDefault="00097942" w:rsidP="00097942">
      <w:pPr>
        <w:numPr>
          <w:ilvl w:val="0"/>
          <w:numId w:val="14"/>
        </w:numPr>
      </w:pPr>
      <w:r w:rsidRPr="00097942">
        <w:t>红利因子 10%：上证红利 ETF或中证红利低波 ETF</w:t>
      </w:r>
    </w:p>
    <w:p w:rsidR="00097942" w:rsidRPr="00097942" w:rsidRDefault="00097942" w:rsidP="00097942">
      <w:pPr>
        <w:numPr>
          <w:ilvl w:val="0"/>
          <w:numId w:val="14"/>
        </w:numPr>
      </w:pPr>
      <w:r w:rsidRPr="00097942">
        <w:t>短久期固收 15%：短融 / 短债 ETF</w:t>
      </w:r>
    </w:p>
    <w:p w:rsidR="00097942" w:rsidRPr="00097942" w:rsidRDefault="00097942" w:rsidP="00097942">
      <w:pPr>
        <w:numPr>
          <w:ilvl w:val="0"/>
          <w:numId w:val="14"/>
        </w:numPr>
      </w:pPr>
      <w:r w:rsidRPr="00097942">
        <w:t>黄金 10%：黄金 ETF</w:t>
      </w:r>
    </w:p>
    <w:p w:rsidR="00097942" w:rsidRPr="00097942" w:rsidRDefault="00097942" w:rsidP="00097942">
      <w:pPr>
        <w:numPr>
          <w:ilvl w:val="0"/>
          <w:numId w:val="14"/>
        </w:numPr>
      </w:pPr>
      <w:r w:rsidRPr="00097942">
        <w:t xml:space="preserve">美股基线 5%：标普 500 QDII–ETF，仅 溢价 ≤ </w:t>
      </w:r>
      <w:r>
        <w:rPr>
          <w:rFonts w:hint="eastAsia"/>
        </w:rPr>
        <w:t>3</w:t>
      </w:r>
      <w:r w:rsidRPr="00097942">
        <w:t>% 买入。</w:t>
      </w:r>
    </w:p>
    <w:p w:rsidR="00097942" w:rsidRPr="00097942" w:rsidRDefault="00097942" w:rsidP="00097942">
      <w:r w:rsidRPr="00097942">
        <w:t>久期阈值：10Y 国债 ≥ 2.20% 时，从短融向 5–10 年国债 ETF转 5–10%；≤ 1.60% 时，减持中长债 5% 回短融。</w:t>
      </w:r>
    </w:p>
    <w:p w:rsidR="00097942" w:rsidRPr="00097942" w:rsidRDefault="00D91E49" w:rsidP="00097942">
      <w:r>
        <w:rPr>
          <w:rFonts w:hint="eastAsia"/>
        </w:rPr>
        <w:t>2</w:t>
      </w:r>
      <w:r w:rsidR="00097942" w:rsidRPr="00097942">
        <w:t>卫星 40%（规则化进攻，严格风控）</w:t>
      </w:r>
    </w:p>
    <w:p w:rsidR="00097942" w:rsidRPr="00097942" w:rsidRDefault="00097942" w:rsidP="00097942">
      <w:pPr>
        <w:numPr>
          <w:ilvl w:val="0"/>
          <w:numId w:val="15"/>
        </w:numPr>
      </w:pPr>
      <w:r w:rsidRPr="00097942">
        <w:t>行业 / 主题动量 20%（双窗 + 缓冲 + 月度轮动）</w:t>
      </w:r>
    </w:p>
    <w:p w:rsidR="00097942" w:rsidRPr="00097942" w:rsidRDefault="00097942" w:rsidP="00B328BC">
      <w:pPr>
        <w:ind w:left="1440"/>
      </w:pPr>
      <w:r w:rsidRPr="00097942">
        <w:t>候选库：半导体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、计算机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、医药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、新能源车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、有色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、银行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、证券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、军工</w:t>
      </w:r>
      <w:proofErr w:type="spellStart"/>
      <w:r w:rsidR="00B328BC">
        <w:rPr>
          <w:rFonts w:hint="eastAsia"/>
        </w:rPr>
        <w:t>etf</w:t>
      </w:r>
      <w:proofErr w:type="spellEnd"/>
      <w:r w:rsidRPr="00097942">
        <w:t>、科创 50。</w:t>
      </w:r>
    </w:p>
    <w:p w:rsidR="00097942" w:rsidRPr="00097942" w:rsidRDefault="00097942" w:rsidP="00B328BC">
      <w:pPr>
        <w:ind w:left="1440"/>
      </w:pPr>
      <w:r w:rsidRPr="00097942">
        <w:t>信号（双窗）：Score = 0.6 × 近 3 个月收益 + 0.4 × 近 6 个月收益；仅持 前 2，各 10%；单只上限 12%。</w:t>
      </w:r>
    </w:p>
    <w:p w:rsidR="00097942" w:rsidRPr="00097942" w:rsidRDefault="00097942" w:rsidP="000C439E">
      <w:pPr>
        <w:ind w:left="1440"/>
      </w:pPr>
      <w:r w:rsidRPr="00097942">
        <w:t>缓冲带：</w:t>
      </w:r>
      <w:r w:rsidR="000C439E">
        <w:t>默认 3%强趋势 → 2%（保证跟上行情）震荡/换手偏高（上月卫星周度换手 &gt; 30%）→ 4%（压住无效切换）</w:t>
      </w:r>
    </w:p>
    <w:p w:rsidR="00097942" w:rsidRPr="00097942" w:rsidRDefault="00097942" w:rsidP="00B328BC">
      <w:pPr>
        <w:ind w:left="1440"/>
      </w:pPr>
      <w:r w:rsidRPr="00097942">
        <w:t>最短持有期：≥ 2 周（止损除外）。</w:t>
      </w:r>
    </w:p>
    <w:p w:rsidR="00097942" w:rsidRPr="00097942" w:rsidRDefault="00097942" w:rsidP="00B328BC">
      <w:pPr>
        <w:ind w:left="1440"/>
      </w:pPr>
      <w:r w:rsidRPr="00097942">
        <w:t>趋势闸：沪深 300 在年线下方，仅持 1 条腿 × 1</w:t>
      </w:r>
      <w:r w:rsidR="000C439E">
        <w:rPr>
          <w:rFonts w:hint="eastAsia"/>
        </w:rPr>
        <w:t>5</w:t>
      </w:r>
      <w:r w:rsidRPr="00097942">
        <w:t>%；在年线上方，持 2 条腿 × 各 10%。</w:t>
      </w:r>
    </w:p>
    <w:p w:rsidR="00097942" w:rsidRPr="00097942" w:rsidRDefault="00097942" w:rsidP="00B328BC">
      <w:pPr>
        <w:ind w:left="1440"/>
      </w:pPr>
      <w:r w:rsidRPr="00097942">
        <w:t>相关性闸：若前二名行业日相关系数 ρ &gt; 0.8，用相关性更低的下一名替换第二名。</w:t>
      </w:r>
    </w:p>
    <w:p w:rsidR="00097942" w:rsidRPr="00097942" w:rsidRDefault="00097942" w:rsidP="000C439E">
      <w:pPr>
        <w:ind w:left="1440"/>
        <w:rPr>
          <w:rFonts w:ascii="Cambria Math" w:hAnsi="Cambria Math" w:cs="Cambria Math"/>
        </w:rPr>
      </w:pPr>
      <w:r w:rsidRPr="00097942">
        <w:t xml:space="preserve">风控：单腿 </w:t>
      </w:r>
      <w:r w:rsidR="000C439E" w:rsidRPr="000C439E">
        <w:rPr>
          <w:rFonts w:ascii="Cambria Math" w:hAnsi="Cambria Math" w:cs="Cambria Math"/>
        </w:rPr>
        <w:t>默认</w:t>
      </w:r>
      <w:r w:rsidR="000C439E" w:rsidRPr="000C439E">
        <w:rPr>
          <w:rFonts w:ascii="Cambria Math" w:hAnsi="Cambria Math" w:cs="Cambria Math"/>
        </w:rPr>
        <w:t xml:space="preserve"> −12%</w:t>
      </w:r>
      <w:r w:rsidR="000C439E" w:rsidRPr="000C439E">
        <w:rPr>
          <w:rFonts w:ascii="Cambria Math" w:hAnsi="Cambria Math" w:cs="Cambria Math"/>
        </w:rPr>
        <w:t>；区间</w:t>
      </w:r>
      <w:r w:rsidR="000C439E" w:rsidRPr="000C439E">
        <w:rPr>
          <w:rFonts w:ascii="Cambria Math" w:hAnsi="Cambria Math" w:cs="Cambria Math"/>
        </w:rPr>
        <w:t xml:space="preserve"> 10%–15% </w:t>
      </w:r>
      <w:r w:rsidR="000C439E" w:rsidRPr="000C439E">
        <w:rPr>
          <w:rFonts w:ascii="Cambria Math" w:hAnsi="Cambria Math" w:cs="Cambria Math"/>
        </w:rPr>
        <w:t>自适应强趋势（沪深</w:t>
      </w:r>
      <w:r w:rsidR="000C439E" w:rsidRPr="000C439E">
        <w:rPr>
          <w:rFonts w:ascii="Cambria Math" w:hAnsi="Cambria Math" w:cs="Cambria Math"/>
        </w:rPr>
        <w:t xml:space="preserve"> 300 </w:t>
      </w:r>
      <w:r w:rsidR="000C439E" w:rsidRPr="000C439E">
        <w:rPr>
          <w:rFonts w:ascii="Cambria Math" w:hAnsi="Cambria Math" w:cs="Cambria Math"/>
        </w:rPr>
        <w:t>在年线上）</w:t>
      </w:r>
      <w:r w:rsidR="000C439E" w:rsidRPr="000C439E">
        <w:rPr>
          <w:rFonts w:ascii="Cambria Math" w:hAnsi="Cambria Math" w:cs="Cambria Math"/>
        </w:rPr>
        <w:t>→ −10%</w:t>
      </w:r>
      <w:r w:rsidR="000C439E" w:rsidRPr="000C439E">
        <w:rPr>
          <w:rFonts w:ascii="Cambria Math" w:hAnsi="Cambria Math" w:cs="Cambria Math"/>
        </w:rPr>
        <w:t>震荡</w:t>
      </w:r>
      <w:r w:rsidR="000C439E" w:rsidRPr="000C439E">
        <w:rPr>
          <w:rFonts w:ascii="Cambria Math" w:hAnsi="Cambria Math" w:cs="Cambria Math"/>
        </w:rPr>
        <w:t>/</w:t>
      </w:r>
      <w:r w:rsidR="000C439E" w:rsidRPr="000C439E">
        <w:rPr>
          <w:rFonts w:ascii="Cambria Math" w:hAnsi="Cambria Math" w:cs="Cambria Math"/>
        </w:rPr>
        <w:t>高波动（年线下或</w:t>
      </w:r>
      <w:r w:rsidR="000C439E" w:rsidRPr="000C439E">
        <w:rPr>
          <w:rFonts w:ascii="Cambria Math" w:hAnsi="Cambria Math" w:cs="Cambria Math"/>
        </w:rPr>
        <w:t xml:space="preserve"> 20 </w:t>
      </w:r>
      <w:r w:rsidR="000C439E" w:rsidRPr="000C439E">
        <w:rPr>
          <w:rFonts w:ascii="Cambria Math" w:hAnsi="Cambria Math" w:cs="Cambria Math"/>
        </w:rPr>
        <w:t>日</w:t>
      </w:r>
      <w:r w:rsidR="000C439E" w:rsidRPr="000C439E">
        <w:rPr>
          <w:rFonts w:ascii="Cambria Math" w:hAnsi="Cambria Math" w:cs="Cambria Math"/>
        </w:rPr>
        <w:t xml:space="preserve"> ATR/</w:t>
      </w:r>
      <w:r w:rsidR="000C439E" w:rsidRPr="000C439E">
        <w:rPr>
          <w:rFonts w:ascii="Cambria Math" w:hAnsi="Cambria Math" w:cs="Cambria Math"/>
        </w:rPr>
        <w:t>价</w:t>
      </w:r>
      <w:r w:rsidR="000C439E" w:rsidRPr="000C439E">
        <w:rPr>
          <w:rFonts w:ascii="Cambria Math" w:hAnsi="Cambria Math" w:cs="Cambria Math"/>
        </w:rPr>
        <w:t xml:space="preserve"> &gt; 4%</w:t>
      </w:r>
      <w:r w:rsidR="000C439E" w:rsidRPr="000C439E">
        <w:rPr>
          <w:rFonts w:ascii="Cambria Math" w:hAnsi="Cambria Math" w:cs="Cambria Math"/>
        </w:rPr>
        <w:t>）</w:t>
      </w:r>
      <w:r w:rsidR="000C439E" w:rsidRPr="000C439E">
        <w:rPr>
          <w:rFonts w:ascii="Cambria Math" w:hAnsi="Cambria Math" w:cs="Cambria Math"/>
        </w:rPr>
        <w:t>→ −15%</w:t>
      </w:r>
      <w:r w:rsidRPr="00097942">
        <w:t>；跌破 200 日线 减半。</w:t>
      </w:r>
    </w:p>
    <w:p w:rsidR="00097942" w:rsidRPr="00097942" w:rsidRDefault="00097942" w:rsidP="00B328BC">
      <w:pPr>
        <w:ind w:left="1440"/>
      </w:pPr>
      <w:r w:rsidRPr="00097942">
        <w:t xml:space="preserve">锁盈：任一腿 +25%，抽出该腿 盈利的 50% 并入核心（优先补宽基 </w:t>
      </w:r>
      <w:r w:rsidRPr="00097942">
        <w:lastRenderedPageBreak/>
        <w:t xml:space="preserve">→ 红利 → </w:t>
      </w:r>
      <w:r w:rsidR="00BD6E4F">
        <w:rPr>
          <w:rFonts w:hint="eastAsia"/>
        </w:rPr>
        <w:t>货币</w:t>
      </w:r>
      <w:r w:rsidRPr="00097942">
        <w:t>）。</w:t>
      </w:r>
    </w:p>
    <w:p w:rsidR="00097942" w:rsidRPr="00097942" w:rsidRDefault="00097942" w:rsidP="00097942">
      <w:pPr>
        <w:numPr>
          <w:ilvl w:val="0"/>
          <w:numId w:val="15"/>
        </w:numPr>
      </w:pPr>
      <w:r w:rsidRPr="00097942">
        <w:t>可转债网格 10%（动态间距 + 事件过滤）</w:t>
      </w:r>
    </w:p>
    <w:p w:rsidR="00097942" w:rsidRPr="00097942" w:rsidRDefault="00097942" w:rsidP="00097942">
      <w:pPr>
        <w:ind w:left="1440"/>
      </w:pPr>
      <w:r w:rsidRPr="00097942">
        <w:t>入池：规模 ≥ 5 亿，评级 ≥ AA</w:t>
      </w:r>
      <w:r w:rsidRPr="00097942">
        <w:rPr>
          <w:rFonts w:ascii="Cambria Math" w:hAnsi="Cambria Math" w:cs="Cambria Math"/>
        </w:rPr>
        <w:t>−</w:t>
      </w:r>
      <w:r w:rsidRPr="00097942">
        <w:t xml:space="preserve">，剩余期限 1–5 年，转股溢价 </w:t>
      </w:r>
      <w:r w:rsidR="009E630B" w:rsidRPr="009E630B">
        <w:t>0--40%（市场高位时可放宽至45%）</w:t>
      </w:r>
      <w:r w:rsidRPr="00097942">
        <w:t>，无赎回 / 回售预警。</w:t>
      </w:r>
    </w:p>
    <w:p w:rsidR="00097942" w:rsidRPr="00097942" w:rsidRDefault="00097942" w:rsidP="00097942">
      <w:pPr>
        <w:ind w:left="1440"/>
      </w:pPr>
      <w:r w:rsidRPr="00097942">
        <w:t>网格间距（动态）：Grid = max(3%, 0.8 × 20 日 ATR / 价格)，限制在 2–6%；可按 内层 ± 2–3% / 外层 ± 4–5% 双层执行。</w:t>
      </w:r>
    </w:p>
    <w:p w:rsidR="00097942" w:rsidRPr="00097942" w:rsidRDefault="00097942" w:rsidP="00097942">
      <w:pPr>
        <w:ind w:left="1440"/>
      </w:pPr>
      <w:r w:rsidRPr="00097942">
        <w:t>仓位限制：单券 ≤ 1.5%，总仓 ≤ 10%，分散 8–10 只为宜。</w:t>
      </w:r>
    </w:p>
    <w:p w:rsidR="00097942" w:rsidRPr="00097942" w:rsidRDefault="00097942" w:rsidP="00097942">
      <w:pPr>
        <w:ind w:left="1440"/>
      </w:pPr>
      <w:r w:rsidRPr="00097942">
        <w:t>强赎风控：满足触发价计满条件（如 20 / 30 日 ≥ 10 日）→ 减半或剔除；赎回公告日再减。</w:t>
      </w:r>
    </w:p>
    <w:p w:rsidR="005632C0" w:rsidRDefault="00097942" w:rsidP="00097942">
      <w:pPr>
        <w:ind w:left="1440"/>
      </w:pPr>
      <w:r w:rsidRPr="00097942">
        <w:t>退出：</w:t>
      </w:r>
      <w:r w:rsidR="005632C0" w:rsidRPr="005632C0">
        <w:t>价格 ≥ 150 或溢价 &gt; 50% → 立即减半；≥ 160 仅留 0.5--1% 豆仓。</w:t>
      </w:r>
    </w:p>
    <w:p w:rsidR="00097942" w:rsidRPr="00097942" w:rsidRDefault="00097942" w:rsidP="00097942">
      <w:pPr>
        <w:ind w:left="1440"/>
      </w:pPr>
      <w:r w:rsidRPr="00097942">
        <w:t>锁盈：单券累计 +10% 或跨 3 格 → 锁出 50% 盈利 并入核心。</w:t>
      </w:r>
    </w:p>
    <w:p w:rsidR="007F7777" w:rsidRDefault="00097942" w:rsidP="007F7777">
      <w:pPr>
        <w:ind w:left="1440"/>
      </w:pPr>
      <w:r w:rsidRPr="00097942">
        <w:t>无券可买：合格券 &lt; 6 只时，空余仓位停放 511990 / 短融。</w:t>
      </w:r>
    </w:p>
    <w:p w:rsidR="00097942" w:rsidRPr="00097942" w:rsidRDefault="00097942" w:rsidP="007F7777">
      <w:pPr>
        <w:ind w:left="1440"/>
      </w:pPr>
      <w:r w:rsidRPr="00097942">
        <w:t>战术 / 机会 10%：无合适机会时停放</w:t>
      </w:r>
      <w:r w:rsidR="007F7777">
        <w:rPr>
          <w:rFonts w:hint="eastAsia"/>
        </w:rPr>
        <w:t>货币基金</w:t>
      </w:r>
      <w:r w:rsidRPr="00097942">
        <w:t>。</w:t>
      </w:r>
    </w:p>
    <w:p w:rsidR="009045C8" w:rsidRPr="009045C8" w:rsidRDefault="009045C8" w:rsidP="009045C8"/>
    <w:p w:rsidR="001817C5" w:rsidRPr="005E10F3" w:rsidRDefault="009045C8">
      <w:r w:rsidRPr="005E10F3">
        <w:rPr>
          <w:rFonts w:hint="eastAsia"/>
        </w:rPr>
        <w:t>3.执行方案:</w:t>
      </w:r>
    </w:p>
    <w:p w:rsidR="00943233" w:rsidRPr="00943233" w:rsidRDefault="00943233" w:rsidP="00943233">
      <w:r w:rsidRPr="00943233">
        <w:t>1 建仓（6–8 周 DCA）</w:t>
      </w:r>
    </w:p>
    <w:p w:rsidR="00943233" w:rsidRPr="00943233" w:rsidRDefault="00943233" w:rsidP="00943233">
      <w:pPr>
        <w:numPr>
          <w:ilvl w:val="0"/>
          <w:numId w:val="10"/>
        </w:numPr>
      </w:pPr>
      <w:r w:rsidRPr="00943233">
        <w:t>每周 周二 / 周五 等额分批：6 周 ≈ 16.7% / 周，8 周 ≈ 12.5% / 周。</w:t>
      </w:r>
    </w:p>
    <w:p w:rsidR="00943233" w:rsidRPr="00943233" w:rsidRDefault="00943233" w:rsidP="00943233">
      <w:pPr>
        <w:numPr>
          <w:ilvl w:val="0"/>
          <w:numId w:val="10"/>
        </w:numPr>
      </w:pPr>
      <w:r w:rsidRPr="00943233">
        <w:t>下单窗口：10:30 或 14:00；限价单；偏离 IOPV ≤ 0.1%。</w:t>
      </w:r>
    </w:p>
    <w:p w:rsidR="00943233" w:rsidRPr="00943233" w:rsidRDefault="00943233" w:rsidP="00943233">
      <w:pPr>
        <w:numPr>
          <w:ilvl w:val="0"/>
          <w:numId w:val="10"/>
        </w:numPr>
      </w:pPr>
      <w:r w:rsidRPr="00943233">
        <w:t>QDII：仅在 溢价 ≤ 2% 的交易日买入；&gt; 3% 顺延。</w:t>
      </w:r>
    </w:p>
    <w:p w:rsidR="00943233" w:rsidRPr="00943233" w:rsidRDefault="00943233" w:rsidP="00943233">
      <w:r w:rsidRPr="00943233">
        <w:t>2 再平衡（带宽 + 年度）</w:t>
      </w:r>
    </w:p>
    <w:p w:rsidR="00943233" w:rsidRPr="00943233" w:rsidRDefault="00943233" w:rsidP="00943233">
      <w:pPr>
        <w:numPr>
          <w:ilvl w:val="0"/>
          <w:numId w:val="11"/>
        </w:numPr>
      </w:pPr>
      <w:r w:rsidRPr="00943233">
        <w:t>季度观察：任一大类偏离目标 ± 5pp → 调回 ± 2pp。</w:t>
      </w:r>
    </w:p>
    <w:p w:rsidR="00943233" w:rsidRPr="00943233" w:rsidRDefault="00943233" w:rsidP="00943233">
      <w:pPr>
        <w:numPr>
          <w:ilvl w:val="0"/>
          <w:numId w:val="11"/>
        </w:numPr>
      </w:pPr>
      <w:r w:rsidRPr="00943233">
        <w:t>年度再平衡：每年 12 月最后一周 回到目标权重。</w:t>
      </w:r>
    </w:p>
    <w:p w:rsidR="00943233" w:rsidRPr="00943233" w:rsidRDefault="00943233" w:rsidP="00943233">
      <w:pPr>
        <w:numPr>
          <w:ilvl w:val="0"/>
          <w:numId w:val="11"/>
        </w:numPr>
      </w:pPr>
      <w:r w:rsidRPr="00943233">
        <w:t>卫星轮动：每月最后一个交易日 执行（见第 6 节模板）。</w:t>
      </w:r>
    </w:p>
    <w:p w:rsidR="00943233" w:rsidRPr="00943233" w:rsidRDefault="00943233" w:rsidP="00943233">
      <w:r w:rsidRPr="00943233">
        <w:t>3 宏观阈值（久期与黄金）</w:t>
      </w:r>
    </w:p>
    <w:p w:rsidR="0015268D" w:rsidRDefault="0015268D" w:rsidP="00943233">
      <w:pPr>
        <w:numPr>
          <w:ilvl w:val="0"/>
          <w:numId w:val="12"/>
        </w:numPr>
      </w:pPr>
      <w:r w:rsidRPr="0015268D">
        <w:t>10Y 国债 ≥ 2.00% 时，从短融向 5--10 年国债 ETF转 5--10%； ≤ 1.70% 时，减持中长债 5% 回短融。</w:t>
      </w:r>
    </w:p>
    <w:p w:rsidR="00943233" w:rsidRPr="00943233" w:rsidRDefault="00943233" w:rsidP="00943233">
      <w:pPr>
        <w:numPr>
          <w:ilvl w:val="0"/>
          <w:numId w:val="12"/>
        </w:numPr>
      </w:pPr>
      <w:r w:rsidRPr="00943233">
        <w:t>10Y ≤ 1.</w:t>
      </w:r>
      <w:r w:rsidR="0015268D">
        <w:rPr>
          <w:rFonts w:hint="eastAsia"/>
        </w:rPr>
        <w:t>7</w:t>
      </w:r>
      <w:r w:rsidRPr="00943233">
        <w:t>0%：减持中长债 5% 回短融。</w:t>
      </w:r>
    </w:p>
    <w:p w:rsidR="00943233" w:rsidRPr="00943233" w:rsidRDefault="00943233" w:rsidP="00943233">
      <w:pPr>
        <w:numPr>
          <w:ilvl w:val="0"/>
          <w:numId w:val="12"/>
        </w:numPr>
      </w:pPr>
      <w:r w:rsidRPr="00943233">
        <w:lastRenderedPageBreak/>
        <w:t>黄金 &gt; 8</w:t>
      </w:r>
      <w:r w:rsidR="005632C0">
        <w:rPr>
          <w:rFonts w:hint="eastAsia"/>
        </w:rPr>
        <w:t>4</w:t>
      </w:r>
      <w:r w:rsidRPr="00943233">
        <w:t>0 元 / 克：回落到目标 10%；&lt; 7</w:t>
      </w:r>
      <w:r w:rsidR="005632C0">
        <w:rPr>
          <w:rFonts w:hint="eastAsia"/>
        </w:rPr>
        <w:t>5</w:t>
      </w:r>
      <w:r w:rsidRPr="00943233">
        <w:t>0：补回到 10%（不超配）。</w:t>
      </w:r>
    </w:p>
    <w:p w:rsidR="00943233" w:rsidRPr="00943233" w:rsidRDefault="00943233" w:rsidP="00943233">
      <w:r w:rsidRPr="00943233">
        <w:t>4 组合级风控闸门（峰值口径）</w:t>
      </w:r>
    </w:p>
    <w:p w:rsidR="00943233" w:rsidRPr="00943233" w:rsidRDefault="00943233" w:rsidP="00943233">
      <w:pPr>
        <w:numPr>
          <w:ilvl w:val="0"/>
          <w:numId w:val="13"/>
        </w:numPr>
      </w:pPr>
      <w:r w:rsidRPr="00943233">
        <w:rPr>
          <w:rFonts w:ascii="Cambria Math" w:hAnsi="Cambria Math" w:cs="Cambria Math"/>
        </w:rPr>
        <w:t>−</w:t>
      </w:r>
      <w:r w:rsidRPr="00943233">
        <w:t xml:space="preserve">15%：卫星 40% → 25%（行业 </w:t>
      </w:r>
      <w:r w:rsidRPr="00943233">
        <w:rPr>
          <w:rFonts w:ascii="Cambria Math" w:hAnsi="Cambria Math" w:cs="Cambria Math"/>
        </w:rPr>
        <w:t>−</w:t>
      </w:r>
      <w:r w:rsidRPr="00943233">
        <w:t xml:space="preserve">10%、转债 </w:t>
      </w:r>
      <w:r w:rsidRPr="00943233">
        <w:rPr>
          <w:rFonts w:ascii="Cambria Math" w:hAnsi="Cambria Math" w:cs="Cambria Math"/>
        </w:rPr>
        <w:t>−</w:t>
      </w:r>
      <w:r w:rsidRPr="00943233">
        <w:t>5%）。</w:t>
      </w:r>
    </w:p>
    <w:p w:rsidR="00943233" w:rsidRPr="00943233" w:rsidRDefault="00943233" w:rsidP="00943233">
      <w:pPr>
        <w:numPr>
          <w:ilvl w:val="0"/>
          <w:numId w:val="13"/>
        </w:numPr>
      </w:pPr>
      <w:r w:rsidRPr="00943233">
        <w:rPr>
          <w:rFonts w:ascii="Cambria Math" w:hAnsi="Cambria Math" w:cs="Cambria Math"/>
        </w:rPr>
        <w:t>−</w:t>
      </w:r>
      <w:r w:rsidRPr="00943233">
        <w:t>20%：卫星 → 20%（行业 12%、转债 8%）。</w:t>
      </w:r>
    </w:p>
    <w:p w:rsidR="00943233" w:rsidRPr="00943233" w:rsidRDefault="00943233" w:rsidP="00943233">
      <w:pPr>
        <w:numPr>
          <w:ilvl w:val="0"/>
          <w:numId w:val="13"/>
        </w:numPr>
      </w:pPr>
      <w:r w:rsidRPr="00943233">
        <w:rPr>
          <w:rFonts w:ascii="Cambria Math" w:hAnsi="Cambria Math" w:cs="Cambria Math"/>
        </w:rPr>
        <w:t>−</w:t>
      </w:r>
      <w:r w:rsidRPr="00943233">
        <w:t>30%：卫星 → 10%（行业 ≤ 5%、转债 ≤ 5%），其余回核心 / 现金；创新高后再恢复。</w:t>
      </w:r>
    </w:p>
    <w:p w:rsidR="009045C8" w:rsidRPr="00943233" w:rsidRDefault="009045C8">
      <w:pPr>
        <w:rPr>
          <w:rFonts w:hint="eastAsia"/>
        </w:rPr>
      </w:pPr>
    </w:p>
    <w:p w:rsidR="009045C8" w:rsidRDefault="009045C8">
      <w:pPr>
        <w:rPr>
          <w:b/>
          <w:bCs/>
        </w:rPr>
      </w:pPr>
    </w:p>
    <w:p w:rsidR="001817C5" w:rsidRPr="00AD6772" w:rsidRDefault="001817C5">
      <w:pPr>
        <w:rPr>
          <w:b/>
          <w:bCs/>
          <w:sz w:val="36"/>
          <w:szCs w:val="36"/>
        </w:rPr>
      </w:pPr>
      <w:r w:rsidRPr="00AD6772">
        <w:rPr>
          <w:rFonts w:hint="eastAsia"/>
          <w:b/>
          <w:bCs/>
          <w:sz w:val="36"/>
          <w:szCs w:val="36"/>
        </w:rPr>
        <w:t>方案的科学依据:</w:t>
      </w:r>
    </w:p>
    <w:p w:rsidR="001817C5" w:rsidRPr="001817C5" w:rsidRDefault="001817C5" w:rsidP="001817C5">
      <w:pPr>
        <w:numPr>
          <w:ilvl w:val="0"/>
          <w:numId w:val="1"/>
        </w:numPr>
      </w:pPr>
      <w:r w:rsidRPr="001817C5">
        <w:rPr>
          <w:b/>
          <w:bCs/>
        </w:rPr>
        <w:t>动量效应是被反复验证的</w:t>
      </w:r>
    </w:p>
    <w:p w:rsidR="001817C5" w:rsidRPr="001817C5" w:rsidRDefault="001817C5" w:rsidP="001F789C">
      <w:pPr>
        <w:ind w:left="1440"/>
        <w:rPr>
          <w:rFonts w:hint="eastAsia"/>
        </w:rPr>
      </w:pPr>
      <w:r w:rsidRPr="001817C5">
        <w:t>经典研究发现：买近 3–12 个月的赢家、卖输家，</w:t>
      </w:r>
      <w:r w:rsidRPr="001817C5">
        <w:rPr>
          <w:b/>
          <w:bCs/>
        </w:rPr>
        <w:t>未来有显著正超额</w:t>
      </w:r>
      <w:r w:rsidRPr="001817C5">
        <w:t>（跨市场长期成立）。我的 6 个月窗口正落在文献高显著区间</w:t>
      </w:r>
      <w:r w:rsidR="001F789C">
        <w:rPr>
          <w:rFonts w:hint="eastAsia"/>
        </w:rPr>
        <w:t>,而且吃到了a股所谓的板块轮动</w:t>
      </w:r>
    </w:p>
    <w:p w:rsidR="001817C5" w:rsidRPr="001817C5" w:rsidRDefault="001817C5" w:rsidP="001F789C">
      <w:pPr>
        <w:ind w:left="1440"/>
      </w:pPr>
      <w:r w:rsidRPr="001817C5">
        <w:rPr>
          <w:b/>
          <w:bCs/>
        </w:rPr>
        <w:t>行业层面更稳健</w:t>
      </w:r>
      <w:r w:rsidRPr="001817C5">
        <w:t xml:space="preserve">：个股动量的相当一部分其实现来自行业动量（把资金集中在相对强的行业组合上），这是我们只持 </w:t>
      </w:r>
      <w:r w:rsidRPr="001817C5">
        <w:rPr>
          <w:b/>
          <w:bCs/>
        </w:rPr>
        <w:t>2 个强势行业</w:t>
      </w:r>
      <w:r w:rsidRPr="001817C5">
        <w:t xml:space="preserve">的直接依据。 </w:t>
      </w:r>
    </w:p>
    <w:p w:rsidR="001817C5" w:rsidRDefault="001817C5" w:rsidP="001F789C">
      <w:pPr>
        <w:ind w:left="1440"/>
        <w:rPr>
          <w:rFonts w:hint="eastAsia"/>
        </w:rPr>
      </w:pPr>
      <w:r w:rsidRPr="001817C5">
        <w:rPr>
          <w:b/>
          <w:bCs/>
        </w:rPr>
        <w:t>跨市场外推</w:t>
      </w:r>
      <w:r w:rsidRPr="001817C5">
        <w:t xml:space="preserve">：价值与动量在 8 大资产类别、多个国家长期存在，说明不是偶然数据挖掘。 </w:t>
      </w:r>
    </w:p>
    <w:p w:rsidR="00097942" w:rsidRPr="001817C5" w:rsidRDefault="00097942" w:rsidP="001F789C">
      <w:pPr>
        <w:ind w:left="1440"/>
      </w:pPr>
      <w:r w:rsidRPr="00097942">
        <w:t xml:space="preserve">3–12 个月动量在多市场长期成立；行业层面更稳健。本策略用 </w:t>
      </w:r>
      <w:r w:rsidRPr="00097942">
        <w:rPr>
          <w:b/>
          <w:bCs/>
        </w:rPr>
        <w:t>3M + 6M 双窗</w:t>
      </w:r>
      <w:r w:rsidRPr="00097942">
        <w:t xml:space="preserve"> 捕捉趋势，并以 </w:t>
      </w:r>
      <w:r w:rsidRPr="00097942">
        <w:rPr>
          <w:rFonts w:ascii="Cambria Math" w:hAnsi="Cambria Math" w:cs="Cambria Math"/>
          <w:b/>
          <w:bCs/>
        </w:rPr>
        <w:t>−</w:t>
      </w:r>
      <w:r w:rsidRPr="00097942">
        <w:rPr>
          <w:b/>
          <w:bCs/>
        </w:rPr>
        <w:t>10% 止损 / 年线减半 / 相关性闸</w:t>
      </w:r>
      <w:r w:rsidRPr="00097942">
        <w:t xml:space="preserve"> 抑制“动量崩盘”左尾。</w:t>
      </w:r>
    </w:p>
    <w:p w:rsidR="001817C5" w:rsidRPr="001817C5" w:rsidRDefault="001817C5" w:rsidP="001817C5">
      <w:pPr>
        <w:numPr>
          <w:ilvl w:val="0"/>
          <w:numId w:val="1"/>
        </w:numPr>
      </w:pPr>
      <w:r w:rsidRPr="001817C5">
        <w:rPr>
          <w:b/>
          <w:bCs/>
        </w:rPr>
        <w:t>A 股语境下的证据与取舍</w:t>
      </w:r>
    </w:p>
    <w:p w:rsidR="001817C5" w:rsidRPr="001817C5" w:rsidRDefault="001817C5" w:rsidP="001F789C">
      <w:pPr>
        <w:ind w:left="1440"/>
      </w:pPr>
      <w:r w:rsidRPr="001817C5">
        <w:t>学术研究在 A 股发现：</w:t>
      </w:r>
      <w:r w:rsidRPr="001817C5">
        <w:rPr>
          <w:b/>
          <w:bCs/>
        </w:rPr>
        <w:t>行业动量策略</w:t>
      </w:r>
      <w:r w:rsidRPr="001817C5">
        <w:t xml:space="preserve">可获得显著超额并在多种稳健性检验下成立；这是我们用“行业 ETF 轮动”而非个股动量的原因。 </w:t>
      </w:r>
    </w:p>
    <w:p w:rsidR="001817C5" w:rsidRPr="001817C5" w:rsidRDefault="001817C5" w:rsidP="001F789C">
      <w:pPr>
        <w:ind w:left="1440"/>
      </w:pPr>
      <w:r w:rsidRPr="001817C5">
        <w:t xml:space="preserve">同时也要诚实：有研究显示 </w:t>
      </w:r>
      <w:r w:rsidRPr="001817C5">
        <w:rPr>
          <w:b/>
          <w:bCs/>
        </w:rPr>
        <w:t>个股动量</w:t>
      </w:r>
      <w:r w:rsidRPr="001817C5">
        <w:t>在 2005 年后显著弱化，</w:t>
      </w:r>
      <w:r w:rsidRPr="001817C5">
        <w:rPr>
          <w:b/>
          <w:bCs/>
        </w:rPr>
        <w:t>日频动量</w:t>
      </w:r>
      <w:r w:rsidRPr="001817C5">
        <w:t>较强、周月频不稳定——所以我们</w:t>
      </w:r>
      <w:r w:rsidRPr="001817C5">
        <w:rPr>
          <w:b/>
          <w:bCs/>
        </w:rPr>
        <w:t>避开纯个股</w:t>
      </w:r>
      <w:r w:rsidRPr="001817C5">
        <w:t xml:space="preserve">，用行业维度并配止损 / 限仓。 </w:t>
      </w:r>
    </w:p>
    <w:p w:rsidR="001817C5" w:rsidRPr="001817C5" w:rsidRDefault="001817C5" w:rsidP="001817C5">
      <w:pPr>
        <w:numPr>
          <w:ilvl w:val="0"/>
          <w:numId w:val="1"/>
        </w:numPr>
      </w:pPr>
      <w:r w:rsidRPr="001817C5">
        <w:rPr>
          <w:b/>
          <w:bCs/>
        </w:rPr>
        <w:t>为何要配合“止损 / 限仓 / 锁盈”</w:t>
      </w:r>
    </w:p>
    <w:p w:rsidR="001817C5" w:rsidRPr="001817C5" w:rsidRDefault="001817C5" w:rsidP="001F789C">
      <w:pPr>
        <w:ind w:left="1440"/>
      </w:pPr>
      <w:r w:rsidRPr="001817C5">
        <w:t>动量策略存在“</w:t>
      </w:r>
      <w:r w:rsidRPr="001817C5">
        <w:rPr>
          <w:b/>
          <w:bCs/>
        </w:rPr>
        <w:t>动量崩盘</w:t>
      </w:r>
      <w:r w:rsidRPr="001817C5">
        <w:t>”的已知左尾风险（例如在急速风格反转期）。文献表明：</w:t>
      </w:r>
      <w:r w:rsidRPr="001817C5">
        <w:rPr>
          <w:b/>
          <w:bCs/>
        </w:rPr>
        <w:t>风险管理后的动量</w:t>
      </w:r>
      <w:r w:rsidRPr="001817C5">
        <w:t>（控制波动、缩仓）能显著改善夏普并回</w:t>
      </w:r>
      <w:r w:rsidRPr="001817C5">
        <w:lastRenderedPageBreak/>
        <w:t xml:space="preserve">避大崩盘，这就是我们设 </w:t>
      </w:r>
      <w:r w:rsidRPr="001817C5">
        <w:rPr>
          <w:rFonts w:ascii="Cambria Math" w:hAnsi="Cambria Math" w:cs="Cambria Math"/>
          <w:b/>
          <w:bCs/>
        </w:rPr>
        <w:t>−</w:t>
      </w:r>
      <w:r w:rsidRPr="001817C5">
        <w:rPr>
          <w:b/>
          <w:bCs/>
        </w:rPr>
        <w:t>10% 止损、年线减半、单腿 ≤ 12%</w:t>
      </w:r>
      <w:r w:rsidRPr="001817C5">
        <w:t xml:space="preserve"> 的科学动机。 </w:t>
      </w:r>
    </w:p>
    <w:p w:rsidR="001817C5" w:rsidRPr="001817C5" w:rsidRDefault="001817C5" w:rsidP="001817C5">
      <w:pPr>
        <w:numPr>
          <w:ilvl w:val="0"/>
          <w:numId w:val="1"/>
        </w:numPr>
      </w:pPr>
      <w:r w:rsidRPr="001817C5">
        <w:rPr>
          <w:b/>
          <w:bCs/>
        </w:rPr>
        <w:t>交易成本与可实施性</w:t>
      </w:r>
    </w:p>
    <w:p w:rsidR="001817C5" w:rsidRPr="001817C5" w:rsidRDefault="001817C5" w:rsidP="001F789C">
      <w:pPr>
        <w:ind w:left="1440"/>
      </w:pPr>
      <w:r w:rsidRPr="001817C5">
        <w:t>机构层面的真实成交数据研究表明：</w:t>
      </w:r>
      <w:r w:rsidRPr="001817C5">
        <w:rPr>
          <w:b/>
          <w:bCs/>
        </w:rPr>
        <w:t>动量在交易成本后仍有显著净超额</w:t>
      </w:r>
      <w:r w:rsidRPr="001817C5">
        <w:t>、且可规模化实施；用 ET</w:t>
      </w:r>
      <w:r w:rsidR="001F789C" w:rsidRPr="001F789C">
        <w:rPr>
          <w:rFonts w:hint="eastAsia"/>
        </w:rPr>
        <w:t>F的交易</w:t>
      </w:r>
      <w:r w:rsidR="001F789C" w:rsidRPr="001F789C">
        <w:rPr>
          <w:rFonts w:hint="eastAsia"/>
          <w:b/>
          <w:bCs/>
        </w:rPr>
        <w:t>不包含</w:t>
      </w:r>
      <w:r w:rsidR="001F789C">
        <w:rPr>
          <w:rFonts w:hint="eastAsia"/>
          <w:b/>
          <w:bCs/>
        </w:rPr>
        <w:t>印花税,</w:t>
      </w:r>
      <w:r w:rsidRPr="001817C5">
        <w:t xml:space="preserve">成本更低。 </w:t>
      </w:r>
    </w:p>
    <w:p w:rsidR="001817C5" w:rsidRPr="001817C5" w:rsidRDefault="001817C5" w:rsidP="001817C5">
      <w:pPr>
        <w:numPr>
          <w:ilvl w:val="0"/>
          <w:numId w:val="1"/>
        </w:numPr>
      </w:pPr>
      <w:r w:rsidRPr="001817C5">
        <w:rPr>
          <w:b/>
          <w:bCs/>
        </w:rPr>
        <w:t>再平衡为何用“带宽触发”而非机械定期</w:t>
      </w:r>
    </w:p>
    <w:p w:rsidR="001817C5" w:rsidRDefault="001817C5" w:rsidP="001F789C">
      <w:pPr>
        <w:ind w:left="1440"/>
      </w:pPr>
      <w:r w:rsidRPr="001817C5">
        <w:t>研究建议</w:t>
      </w:r>
      <w:r w:rsidRPr="001817C5">
        <w:rPr>
          <w:b/>
          <w:bCs/>
        </w:rPr>
        <w:t>机会式 / 带宽</w:t>
      </w:r>
      <w:r w:rsidRPr="001817C5">
        <w:t xml:space="preserve">再平衡优于固定月/季频，既控风险又减少不必要换手——这就是用 </w:t>
      </w:r>
      <w:r w:rsidRPr="001817C5">
        <w:rPr>
          <w:b/>
          <w:bCs/>
        </w:rPr>
        <w:t>±5 个百分点带宽</w:t>
      </w:r>
      <w:r w:rsidRPr="001817C5">
        <w:t xml:space="preserve"> 的依据。 </w:t>
      </w:r>
    </w:p>
    <w:p w:rsidR="00CA1867" w:rsidRDefault="00CA1867" w:rsidP="001F789C">
      <w:pPr>
        <w:ind w:left="1440"/>
      </w:pPr>
      <w:r w:rsidRPr="00CA1867">
        <w:rPr>
          <w:b/>
          <w:bCs/>
        </w:rPr>
        <w:t>带宽再平衡红利</w:t>
      </w:r>
      <w:r w:rsidRPr="00CA1867">
        <w:t>：相关性 &lt; 1 的资产在波动中产生“再平衡红利”，</w:t>
      </w:r>
      <w:r w:rsidRPr="00CA1867">
        <w:rPr>
          <w:b/>
          <w:bCs/>
        </w:rPr>
        <w:t>触发式带宽</w:t>
      </w:r>
      <w:r w:rsidRPr="00CA1867">
        <w:t xml:space="preserve">优于机械定期；本方案用 </w:t>
      </w:r>
      <w:r w:rsidRPr="00CA1867">
        <w:rPr>
          <w:b/>
          <w:bCs/>
        </w:rPr>
        <w:t>± 5pp</w:t>
      </w:r>
      <w:r w:rsidRPr="00CA1867">
        <w:t xml:space="preserve"> 带宽 + 年度回归。</w:t>
      </w:r>
    </w:p>
    <w:p w:rsidR="00CA1867" w:rsidRDefault="00CA1867" w:rsidP="00CA1867">
      <w:r w:rsidRPr="00CA1867">
        <w:t xml:space="preserve">  </w:t>
      </w:r>
      <w:r>
        <w:t>6.</w:t>
      </w:r>
      <w:r w:rsidRPr="00CA1867">
        <w:rPr>
          <w:b/>
          <w:bCs/>
        </w:rPr>
        <w:t>可转债凸性</w:t>
      </w:r>
      <w:r w:rsidRPr="00CA1867">
        <w:t xml:space="preserve">：可转债具“债底 + 期权”结构，上行参与、下行缓冲；结合 </w:t>
      </w:r>
      <w:r w:rsidRPr="00CA1867">
        <w:rPr>
          <w:b/>
          <w:bCs/>
        </w:rPr>
        <w:t>溢价 / 赎回条款</w:t>
      </w:r>
      <w:r w:rsidRPr="00CA1867">
        <w:t xml:space="preserve"> 管控与 </w:t>
      </w:r>
      <w:r w:rsidRPr="00CA1867">
        <w:rPr>
          <w:b/>
          <w:bCs/>
        </w:rPr>
        <w:t>动态网格</w:t>
      </w:r>
      <w:r w:rsidRPr="00CA1867">
        <w:t>，更适配 20 万级小资金的精细执行。</w:t>
      </w:r>
    </w:p>
    <w:p w:rsidR="00AE6405" w:rsidRPr="001817C5" w:rsidRDefault="00AE6405" w:rsidP="00CA1867"/>
    <w:p w:rsidR="001F789C" w:rsidRPr="001F789C" w:rsidRDefault="001F789C" w:rsidP="001F789C">
      <w:pPr>
        <w:rPr>
          <w:rFonts w:hint="eastAsia"/>
          <w:b/>
          <w:bCs/>
          <w:sz w:val="36"/>
          <w:szCs w:val="36"/>
        </w:rPr>
      </w:pPr>
      <w:r w:rsidRPr="001F789C">
        <w:rPr>
          <w:b/>
          <w:bCs/>
          <w:sz w:val="36"/>
          <w:szCs w:val="36"/>
        </w:rPr>
        <w:t>什么时候赚、什么时候亏</w:t>
      </w:r>
      <w:r w:rsidR="00C004DD" w:rsidRPr="00AD6772">
        <w:rPr>
          <w:rFonts w:hint="eastAsia"/>
          <w:b/>
          <w:bCs/>
          <w:sz w:val="36"/>
          <w:szCs w:val="36"/>
        </w:rPr>
        <w:t>:</w:t>
      </w:r>
    </w:p>
    <w:p w:rsidR="001F789C" w:rsidRPr="001F789C" w:rsidRDefault="001F789C" w:rsidP="001F789C">
      <w:pPr>
        <w:numPr>
          <w:ilvl w:val="0"/>
          <w:numId w:val="3"/>
        </w:numPr>
      </w:pPr>
      <w:r w:rsidRPr="001F789C">
        <w:rPr>
          <w:b/>
          <w:bCs/>
        </w:rPr>
        <w:t>容易赚</w:t>
      </w:r>
      <w:r w:rsidRPr="001F789C">
        <w:t>：行业</w:t>
      </w:r>
      <w:r w:rsidRPr="001F789C">
        <w:rPr>
          <w:b/>
          <w:bCs/>
        </w:rPr>
        <w:t>分化明显</w:t>
      </w:r>
      <w:r w:rsidRPr="001F789C">
        <w:t>、趋势</w:t>
      </w:r>
      <w:r w:rsidRPr="001F789C">
        <w:rPr>
          <w:b/>
          <w:bCs/>
        </w:rPr>
        <w:t>连续</w:t>
      </w:r>
      <w:r w:rsidRPr="001F789C">
        <w:t>（上行或下行都行），如半导体一路强、银行一路弱——周频轮动能持续踩在强势腿上。</w:t>
      </w:r>
    </w:p>
    <w:p w:rsidR="001F789C" w:rsidRDefault="001F789C" w:rsidP="001F789C">
      <w:pPr>
        <w:numPr>
          <w:ilvl w:val="0"/>
          <w:numId w:val="3"/>
        </w:numPr>
      </w:pPr>
      <w:r w:rsidRPr="001F789C">
        <w:rPr>
          <w:b/>
          <w:bCs/>
        </w:rPr>
        <w:t>容易被磨</w:t>
      </w:r>
      <w:r w:rsidRPr="001F789C">
        <w:t>：</w:t>
      </w:r>
      <w:r w:rsidRPr="001F789C">
        <w:rPr>
          <w:b/>
          <w:bCs/>
        </w:rPr>
        <w:t>横盘宽震/假突破</w:t>
      </w:r>
      <w:r w:rsidRPr="001F789C">
        <w:t>、政策扰动导致</w:t>
      </w:r>
      <w:r w:rsidRPr="001F789C">
        <w:rPr>
          <w:b/>
          <w:bCs/>
        </w:rPr>
        <w:t>急涨急跌</w:t>
      </w:r>
      <w:r w:rsidRPr="001F789C">
        <w:t>、行业间</w:t>
      </w:r>
      <w:r w:rsidRPr="001F789C">
        <w:rPr>
          <w:b/>
          <w:bCs/>
        </w:rPr>
        <w:t>相关性升高</w:t>
      </w:r>
      <w:r w:rsidRPr="001F789C">
        <w:t>（一起涨跌）→ 频繁止损与换手。</w:t>
      </w:r>
    </w:p>
    <w:p w:rsidR="00C004DD" w:rsidRPr="00C004DD" w:rsidRDefault="00C004DD" w:rsidP="00C004DD">
      <w:pPr>
        <w:rPr>
          <w:b/>
          <w:bCs/>
        </w:rPr>
      </w:pPr>
      <w:r w:rsidRPr="00C004DD">
        <w:rPr>
          <w:b/>
          <w:bCs/>
        </w:rPr>
        <w:t>12 个月</w:t>
      </w:r>
      <w:r>
        <w:rPr>
          <w:rFonts w:hint="eastAsia"/>
          <w:b/>
          <w:bCs/>
        </w:rPr>
        <w:t>预期收益:</w:t>
      </w:r>
    </w:p>
    <w:p w:rsidR="00C004DD" w:rsidRPr="00C004DD" w:rsidRDefault="00C004DD" w:rsidP="00C004DD">
      <w:pPr>
        <w:numPr>
          <w:ilvl w:val="0"/>
          <w:numId w:val="4"/>
        </w:numPr>
      </w:pPr>
      <w:r w:rsidRPr="00C004DD">
        <w:rPr>
          <w:b/>
          <w:bCs/>
        </w:rPr>
        <w:t>保守（熊）</w:t>
      </w:r>
      <w:r w:rsidRPr="00C004DD">
        <w:t xml:space="preserve">：核心 </w:t>
      </w:r>
      <w:r w:rsidRPr="00C004DD">
        <w:rPr>
          <w:rFonts w:ascii="Cambria Math" w:hAnsi="Cambria Math" w:cs="Cambria Math"/>
        </w:rPr>
        <w:t>−</w:t>
      </w:r>
      <w:r w:rsidRPr="00C004DD">
        <w:t xml:space="preserve">3%，行业动量 </w:t>
      </w:r>
      <w:r w:rsidRPr="00C004DD">
        <w:rPr>
          <w:rFonts w:ascii="Cambria Math" w:hAnsi="Cambria Math" w:cs="Cambria Math"/>
        </w:rPr>
        <w:t>−</w:t>
      </w:r>
      <w:r w:rsidRPr="00C004DD">
        <w:t xml:space="preserve">20%，转债 </w:t>
      </w:r>
      <w:r w:rsidRPr="00C004DD">
        <w:rPr>
          <w:rFonts w:ascii="Cambria Math" w:hAnsi="Cambria Math" w:cs="Cambria Math"/>
        </w:rPr>
        <w:t>−</w:t>
      </w:r>
      <w:r w:rsidRPr="00C004DD">
        <w:t xml:space="preserve">3% → </w:t>
      </w:r>
      <w:r w:rsidRPr="00C004DD">
        <w:rPr>
          <w:b/>
          <w:bCs/>
        </w:rPr>
        <w:t xml:space="preserve">约 </w:t>
      </w:r>
      <w:r w:rsidRPr="00C004DD">
        <w:rPr>
          <w:rFonts w:ascii="Cambria Math" w:hAnsi="Cambria Math" w:cs="Cambria Math"/>
          <w:b/>
          <w:bCs/>
        </w:rPr>
        <w:t>−</w:t>
      </w:r>
      <w:r w:rsidRPr="00C004DD">
        <w:rPr>
          <w:b/>
          <w:bCs/>
        </w:rPr>
        <w:t>6.4%</w:t>
      </w:r>
      <w:r w:rsidRPr="00C004DD">
        <w:t xml:space="preserve">（≈ </w:t>
      </w:r>
      <w:r w:rsidRPr="00C004DD">
        <w:rPr>
          <w:rFonts w:ascii="Cambria Math" w:hAnsi="Cambria Math" w:cs="Cambria Math"/>
          <w:b/>
          <w:bCs/>
        </w:rPr>
        <w:t>−</w:t>
      </w:r>
      <w:r w:rsidRPr="00C004DD">
        <w:rPr>
          <w:b/>
          <w:bCs/>
        </w:rPr>
        <w:t>1.28 万</w:t>
      </w:r>
      <w:r w:rsidRPr="00C004DD">
        <w:t xml:space="preserve">，总值 ~ </w:t>
      </w:r>
      <w:r w:rsidRPr="00C004DD">
        <w:rPr>
          <w:b/>
          <w:bCs/>
        </w:rPr>
        <w:t>18.72 万</w:t>
      </w:r>
      <w:r w:rsidRPr="00C004DD">
        <w:t>）。</w:t>
      </w:r>
    </w:p>
    <w:p w:rsidR="00C004DD" w:rsidRPr="00C004DD" w:rsidRDefault="00C004DD" w:rsidP="00C004DD">
      <w:pPr>
        <w:numPr>
          <w:ilvl w:val="0"/>
          <w:numId w:val="4"/>
        </w:numPr>
      </w:pPr>
      <w:r w:rsidRPr="00C004DD">
        <w:rPr>
          <w:b/>
          <w:bCs/>
        </w:rPr>
        <w:t>基线（中位）</w:t>
      </w:r>
      <w:r w:rsidRPr="00C004DD">
        <w:t xml:space="preserve">：核心 </w:t>
      </w:r>
      <w:r w:rsidRPr="00C004DD">
        <w:rPr>
          <w:b/>
          <w:bCs/>
        </w:rPr>
        <w:t>+5%</w:t>
      </w:r>
      <w:r w:rsidRPr="00C004DD">
        <w:t xml:space="preserve">，行业动量 </w:t>
      </w:r>
      <w:r w:rsidRPr="00C004DD">
        <w:rPr>
          <w:b/>
          <w:bCs/>
        </w:rPr>
        <w:t>+15%</w:t>
      </w:r>
      <w:r w:rsidRPr="00C004DD">
        <w:t xml:space="preserve">，转债 </w:t>
      </w:r>
      <w:r w:rsidRPr="00C004DD">
        <w:rPr>
          <w:b/>
          <w:bCs/>
        </w:rPr>
        <w:t>+6%</w:t>
      </w:r>
      <w:r w:rsidRPr="00C004DD">
        <w:t xml:space="preserve"> → </w:t>
      </w:r>
      <w:r w:rsidRPr="00C004DD">
        <w:rPr>
          <w:b/>
          <w:bCs/>
        </w:rPr>
        <w:t>约 +7.1%</w:t>
      </w:r>
      <w:r w:rsidRPr="00C004DD">
        <w:t xml:space="preserve">（≈ </w:t>
      </w:r>
      <w:r w:rsidRPr="00C004DD">
        <w:rPr>
          <w:b/>
          <w:bCs/>
        </w:rPr>
        <w:t>+1.42 万</w:t>
      </w:r>
      <w:r w:rsidRPr="00C004DD">
        <w:t xml:space="preserve">，总值 ~ </w:t>
      </w:r>
      <w:r w:rsidRPr="00C004DD">
        <w:rPr>
          <w:b/>
          <w:bCs/>
        </w:rPr>
        <w:t>21.42 万</w:t>
      </w:r>
      <w:r w:rsidRPr="00C004DD">
        <w:t>）。</w:t>
      </w:r>
    </w:p>
    <w:p w:rsidR="00C004DD" w:rsidRDefault="00C004DD" w:rsidP="00C004DD">
      <w:pPr>
        <w:numPr>
          <w:ilvl w:val="0"/>
          <w:numId w:val="4"/>
        </w:numPr>
      </w:pPr>
      <w:r w:rsidRPr="00C004DD">
        <w:rPr>
          <w:b/>
          <w:bCs/>
        </w:rPr>
        <w:t>乐观（牛）</w:t>
      </w:r>
      <w:r w:rsidRPr="00C004DD">
        <w:t xml:space="preserve">：核心 </w:t>
      </w:r>
      <w:r w:rsidRPr="00C004DD">
        <w:rPr>
          <w:b/>
          <w:bCs/>
        </w:rPr>
        <w:t>+8%</w:t>
      </w:r>
      <w:r w:rsidRPr="00C004DD">
        <w:t xml:space="preserve">，行业动量 </w:t>
      </w:r>
      <w:r w:rsidRPr="00C004DD">
        <w:rPr>
          <w:b/>
          <w:bCs/>
        </w:rPr>
        <w:t>+35%</w:t>
      </w:r>
      <w:r w:rsidRPr="00C004DD">
        <w:t xml:space="preserve">，转债 </w:t>
      </w:r>
      <w:r w:rsidRPr="00C004DD">
        <w:rPr>
          <w:b/>
          <w:bCs/>
        </w:rPr>
        <w:t>+10%</w:t>
      </w:r>
      <w:r w:rsidRPr="00C004DD">
        <w:t xml:space="preserve"> → </w:t>
      </w:r>
      <w:r w:rsidRPr="00C004DD">
        <w:rPr>
          <w:b/>
          <w:bCs/>
        </w:rPr>
        <w:t>约 +13.6%</w:t>
      </w:r>
      <w:r w:rsidRPr="00C004DD">
        <w:t xml:space="preserve">（≈ </w:t>
      </w:r>
      <w:r w:rsidRPr="00C004DD">
        <w:rPr>
          <w:b/>
          <w:bCs/>
        </w:rPr>
        <w:t>+2.72 万</w:t>
      </w:r>
      <w:r w:rsidRPr="00C004DD">
        <w:t xml:space="preserve">，总值 ~ </w:t>
      </w:r>
      <w:r w:rsidRPr="00C004DD">
        <w:rPr>
          <w:b/>
          <w:bCs/>
        </w:rPr>
        <w:t>22.72 万</w:t>
      </w:r>
      <w:r w:rsidRPr="00C004DD">
        <w:t>）。</w:t>
      </w:r>
    </w:p>
    <w:p w:rsidR="007F12C8" w:rsidRPr="00AD6772" w:rsidRDefault="007F12C8" w:rsidP="007F12C8">
      <w:pPr>
        <w:rPr>
          <w:b/>
          <w:bCs/>
          <w:sz w:val="36"/>
          <w:szCs w:val="36"/>
        </w:rPr>
      </w:pPr>
      <w:r w:rsidRPr="00AD6772">
        <w:rPr>
          <w:rFonts w:hint="eastAsia"/>
          <w:b/>
          <w:bCs/>
          <w:sz w:val="36"/>
          <w:szCs w:val="36"/>
        </w:rPr>
        <w:t>策略运行时间以及切换:</w:t>
      </w:r>
    </w:p>
    <w:p w:rsidR="007F12C8" w:rsidRDefault="007F12C8" w:rsidP="007F12C8">
      <w:r w:rsidRPr="007F12C8">
        <w:rPr>
          <w:b/>
          <w:bCs/>
        </w:rPr>
        <w:t>冲刺窗口 = 至少 6 个月；默认 9–12 个月；硬上限 18 个月</w:t>
      </w:r>
      <w:r w:rsidRPr="007F12C8">
        <w:t>。满足任一触发条件就</w:t>
      </w:r>
      <w:r w:rsidRPr="007F12C8">
        <w:rPr>
          <w:b/>
          <w:bCs/>
        </w:rPr>
        <w:t>立即切换</w:t>
      </w:r>
      <w:r w:rsidRPr="007F12C8">
        <w:t>到</w:t>
      </w:r>
      <w:r>
        <w:rPr>
          <w:rFonts w:hint="eastAsia"/>
        </w:rPr>
        <w:t>阶段二</w:t>
      </w:r>
      <w:r w:rsidRPr="007F12C8">
        <w:t>那套稳健 + 明确规则 + 低成本的长期框架</w:t>
      </w:r>
    </w:p>
    <w:p w:rsidR="005F399E" w:rsidRDefault="005F399E" w:rsidP="007F12C8">
      <w:pPr>
        <w:rPr>
          <w:b/>
          <w:bCs/>
        </w:rPr>
      </w:pPr>
    </w:p>
    <w:p w:rsidR="007F12C8" w:rsidRPr="007F12C8" w:rsidRDefault="007F12C8" w:rsidP="007F12C8">
      <w:pPr>
        <w:rPr>
          <w:rFonts w:hint="eastAsia"/>
          <w:b/>
          <w:bCs/>
          <w:sz w:val="36"/>
          <w:szCs w:val="36"/>
        </w:rPr>
      </w:pPr>
      <w:r w:rsidRPr="007F12C8">
        <w:rPr>
          <w:b/>
          <w:bCs/>
          <w:sz w:val="36"/>
          <w:szCs w:val="36"/>
        </w:rPr>
        <w:lastRenderedPageBreak/>
        <w:t>投资策略触发条件表</w:t>
      </w:r>
      <w:r w:rsidR="00AD6772">
        <w:rPr>
          <w:rFonts w:hint="eastAsia"/>
          <w:b/>
          <w:bCs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2775"/>
        <w:gridCol w:w="2770"/>
      </w:tblGrid>
      <w:tr w:rsidR="005F399E" w:rsidTr="00FC03E8">
        <w:tc>
          <w:tcPr>
            <w:tcW w:w="2880" w:type="dxa"/>
          </w:tcPr>
          <w:p w:rsidR="005F399E" w:rsidRDefault="005F399E" w:rsidP="00FC03E8">
            <w:r>
              <w:t>触发类型</w:t>
            </w:r>
          </w:p>
        </w:tc>
        <w:tc>
          <w:tcPr>
            <w:tcW w:w="2880" w:type="dxa"/>
          </w:tcPr>
          <w:p w:rsidR="005F399E" w:rsidRDefault="005F399E" w:rsidP="00FC03E8">
            <w:r>
              <w:t>触发条件（任一条）</w:t>
            </w:r>
          </w:p>
        </w:tc>
        <w:tc>
          <w:tcPr>
            <w:tcW w:w="2880" w:type="dxa"/>
          </w:tcPr>
          <w:p w:rsidR="005F399E" w:rsidRDefault="005F399E" w:rsidP="00FC03E8">
            <w:r>
              <w:t>立刻动作</w:t>
            </w:r>
          </w:p>
        </w:tc>
      </w:tr>
      <w:tr w:rsidR="005F399E" w:rsidTr="00FC03E8">
        <w:tc>
          <w:tcPr>
            <w:tcW w:w="2880" w:type="dxa"/>
          </w:tcPr>
          <w:p w:rsidR="005F399E" w:rsidRDefault="005F399E" w:rsidP="00FC03E8">
            <w:r>
              <w:t>盈利达标</w:t>
            </w:r>
          </w:p>
        </w:tc>
        <w:tc>
          <w:tcPr>
            <w:tcW w:w="2880" w:type="dxa"/>
          </w:tcPr>
          <w:p w:rsidR="005F399E" w:rsidRDefault="005F399E" w:rsidP="00FC03E8">
            <w:r>
              <w:t>① 冲刺仓收益 ≥ +100%（6万→≥ 12万）；或 ② 总资产 ≥ 30万</w:t>
            </w:r>
          </w:p>
        </w:tc>
        <w:tc>
          <w:tcPr>
            <w:tcW w:w="2880" w:type="dxa"/>
          </w:tcPr>
          <w:p w:rsidR="005F399E" w:rsidRDefault="005F399E" w:rsidP="00FC03E8">
            <w:r>
              <w:t>把冲刺盈利的 2/3 并入核心；冲刺仓降到 20%，进入长期框架</w:t>
            </w:r>
          </w:p>
        </w:tc>
      </w:tr>
      <w:tr w:rsidR="005F399E" w:rsidTr="00FC03E8">
        <w:tc>
          <w:tcPr>
            <w:tcW w:w="2880" w:type="dxa"/>
          </w:tcPr>
          <w:p w:rsidR="005F399E" w:rsidRDefault="005F399E" w:rsidP="00FC03E8">
            <w:r>
              <w:t>风险止损</w:t>
            </w:r>
          </w:p>
        </w:tc>
        <w:tc>
          <w:tcPr>
            <w:tcW w:w="2880" w:type="dxa"/>
          </w:tcPr>
          <w:p w:rsidR="005F399E" w:rsidRDefault="005F399E" w:rsidP="00FC03E8">
            <w:r>
              <w:t>① 冲刺仓自峰值回撤 ≥ 30%；或 ② 总资产 ≤ 14万</w:t>
            </w:r>
          </w:p>
        </w:tc>
        <w:tc>
          <w:tcPr>
            <w:tcW w:w="2880" w:type="dxa"/>
          </w:tcPr>
          <w:p w:rsidR="005F399E" w:rsidRDefault="005F399E" w:rsidP="00FC03E8">
            <w:r>
              <w:t>终止冲刺，直接切长期框架（核心 80% / 卫星 20%）</w:t>
            </w:r>
          </w:p>
        </w:tc>
      </w:tr>
      <w:tr w:rsidR="005F399E" w:rsidTr="00FC03E8">
        <w:tc>
          <w:tcPr>
            <w:tcW w:w="2880" w:type="dxa"/>
          </w:tcPr>
          <w:p w:rsidR="005F399E" w:rsidRDefault="005F399E" w:rsidP="00FC03E8">
            <w:r>
              <w:t>时限到点</w:t>
            </w:r>
          </w:p>
        </w:tc>
        <w:tc>
          <w:tcPr>
            <w:tcW w:w="2880" w:type="dxa"/>
          </w:tcPr>
          <w:p w:rsidR="005F399E" w:rsidRDefault="005F399E" w:rsidP="00FC03E8">
            <w:r>
              <w:t>满 12 个月仍未达盈利达标（且 Calmar &lt; 0.5）</w:t>
            </w:r>
          </w:p>
        </w:tc>
        <w:tc>
          <w:tcPr>
            <w:tcW w:w="2880" w:type="dxa"/>
          </w:tcPr>
          <w:p w:rsidR="005F399E" w:rsidRDefault="005F399E" w:rsidP="00FC03E8">
            <w:r>
              <w:t>结束冲刺 → 长期框架（核心 60% / 卫星 40%）</w:t>
            </w:r>
          </w:p>
        </w:tc>
      </w:tr>
      <w:tr w:rsidR="005F399E" w:rsidTr="00FC03E8">
        <w:tc>
          <w:tcPr>
            <w:tcW w:w="2880" w:type="dxa"/>
          </w:tcPr>
          <w:p w:rsidR="005F399E" w:rsidRDefault="005F399E" w:rsidP="00FC03E8">
            <w:r>
              <w:t>绩效体检</w:t>
            </w:r>
          </w:p>
        </w:tc>
        <w:tc>
          <w:tcPr>
            <w:tcW w:w="2880" w:type="dxa"/>
          </w:tcPr>
          <w:p w:rsidR="005F399E" w:rsidRDefault="005F399E" w:rsidP="00FC03E8">
            <w:r>
              <w:t>滚动 6 个月 Calmar &lt; 0.5 连续两次</w:t>
            </w:r>
          </w:p>
        </w:tc>
        <w:tc>
          <w:tcPr>
            <w:tcW w:w="2880" w:type="dxa"/>
          </w:tcPr>
          <w:p w:rsidR="005F399E" w:rsidRDefault="005F399E" w:rsidP="00FC03E8">
            <w:r>
              <w:t>冲刺仓从 30% 降到 20% 并进入长期框架</w:t>
            </w:r>
          </w:p>
        </w:tc>
      </w:tr>
    </w:tbl>
    <w:p w:rsidR="001817C5" w:rsidRPr="005F399E" w:rsidRDefault="001817C5" w:rsidP="005F399E">
      <w:pPr>
        <w:rPr>
          <w:rFonts w:hint="eastAsia"/>
        </w:rPr>
      </w:pPr>
    </w:p>
    <w:sectPr w:rsidR="001817C5" w:rsidRPr="005F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86EFF"/>
    <w:multiLevelType w:val="multilevel"/>
    <w:tmpl w:val="0394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CD6149"/>
    <w:multiLevelType w:val="multilevel"/>
    <w:tmpl w:val="F52E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B7F89"/>
    <w:multiLevelType w:val="multilevel"/>
    <w:tmpl w:val="E062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262234"/>
    <w:multiLevelType w:val="multilevel"/>
    <w:tmpl w:val="BAA8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D608F"/>
    <w:multiLevelType w:val="multilevel"/>
    <w:tmpl w:val="3458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16490"/>
    <w:multiLevelType w:val="multilevel"/>
    <w:tmpl w:val="8314F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613C00"/>
    <w:multiLevelType w:val="multilevel"/>
    <w:tmpl w:val="205A9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4143D"/>
    <w:multiLevelType w:val="multilevel"/>
    <w:tmpl w:val="5DC4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22FF3"/>
    <w:multiLevelType w:val="multilevel"/>
    <w:tmpl w:val="80386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2121DE"/>
    <w:multiLevelType w:val="multilevel"/>
    <w:tmpl w:val="F9A6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5350D6"/>
    <w:multiLevelType w:val="multilevel"/>
    <w:tmpl w:val="CE866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86039"/>
    <w:multiLevelType w:val="multilevel"/>
    <w:tmpl w:val="7F0C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7D4222"/>
    <w:multiLevelType w:val="multilevel"/>
    <w:tmpl w:val="BD3E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682A80"/>
    <w:multiLevelType w:val="multilevel"/>
    <w:tmpl w:val="712E4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F91B44"/>
    <w:multiLevelType w:val="multilevel"/>
    <w:tmpl w:val="804E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63658">
    <w:abstractNumId w:val="8"/>
  </w:num>
  <w:num w:numId="2" w16cid:durableId="730928225">
    <w:abstractNumId w:val="10"/>
  </w:num>
  <w:num w:numId="3" w16cid:durableId="388697698">
    <w:abstractNumId w:val="1"/>
  </w:num>
  <w:num w:numId="4" w16cid:durableId="854072312">
    <w:abstractNumId w:val="11"/>
  </w:num>
  <w:num w:numId="5" w16cid:durableId="1341548060">
    <w:abstractNumId w:val="3"/>
  </w:num>
  <w:num w:numId="6" w16cid:durableId="1145703045">
    <w:abstractNumId w:val="14"/>
  </w:num>
  <w:num w:numId="7" w16cid:durableId="490020649">
    <w:abstractNumId w:val="5"/>
  </w:num>
  <w:num w:numId="8" w16cid:durableId="698749092">
    <w:abstractNumId w:val="2"/>
  </w:num>
  <w:num w:numId="9" w16cid:durableId="397367300">
    <w:abstractNumId w:val="13"/>
  </w:num>
  <w:num w:numId="10" w16cid:durableId="1710452415">
    <w:abstractNumId w:val="0"/>
  </w:num>
  <w:num w:numId="11" w16cid:durableId="1514756583">
    <w:abstractNumId w:val="12"/>
  </w:num>
  <w:num w:numId="12" w16cid:durableId="1547988067">
    <w:abstractNumId w:val="7"/>
  </w:num>
  <w:num w:numId="13" w16cid:durableId="476070006">
    <w:abstractNumId w:val="9"/>
  </w:num>
  <w:num w:numId="14" w16cid:durableId="1437942120">
    <w:abstractNumId w:val="4"/>
  </w:num>
  <w:num w:numId="15" w16cid:durableId="10856144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7C5"/>
    <w:rsid w:val="00002B02"/>
    <w:rsid w:val="00097942"/>
    <w:rsid w:val="000C439E"/>
    <w:rsid w:val="00150BFA"/>
    <w:rsid w:val="0015268D"/>
    <w:rsid w:val="001817C5"/>
    <w:rsid w:val="001F789C"/>
    <w:rsid w:val="002350BB"/>
    <w:rsid w:val="005632C0"/>
    <w:rsid w:val="005E10F3"/>
    <w:rsid w:val="005F399E"/>
    <w:rsid w:val="006061B8"/>
    <w:rsid w:val="006B5AD3"/>
    <w:rsid w:val="007B0F6B"/>
    <w:rsid w:val="007F12C8"/>
    <w:rsid w:val="007F7777"/>
    <w:rsid w:val="009045C8"/>
    <w:rsid w:val="00943233"/>
    <w:rsid w:val="009E630B"/>
    <w:rsid w:val="00AC6C1F"/>
    <w:rsid w:val="00AD6772"/>
    <w:rsid w:val="00AE6405"/>
    <w:rsid w:val="00B0471A"/>
    <w:rsid w:val="00B328BC"/>
    <w:rsid w:val="00B453F0"/>
    <w:rsid w:val="00BD6E4F"/>
    <w:rsid w:val="00C004DD"/>
    <w:rsid w:val="00CA1867"/>
    <w:rsid w:val="00D91E49"/>
    <w:rsid w:val="00E33CED"/>
    <w:rsid w:val="00E40792"/>
    <w:rsid w:val="00F13A57"/>
    <w:rsid w:val="00FB3A4A"/>
    <w:rsid w:val="00FB7E44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558C9"/>
  <w15:chartTrackingRefBased/>
  <w15:docId w15:val="{494F3195-19BB-1443-AAE8-3F9860646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1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F399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554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16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1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493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凯越 毛</dc:creator>
  <cp:keywords/>
  <dc:description/>
  <cp:lastModifiedBy>凯越 毛</cp:lastModifiedBy>
  <cp:revision>28</cp:revision>
  <dcterms:created xsi:type="dcterms:W3CDTF">2025-08-23T06:03:00Z</dcterms:created>
  <dcterms:modified xsi:type="dcterms:W3CDTF">2025-08-23T14:58:00Z</dcterms:modified>
</cp:coreProperties>
</file>