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20万资金两阶段炒股策略</w:t>
      </w:r>
    </w:p>
    <w:p>
      <w:pPr>
        <w:jc w:val="center"/>
      </w:pPr>
      <w:r>
        <w:rPr>
          <w:b/>
          <w:sz w:val="28"/>
        </w:rPr>
        <w:t>基于动量效应的量化投资框架</w:t>
      </w:r>
    </w:p>
    <w:p/>
    <w:p>
      <w:pPr>
        <w:pStyle w:val="Heading1"/>
      </w:pPr>
      <w:r>
        <w:t>一、总体投资框架</w:t>
      </w:r>
    </w:p>
    <w:p>
      <w:pPr>
        <w:pStyle w:val="Heading2"/>
      </w:pPr>
      <w:r>
        <w:t>（一）投资目标</w:t>
      </w:r>
    </w:p>
    <w:p>
      <w:r>
        <w:rPr>
          <w:b w:val="0"/>
          <w:sz w:val="22"/>
        </w:rPr>
        <w:t>阶段一：筹码倍增期（6-12个月）——追求资产快速增值</w:t>
      </w:r>
    </w:p>
    <w:p>
      <w:r>
        <w:rPr>
          <w:b w:val="0"/>
          <w:sz w:val="22"/>
        </w:rPr>
        <w:t>阶段二：稳健复利期（长期框架）——追求持续稳定收益</w:t>
      </w:r>
    </w:p>
    <w:p>
      <w:pPr>
        <w:pStyle w:val="Heading2"/>
      </w:pPr>
      <w:r>
        <w:t>（二）资金规模与时间安排</w:t>
      </w:r>
    </w:p>
    <w:p>
      <w:r>
        <w:rPr>
          <w:b/>
          <w:sz w:val="22"/>
        </w:rPr>
        <w:t>初始资金：20万人民币</w:t>
      </w:r>
    </w:p>
    <w:p>
      <w:r>
        <w:rPr>
          <w:b/>
          <w:sz w:val="22"/>
        </w:rPr>
        <w:t>冲刺窗口：6-18个月（默认9-12个月）</w:t>
      </w:r>
    </w:p>
    <w:p>
      <w:r>
        <w:rPr>
          <w:b/>
          <w:sz w:val="22"/>
        </w:rPr>
        <w:t>切换条件：盈利达标或风险触发自动切换</w:t>
      </w:r>
    </w:p>
    <w:p>
      <w:r>
        <w:br w:type="page"/>
      </w:r>
    </w:p>
    <w:p>
      <w:pPr>
        <w:pStyle w:val="Heading1"/>
      </w:pPr>
      <w:r>
        <w:t>二、阶段一：筹码倍增策略详解</w:t>
      </w:r>
    </w:p>
    <w:p>
      <w:pPr>
        <w:pStyle w:val="Heading2"/>
      </w:pPr>
      <w:r>
        <w:t>（一）资产配置结构</w:t>
      </w:r>
    </w:p>
    <w:p>
      <w:pPr>
        <w:pStyle w:val="Heading3"/>
      </w:pPr>
      <w:r>
        <w:t>1. 核心持仓（60%）——长期底座配置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资产类别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配置比例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具体标的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配置理由</w:t>
            </w:r>
          </w:p>
        </w:tc>
      </w:tr>
      <w:tr>
        <w:tc>
          <w:tcPr>
            <w:tcW w:type="dxa" w:w="2160"/>
          </w:tcPr>
          <w:p>
            <w:r>
              <w:t>A股宽基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沪深300 ETF</w:t>
            </w:r>
          </w:p>
        </w:tc>
        <w:tc>
          <w:tcPr>
            <w:tcW w:type="dxa" w:w="2160"/>
          </w:tcPr>
          <w:p>
            <w:r>
              <w:t>市场基准，低波动</w:t>
            </w:r>
          </w:p>
        </w:tc>
      </w:tr>
      <w:tr>
        <w:tc>
          <w:tcPr>
            <w:tcW w:type="dxa" w:w="2160"/>
          </w:tcPr>
          <w:p>
            <w:r>
              <w:t>红利因子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上证红利/中证红利低波ETF</w:t>
            </w:r>
          </w:p>
        </w:tc>
        <w:tc>
          <w:tcPr>
            <w:tcW w:type="dxa" w:w="2160"/>
          </w:tcPr>
          <w:p>
            <w:r>
              <w:t>稳定分红，防守属性</w:t>
            </w:r>
          </w:p>
        </w:tc>
      </w:tr>
      <w:tr>
        <w:tc>
          <w:tcPr>
            <w:tcW w:type="dxa" w:w="2160"/>
          </w:tcPr>
          <w:p>
            <w:r>
              <w:t>短期固收</w:t>
            </w:r>
          </w:p>
        </w:tc>
        <w:tc>
          <w:tcPr>
            <w:tcW w:type="dxa" w:w="2160"/>
          </w:tcPr>
          <w:p>
            <w:r>
              <w:t>15%</w:t>
            </w:r>
          </w:p>
        </w:tc>
        <w:tc>
          <w:tcPr>
            <w:tcW w:type="dxa" w:w="2160"/>
          </w:tcPr>
          <w:p>
            <w:r>
              <w:t>短融/短债ETF</w:t>
            </w:r>
          </w:p>
        </w:tc>
        <w:tc>
          <w:tcPr>
            <w:tcW w:type="dxa" w:w="2160"/>
          </w:tcPr>
          <w:p>
            <w:r>
              <w:t>流动性管理，低风险</w:t>
            </w:r>
          </w:p>
        </w:tc>
      </w:tr>
      <w:tr>
        <w:tc>
          <w:tcPr>
            <w:tcW w:type="dxa" w:w="2160"/>
          </w:tcPr>
          <w:p>
            <w:r>
              <w:t>黄金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黄金ETF</w:t>
            </w:r>
          </w:p>
        </w:tc>
        <w:tc>
          <w:tcPr>
            <w:tcW w:type="dxa" w:w="2160"/>
          </w:tcPr>
          <w:p>
            <w:r>
              <w:t>避险配置，对冲通胀</w:t>
            </w:r>
          </w:p>
        </w:tc>
      </w:tr>
      <w:tr>
        <w:tc>
          <w:tcPr>
            <w:tcW w:type="dxa" w:w="2160"/>
          </w:tcPr>
          <w:p>
            <w:r>
              <w:t>美股基线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标普500 QDII-ETF</w:t>
            </w:r>
          </w:p>
        </w:tc>
        <w:tc>
          <w:tcPr>
            <w:tcW w:type="dxa" w:w="2160"/>
          </w:tcPr>
          <w:p>
            <w:r>
              <w:t>全球配置（仅溢价≤3%时买入）</w:t>
            </w:r>
          </w:p>
        </w:tc>
      </w:tr>
    </w:tbl>
    <w:p/>
    <w:p>
      <w:r>
        <w:rPr>
          <w:b/>
          <w:sz w:val="24"/>
        </w:rPr>
        <w:t>动态调整规则：</w:t>
      </w:r>
    </w:p>
    <w:p>
      <w:pPr>
        <w:ind w:left="432"/>
      </w:pPr>
      <w:r>
        <w:rPr>
          <w:b w:val="0"/>
          <w:sz w:val="22"/>
        </w:rPr>
        <w:t>1. 当10年国债收益率≥2.20%时：短融向5-10年国债ETF转移5-10%</w:t>
      </w:r>
    </w:p>
    <w:p>
      <w:pPr>
        <w:ind w:left="432"/>
      </w:pPr>
      <w:r>
        <w:rPr>
          <w:b w:val="0"/>
          <w:sz w:val="22"/>
        </w:rPr>
        <w:t>2. 当10年国债收益率≤1.60%时：减持中长债5%回短融</w:t>
      </w:r>
    </w:p>
    <w:p>
      <w:pPr>
        <w:ind w:left="432"/>
      </w:pPr>
      <w:r>
        <w:rPr>
          <w:b w:val="0"/>
          <w:sz w:val="22"/>
        </w:rPr>
        <w:t>3. 黄金价格&gt;840元/克时：回落到目标10%；&lt;750元/克时：补回到10%</w:t>
      </w:r>
    </w:p>
    <w:p/>
    <w:p>
      <w:pPr>
        <w:pStyle w:val="Heading3"/>
      </w:pPr>
      <w:r>
        <w:t>2. 卫星持仓（40%）——进攻配置</w:t>
      </w:r>
    </w:p>
    <w:p>
      <w:pPr>
        <w:pStyle w:val="Heading4"/>
      </w:pPr>
      <w:r>
        <w:t>2.1 行业/主题动量轮动（20%）</w:t>
      </w:r>
    </w:p>
    <w:p>
      <w:r>
        <w:rPr>
          <w:b/>
          <w:sz w:val="24"/>
        </w:rPr>
        <w:t>候选ETF池：</w:t>
      </w:r>
    </w:p>
    <w:p>
      <w:pPr>
        <w:ind w:left="432"/>
      </w:pPr>
      <w:r>
        <w:rPr>
          <w:b w:val="0"/>
          <w:sz w:val="22"/>
        </w:rPr>
        <w:t>科技类：半导体ETF、计算机ETF、科创50</w:t>
      </w:r>
    </w:p>
    <w:p>
      <w:pPr>
        <w:ind w:left="432"/>
      </w:pPr>
      <w:r>
        <w:rPr>
          <w:b w:val="0"/>
          <w:sz w:val="22"/>
        </w:rPr>
        <w:t>新经济：新能源车ETF、医药ETF</w:t>
      </w:r>
    </w:p>
    <w:p>
      <w:pPr>
        <w:ind w:left="432"/>
      </w:pPr>
      <w:r>
        <w:rPr>
          <w:b w:val="0"/>
          <w:sz w:val="22"/>
        </w:rPr>
        <w:t>周期类：有色ETF、银行ETF、证券ETF</w:t>
      </w:r>
    </w:p>
    <w:p>
      <w:pPr>
        <w:ind w:left="432"/>
      </w:pPr>
      <w:r>
        <w:rPr>
          <w:b w:val="0"/>
          <w:sz w:val="22"/>
        </w:rPr>
        <w:t>主题类：军工ETF</w:t>
      </w:r>
    </w:p>
    <w:p/>
    <w:p>
      <w:r>
        <w:rPr>
          <w:b/>
          <w:sz w:val="24"/>
        </w:rPr>
        <w:t>轮动策略核心公式：</w:t>
      </w:r>
    </w:p>
    <w:p>
      <w:pPr>
        <w:ind w:left="432"/>
      </w:pPr>
      <w:r>
        <w:rPr>
          <w:b w:val="0"/>
          <w:sz w:val="22"/>
        </w:rPr>
        <w:t>评分 = 0.6 × 近3个月收益率 + 0.4 × 近6个月收益率</w:t>
      </w:r>
    </w:p>
    <w:p>
      <w:pPr>
        <w:ind w:left="432"/>
      </w:pPr>
      <w:r>
        <w:rPr>
          <w:b w:val="0"/>
          <w:sz w:val="22"/>
        </w:rPr>
        <w:t>持仓规则：持有评分前2名，各配置10%（单只上限12%）</w:t>
      </w:r>
    </w:p>
    <w:p/>
    <w:p>
      <w:r>
        <w:rPr>
          <w:b/>
          <w:sz w:val="24"/>
        </w:rPr>
        <w:t>风险控制机制：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控制维度</w:t>
            </w:r>
          </w:p>
        </w:tc>
        <w:tc>
          <w:tcPr>
            <w:tcW w:type="dxa" w:w="4320"/>
          </w:tcPr>
          <w:p>
            <w:r>
              <w:rPr>
                <w:b/>
              </w:rPr>
              <w:t>具体规则</w:t>
            </w:r>
          </w:p>
        </w:tc>
      </w:tr>
      <w:tr>
        <w:tc>
          <w:tcPr>
            <w:tcW w:type="dxa" w:w="4320"/>
          </w:tcPr>
          <w:p>
            <w:r>
              <w:t>缓冲带设置</w:t>
            </w:r>
          </w:p>
        </w:tc>
        <w:tc>
          <w:tcPr>
            <w:tcW w:type="dxa" w:w="4320"/>
          </w:tcPr>
          <w:p>
            <w:r>
              <w:t>默认3%（强趋势降至2%，震荡市场升至4%）</w:t>
            </w:r>
          </w:p>
        </w:tc>
      </w:tr>
      <w:tr>
        <w:tc>
          <w:tcPr>
            <w:tcW w:type="dxa" w:w="4320"/>
          </w:tcPr>
          <w:p>
            <w:r>
              <w:t>最短持有期</w:t>
            </w:r>
          </w:p>
        </w:tc>
        <w:tc>
          <w:tcPr>
            <w:tcW w:type="dxa" w:w="4320"/>
          </w:tcPr>
          <w:p>
            <w:r>
              <w:t>≥2周（止损情况除外）</w:t>
            </w:r>
          </w:p>
        </w:tc>
      </w:tr>
      <w:tr>
        <w:tc>
          <w:tcPr>
            <w:tcW w:type="dxa" w:w="4320"/>
          </w:tcPr>
          <w:p>
            <w:r>
              <w:t>趋势闸门</w:t>
            </w:r>
          </w:p>
        </w:tc>
        <w:tc>
          <w:tcPr>
            <w:tcW w:type="dxa" w:w="4320"/>
          </w:tcPr>
          <w:p>
            <w:r>
              <w:t>沪深300在年线下方：仅持1只×15%</w:t>
              <w:br/>
              <w:t>沪深300在年线上方：持2只×各10%</w:t>
            </w:r>
          </w:p>
        </w:tc>
      </w:tr>
      <w:tr>
        <w:tc>
          <w:tcPr>
            <w:tcW w:type="dxa" w:w="4320"/>
          </w:tcPr>
          <w:p>
            <w:r>
              <w:t>相关性控制</w:t>
            </w:r>
          </w:p>
        </w:tc>
        <w:tc>
          <w:tcPr>
            <w:tcW w:type="dxa" w:w="4320"/>
          </w:tcPr>
          <w:p>
            <w:r>
              <w:t>前二名日相关系数&gt;0.8时，用第三名替换第二名</w:t>
            </w:r>
          </w:p>
        </w:tc>
      </w:tr>
      <w:tr>
        <w:tc>
          <w:tcPr>
            <w:tcW w:type="dxa" w:w="4320"/>
          </w:tcPr>
          <w:p>
            <w:r>
              <w:t>止损线</w:t>
            </w:r>
          </w:p>
        </w:tc>
        <w:tc>
          <w:tcPr>
            <w:tcW w:type="dxa" w:w="4320"/>
          </w:tcPr>
          <w:p>
            <w:r>
              <w:t>默认-12%（强趋势-10%，震荡市-15%）</w:t>
            </w:r>
          </w:p>
        </w:tc>
      </w:tr>
      <w:tr>
        <w:tc>
          <w:tcPr>
            <w:tcW w:type="dxa" w:w="4320"/>
          </w:tcPr>
          <w:p>
            <w:r>
              <w:t>锁盈线</w:t>
            </w:r>
          </w:p>
        </w:tc>
        <w:tc>
          <w:tcPr>
            <w:tcW w:type="dxa" w:w="4320"/>
          </w:tcPr>
          <w:p>
            <w:r>
              <w:t>任一持仓+25%时，抽出盈利50%并入核心</w:t>
            </w:r>
          </w:p>
        </w:tc>
      </w:tr>
    </w:tbl>
    <w:p>
      <w:r>
        <w:br w:type="page"/>
      </w:r>
    </w:p>
    <w:p>
      <w:pPr>
        <w:pStyle w:val="Heading4"/>
      </w:pPr>
      <w:r>
        <w:t>2.2 可转债网格交易（10%）</w:t>
      </w:r>
    </w:p>
    <w:p>
      <w:r>
        <w:rPr>
          <w:b/>
          <w:sz w:val="24"/>
        </w:rPr>
        <w:t>入池标准：</w:t>
      </w:r>
    </w:p>
    <w:p>
      <w:pPr>
        <w:ind w:left="432"/>
      </w:pPr>
      <w:r>
        <w:rPr>
          <w:b w:val="0"/>
          <w:sz w:val="22"/>
        </w:rPr>
        <w:t>基本要求：规模≥5亿，评级≥AA-，剩余期限1-5年</w:t>
      </w:r>
    </w:p>
    <w:p>
      <w:pPr>
        <w:ind w:left="432"/>
      </w:pPr>
      <w:r>
        <w:rPr>
          <w:b w:val="0"/>
          <w:sz w:val="22"/>
        </w:rPr>
        <w:t>价格区间：90-130元</w:t>
      </w:r>
    </w:p>
    <w:p>
      <w:pPr>
        <w:ind w:left="432"/>
      </w:pPr>
      <w:r>
        <w:rPr>
          <w:b w:val="0"/>
          <w:sz w:val="22"/>
        </w:rPr>
        <w:t>转股溢价：0-40%（高位市场可放宽至45%）</w:t>
      </w:r>
    </w:p>
    <w:p>
      <w:pPr>
        <w:ind w:left="432"/>
      </w:pPr>
      <w:r>
        <w:rPr>
          <w:b w:val="0"/>
          <w:sz w:val="22"/>
        </w:rPr>
        <w:t>流动性要求：近3个月日均成交额≥2000万</w:t>
      </w:r>
    </w:p>
    <w:p/>
    <w:p>
      <w:r>
        <w:rPr>
          <w:b/>
          <w:sz w:val="24"/>
        </w:rPr>
        <w:t>网格设置方法：</w:t>
      </w:r>
    </w:p>
    <w:p>
      <w:pPr>
        <w:ind w:left="432"/>
      </w:pPr>
      <w:r>
        <w:rPr>
          <w:b w:val="0"/>
          <w:sz w:val="22"/>
        </w:rPr>
        <w:t>动态间距 = max(3%, 0.8 × 20日ATR/价格)</w:t>
      </w:r>
    </w:p>
    <w:p>
      <w:pPr>
        <w:ind w:left="432"/>
      </w:pPr>
      <w:r>
        <w:rPr>
          <w:b w:val="0"/>
          <w:sz w:val="22"/>
        </w:rPr>
        <w:t>间距限制：2-6%</w:t>
      </w:r>
    </w:p>
    <w:p>
      <w:pPr>
        <w:ind w:left="432"/>
      </w:pPr>
      <w:r>
        <w:rPr>
          <w:b w:val="0"/>
          <w:sz w:val="22"/>
        </w:rPr>
        <w:t>可采用双层结构：内层±2-3%，外层±4-5%</w:t>
      </w:r>
    </w:p>
    <w:p/>
    <w:p>
      <w:r>
        <w:rPr>
          <w:b/>
          <w:sz w:val="24"/>
        </w:rPr>
        <w:t>仓位管理规则：</w:t>
      </w:r>
    </w:p>
    <w:p>
      <w:pPr>
        <w:ind w:left="432"/>
      </w:pPr>
      <w:r>
        <w:rPr>
          <w:b w:val="0"/>
          <w:sz w:val="22"/>
        </w:rPr>
        <w:t>单券上限：1.5%</w:t>
      </w:r>
    </w:p>
    <w:p>
      <w:pPr>
        <w:ind w:left="432"/>
      </w:pPr>
      <w:r>
        <w:rPr>
          <w:b w:val="0"/>
          <w:sz w:val="22"/>
        </w:rPr>
        <w:t>总仓上限：10%</w:t>
      </w:r>
    </w:p>
    <w:p>
      <w:pPr>
        <w:ind w:left="432"/>
      </w:pPr>
      <w:r>
        <w:rPr>
          <w:b w:val="0"/>
          <w:sz w:val="22"/>
        </w:rPr>
        <w:t>分散度要求：8-10只</w:t>
      </w:r>
    </w:p>
    <w:p/>
    <w:p>
      <w:r>
        <w:rPr>
          <w:b/>
          <w:sz w:val="24"/>
        </w:rPr>
        <w:t>可转债评分系统（满分1.0）：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因子类型</w:t>
            </w:r>
          </w:p>
        </w:tc>
        <w:tc>
          <w:tcPr>
            <w:tcW w:type="dxa" w:w="2880"/>
          </w:tcPr>
          <w:p>
            <w:r>
              <w:rPr>
                <w:b/>
              </w:rPr>
              <w:t>权重</w:t>
            </w:r>
          </w:p>
        </w:tc>
        <w:tc>
          <w:tcPr>
            <w:tcW w:type="dxa" w:w="2880"/>
          </w:tcPr>
          <w:p>
            <w:r>
              <w:rPr>
                <w:b/>
              </w:rPr>
              <w:t>评价维度</w:t>
            </w:r>
          </w:p>
        </w:tc>
      </w:tr>
      <w:tr>
        <w:tc>
          <w:tcPr>
            <w:tcW w:type="dxa" w:w="2880"/>
          </w:tcPr>
          <w:p>
            <w:r>
              <w:t>正向因子合计</w:t>
            </w:r>
          </w:p>
        </w:tc>
        <w:tc>
          <w:tcPr>
            <w:tcW w:type="dxa" w:w="2880"/>
          </w:tcPr>
          <w:p>
            <w:r>
              <w:t>0.95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价值垫</w:t>
            </w:r>
          </w:p>
        </w:tc>
        <w:tc>
          <w:tcPr>
            <w:tcW w:type="dxa" w:w="2880"/>
          </w:tcPr>
          <w:p>
            <w:r>
              <w:t>0.22</w:t>
            </w:r>
          </w:p>
        </w:tc>
        <w:tc>
          <w:tcPr>
            <w:tcW w:type="dxa" w:w="2880"/>
          </w:tcPr>
          <w:p>
            <w:r>
              <w:t>距离债底的安全边际</w:t>
            </w:r>
          </w:p>
        </w:tc>
      </w:tr>
      <w:tr>
        <w:tc>
          <w:tcPr>
            <w:tcW w:type="dxa" w:w="2880"/>
          </w:tcPr>
          <w:p>
            <w:r>
              <w:t>转股溢价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  <w:tc>
          <w:tcPr>
            <w:tcW w:type="dxa" w:w="2880"/>
          </w:tcPr>
          <w:p>
            <w:r>
              <w:t>溢价率越低越好</w:t>
            </w:r>
          </w:p>
        </w:tc>
      </w:tr>
      <w:tr>
        <w:tc>
          <w:tcPr>
            <w:tcW w:type="dxa" w:w="2880"/>
          </w:tcPr>
          <w:p>
            <w:r>
              <w:t>流动性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  <w:tc>
          <w:tcPr>
            <w:tcW w:type="dxa" w:w="2880"/>
          </w:tcPr>
          <w:p>
            <w:r>
              <w:t>成交额(70%)，买卖价差(30%)</w:t>
            </w:r>
          </w:p>
        </w:tc>
      </w:tr>
      <w:tr>
        <w:tc>
          <w:tcPr>
            <w:tcW w:type="dxa" w:w="2880"/>
          </w:tcPr>
          <w:p>
            <w:r>
              <w:t>可交易波动</w:t>
            </w:r>
          </w:p>
        </w:tc>
        <w:tc>
          <w:tcPr>
            <w:tcW w:type="dxa" w:w="2880"/>
          </w:tcPr>
          <w:p>
            <w:r>
              <w:t>0.12</w:t>
            </w:r>
          </w:p>
        </w:tc>
        <w:tc>
          <w:tcPr>
            <w:tcW w:type="dxa" w:w="2880"/>
          </w:tcPr>
          <w:p>
            <w:r>
              <w:t>日波动2%/日最佳</w:t>
            </w:r>
          </w:p>
        </w:tc>
      </w:tr>
      <w:tr>
        <w:tc>
          <w:tcPr>
            <w:tcW w:type="dxa" w:w="2880"/>
          </w:tcPr>
          <w:p>
            <w:r>
              <w:t>期限匹配</w:t>
            </w:r>
          </w:p>
        </w:tc>
        <w:tc>
          <w:tcPr>
            <w:tcW w:type="dxa" w:w="2880"/>
          </w:tcPr>
          <w:p>
            <w:r>
              <w:t>0.10</w:t>
            </w:r>
          </w:p>
        </w:tc>
        <w:tc>
          <w:tcPr>
            <w:tcW w:type="dxa" w:w="2880"/>
          </w:tcPr>
          <w:p>
            <w:r>
              <w:t>2.2年最佳，1.5-3年较优</w:t>
            </w:r>
          </w:p>
        </w:tc>
      </w:tr>
      <w:tr>
        <w:tc>
          <w:tcPr>
            <w:tcW w:type="dxa" w:w="2880"/>
          </w:tcPr>
          <w:p>
            <w:r>
              <w:t>信用质量</w:t>
            </w:r>
          </w:p>
        </w:tc>
        <w:tc>
          <w:tcPr>
            <w:tcW w:type="dxa" w:w="2880"/>
          </w:tcPr>
          <w:p>
            <w:r>
              <w:t>0.10</w:t>
            </w:r>
          </w:p>
        </w:tc>
        <w:tc>
          <w:tcPr>
            <w:tcW w:type="dxa" w:w="2880"/>
          </w:tcPr>
          <w:p>
            <w:r>
              <w:t>AAA=1.0, AA+=0.9, AA=0.8, AA-=0.7</w:t>
            </w:r>
          </w:p>
        </w:tc>
      </w:tr>
      <w:tr>
        <w:tc>
          <w:tcPr>
            <w:tcW w:type="dxa" w:w="2880"/>
          </w:tcPr>
          <w:p>
            <w:r>
              <w:t>条款友好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  <w:tc>
          <w:tcPr>
            <w:tcW w:type="dxa" w:w="2880"/>
          </w:tcPr>
          <w:p>
            <w:r>
              <w:t>下修条款(60%)，回售条款(40%)</w:t>
            </w:r>
          </w:p>
        </w:tc>
      </w:tr>
      <w:tr>
        <w:tc>
          <w:tcPr>
            <w:tcW w:type="dxa" w:w="2880"/>
          </w:tcPr>
          <w:p>
            <w:r>
              <w:t>负向因子合计</w:t>
            </w:r>
          </w:p>
        </w:tc>
        <w:tc>
          <w:tcPr>
            <w:tcW w:type="dxa" w:w="2880"/>
          </w:tcPr>
          <w:p>
            <w:r>
              <w:t>-0.15</w:t>
            </w:r>
          </w:p>
        </w:tc>
        <w:tc>
          <w:tcPr>
            <w:tcW w:type="dxa" w:w="2880"/>
          </w:tcPr>
          <w:p>
            <w:r>
              <w:t>强赎风险(-0.10)，事件风险(-0.05)</w:t>
            </w:r>
          </w:p>
        </w:tc>
      </w:tr>
    </w:tbl>
    <w:p>
      <w:r>
        <w:rPr>
          <w:b/>
          <w:sz w:val="22"/>
        </w:rPr>
        <w:t>入围标准：综合得分≥0.60</w:t>
      </w:r>
    </w:p>
    <w:p/>
    <w:p>
      <w:pPr>
        <w:pStyle w:val="Heading4"/>
      </w:pPr>
      <w:r>
        <w:t>2.3 战术/机会仓位（10%）</w:t>
      </w:r>
    </w:p>
    <w:p>
      <w:r>
        <w:rPr>
          <w:b w:val="0"/>
          <w:sz w:val="22"/>
        </w:rPr>
        <w:t>1. 无合适机会时停放货币基金</w:t>
      </w:r>
    </w:p>
    <w:p>
      <w:r>
        <w:rPr>
          <w:b w:val="0"/>
          <w:sz w:val="22"/>
        </w:rPr>
        <w:t>2. 用于把握突发性投资机会</w:t>
      </w:r>
    </w:p>
    <w:p>
      <w:r>
        <w:rPr>
          <w:b w:val="0"/>
          <w:sz w:val="22"/>
        </w:rPr>
        <w:t>3. 严格控制风险，快进快出</w:t>
      </w:r>
    </w:p>
    <w:p>
      <w:r>
        <w:br w:type="page"/>
      </w:r>
    </w:p>
    <w:p>
      <w:pPr>
        <w:pStyle w:val="Heading1"/>
      </w:pPr>
      <w:r>
        <w:t>三、执行方案</w:t>
      </w:r>
    </w:p>
    <w:p>
      <w:pPr>
        <w:pStyle w:val="Heading2"/>
      </w:pPr>
      <w:r>
        <w:t>（一）建仓计划（6-8周DCA）</w:t>
      </w:r>
    </w:p>
    <w:p>
      <w:r>
        <w:rPr>
          <w:b w:val="0"/>
          <w:sz w:val="22"/>
        </w:rPr>
        <w:t>6周方案：每周投入16.7%</w:t>
      </w:r>
    </w:p>
    <w:p>
      <w:r>
        <w:rPr>
          <w:b w:val="0"/>
          <w:sz w:val="22"/>
        </w:rPr>
        <w:t>8周方案：每周投入12.5%</w:t>
      </w:r>
    </w:p>
    <w:p>
      <w:r>
        <w:rPr>
          <w:b w:val="0"/>
          <w:sz w:val="22"/>
        </w:rPr>
        <w:t>执行日：每周二/周五</w:t>
      </w:r>
    </w:p>
    <w:p>
      <w:r>
        <w:rPr>
          <w:b w:val="0"/>
          <w:sz w:val="22"/>
        </w:rPr>
        <w:t>下单时间：10:30或14:00</w:t>
      </w:r>
    </w:p>
    <w:p>
      <w:r>
        <w:rPr>
          <w:b w:val="0"/>
          <w:sz w:val="22"/>
        </w:rPr>
        <w:t>执行方式：限价单，偏离IOPV≤0.1%</w:t>
      </w:r>
    </w:p>
    <w:p>
      <w:pPr>
        <w:pStyle w:val="Heading2"/>
      </w:pPr>
      <w:r>
        <w:t>（二）再平衡规则</w:t>
      </w:r>
    </w:p>
    <w:p>
      <w:r>
        <w:rPr>
          <w:b/>
          <w:sz w:val="22"/>
        </w:rPr>
        <w:t>季度观察：</w:t>
      </w:r>
    </w:p>
    <w:p>
      <w:pPr>
        <w:ind w:left="432"/>
      </w:pPr>
      <w:r>
        <w:rPr>
          <w:b w:val="0"/>
          <w:sz w:val="22"/>
        </w:rPr>
        <w:t>触发条件：任一大类偏离目标±5个百分点</w:t>
      </w:r>
    </w:p>
    <w:p>
      <w:pPr>
        <w:ind w:left="432"/>
      </w:pPr>
      <w:r>
        <w:rPr>
          <w:b w:val="0"/>
          <w:sz w:val="22"/>
        </w:rPr>
        <w:t>调整幅度：回调至±2个百分点内</w:t>
      </w:r>
    </w:p>
    <w:p>
      <w:r>
        <w:rPr>
          <w:b/>
          <w:sz w:val="22"/>
        </w:rPr>
        <w:t>年度再平衡：</w:t>
      </w:r>
    </w:p>
    <w:p>
      <w:pPr>
        <w:ind w:left="432"/>
      </w:pPr>
      <w:r>
        <w:rPr>
          <w:b w:val="0"/>
          <w:sz w:val="22"/>
        </w:rPr>
        <w:t>时间：每年12月最后一周</w:t>
      </w:r>
    </w:p>
    <w:p>
      <w:pPr>
        <w:ind w:left="432"/>
      </w:pPr>
      <w:r>
        <w:rPr>
          <w:b w:val="0"/>
          <w:sz w:val="22"/>
        </w:rPr>
        <w:t>动作：所有资产回到目标权重</w:t>
      </w:r>
    </w:p>
    <w:p>
      <w:r>
        <w:rPr>
          <w:b/>
          <w:sz w:val="22"/>
        </w:rPr>
        <w:t>卫星轮动：</w:t>
      </w:r>
    </w:p>
    <w:p>
      <w:pPr>
        <w:ind w:left="432"/>
      </w:pPr>
      <w:r>
        <w:rPr>
          <w:b w:val="0"/>
          <w:sz w:val="22"/>
        </w:rPr>
        <w:t>频率：每月最后一个交易日</w:t>
      </w:r>
    </w:p>
    <w:p>
      <w:pPr>
        <w:ind w:left="432"/>
      </w:pPr>
      <w:r>
        <w:rPr>
          <w:b w:val="0"/>
          <w:sz w:val="22"/>
        </w:rPr>
        <w:t>方法：重新计算动量得分并调整持仓</w:t>
      </w:r>
    </w:p>
    <w:p>
      <w:pPr>
        <w:pStyle w:val="Heading2"/>
      </w:pPr>
      <w:r>
        <w:t>（三）组合级风控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回撤幅度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调整措施</w:t>
            </w:r>
          </w:p>
        </w:tc>
      </w:tr>
      <w:tr>
        <w:tc>
          <w:tcPr>
            <w:tcW w:type="dxa" w:w="4320"/>
          </w:tcPr>
          <w:p>
            <w:r>
              <w:t>-15%</w:t>
            </w:r>
          </w:p>
        </w:tc>
        <w:tc>
          <w:tcPr>
            <w:tcW w:type="dxa" w:w="4320"/>
          </w:tcPr>
          <w:p>
            <w:r>
              <w:t>卫星从40%降至25%（行业-10%，转债-5%）</w:t>
            </w:r>
          </w:p>
        </w:tc>
      </w:tr>
      <w:tr>
        <w:tc>
          <w:tcPr>
            <w:tcW w:type="dxa" w:w="4320"/>
          </w:tcPr>
          <w:p>
            <w:r>
              <w:t>-20%</w:t>
            </w:r>
          </w:p>
        </w:tc>
        <w:tc>
          <w:tcPr>
            <w:tcW w:type="dxa" w:w="4320"/>
          </w:tcPr>
          <w:p>
            <w:r>
              <w:t>卫星降至20%（行业12%，转债8%）</w:t>
            </w:r>
          </w:p>
        </w:tc>
      </w:tr>
      <w:tr>
        <w:tc>
          <w:tcPr>
            <w:tcW w:type="dxa" w:w="4320"/>
          </w:tcPr>
          <w:p>
            <w:r>
              <w:t>-30%</w:t>
            </w:r>
          </w:p>
        </w:tc>
        <w:tc>
          <w:tcPr>
            <w:tcW w:type="dxa" w:w="4320"/>
          </w:tcPr>
          <w:p>
            <w:r>
              <w:t>卫星降至10%（行业≤5%，转债≤5%），其余回核心/现金</w:t>
            </w:r>
          </w:p>
        </w:tc>
      </w:tr>
    </w:tbl>
    <w:p>
      <w:r>
        <w:br w:type="page"/>
      </w:r>
    </w:p>
    <w:p>
      <w:pPr>
        <w:pStyle w:val="Heading1"/>
      </w:pPr>
      <w:r>
        <w:t>四、阶段切换条件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触发类型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具体条件</w:t>
            </w:r>
          </w:p>
        </w:tc>
        <w:tc>
          <w:tcPr>
            <w:tcW w:type="dxa" w:w="2880"/>
          </w:tcPr>
          <w:p>
            <w:r>
              <w:rPr>
                <w:b/>
              </w:rPr>
              <w:t>立即行动</w:t>
            </w:r>
          </w:p>
        </w:tc>
      </w:tr>
      <w:tr>
        <w:tc>
          <w:tcPr>
            <w:tcW w:type="dxa" w:w="2880"/>
          </w:tcPr>
          <w:p>
            <w:r>
              <w:t>盈利达标</w:t>
            </w:r>
          </w:p>
        </w:tc>
        <w:tc>
          <w:tcPr>
            <w:tcW w:type="dxa" w:w="2880"/>
          </w:tcPr>
          <w:p>
            <w:r>
              <w:t>1.冲刺仓收益≥100%（6万→12万）</w:t>
              <w:br/>
              <w:t>2.总资产≥30万</w:t>
            </w:r>
          </w:p>
        </w:tc>
        <w:tc>
          <w:tcPr>
            <w:tcW w:type="dxa" w:w="2880"/>
          </w:tcPr>
          <w:p>
            <w:r>
              <w:t>冲刺盈利2/3并入核心</w:t>
              <w:br/>
              <w:t>冲刺仓降至20%</w:t>
            </w:r>
          </w:p>
        </w:tc>
      </w:tr>
      <w:tr>
        <w:tc>
          <w:tcPr>
            <w:tcW w:type="dxa" w:w="2880"/>
          </w:tcPr>
          <w:p>
            <w:r>
              <w:t>风险止损</w:t>
            </w:r>
          </w:p>
        </w:tc>
        <w:tc>
          <w:tcPr>
            <w:tcW w:type="dxa" w:w="2880"/>
          </w:tcPr>
          <w:p>
            <w:r>
              <w:t>1.冲刺仓峰值回撤≥30%</w:t>
              <w:br/>
              <w:t>2.总资产≤14万</w:t>
            </w:r>
          </w:p>
        </w:tc>
        <w:tc>
          <w:tcPr>
            <w:tcW w:type="dxa" w:w="2880"/>
          </w:tcPr>
          <w:p>
            <w:r>
              <w:t>终止冲刺</w:t>
              <w:br/>
              <w:t>切换长期框架</w:t>
            </w:r>
          </w:p>
        </w:tc>
      </w:tr>
      <w:tr>
        <w:tc>
          <w:tcPr>
            <w:tcW w:type="dxa" w:w="2880"/>
          </w:tcPr>
          <w:p>
            <w:r>
              <w:t>时限到期</w:t>
            </w:r>
          </w:p>
        </w:tc>
        <w:tc>
          <w:tcPr>
            <w:tcW w:type="dxa" w:w="2880"/>
          </w:tcPr>
          <w:p>
            <w:r>
              <w:t>满12个月未达标</w:t>
              <w:br/>
              <w:t>且Calmar&lt;0.5</w:t>
            </w:r>
          </w:p>
        </w:tc>
        <w:tc>
          <w:tcPr>
            <w:tcW w:type="dxa" w:w="2880"/>
          </w:tcPr>
          <w:p>
            <w:r>
              <w:t>结束冲刺</w:t>
              <w:br/>
              <w:t>转入长期框架</w:t>
            </w:r>
          </w:p>
        </w:tc>
      </w:tr>
      <w:tr>
        <w:tc>
          <w:tcPr>
            <w:tcW w:type="dxa" w:w="2880"/>
          </w:tcPr>
          <w:p>
            <w:r>
              <w:t>绩效体检</w:t>
            </w:r>
          </w:p>
        </w:tc>
        <w:tc>
          <w:tcPr>
            <w:tcW w:type="dxa" w:w="2880"/>
          </w:tcPr>
          <w:p>
            <w:r>
              <w:t>滚动6个月Calmar&lt;0.5</w:t>
              <w:br/>
              <w:t>连续两次</w:t>
            </w:r>
          </w:p>
        </w:tc>
        <w:tc>
          <w:tcPr>
            <w:tcW w:type="dxa" w:w="2880"/>
          </w:tcPr>
          <w:p>
            <w:r>
              <w:t>冲刺仓从30%降至20%</w:t>
            </w:r>
          </w:p>
        </w:tc>
      </w:tr>
    </w:tbl>
    <w:p/>
    <w:p>
      <w:pPr>
        <w:pStyle w:val="Heading1"/>
      </w:pPr>
      <w:r>
        <w:t>五、策略科学依据</w:t>
      </w:r>
    </w:p>
    <w:p>
      <w:pPr>
        <w:pStyle w:val="Heading2"/>
      </w:pPr>
      <w:r>
        <w:t>（一）动量效应理论支撑</w:t>
      </w:r>
    </w:p>
    <w:p>
      <w:r>
        <w:rPr>
          <w:b w:val="0"/>
          <w:sz w:val="22"/>
        </w:rPr>
        <w:t>1. 经典研究：买入近3-12个月赢家，卖出输家，长期有显著正超额收益</w:t>
      </w:r>
    </w:p>
    <w:p>
      <w:r>
        <w:rPr>
          <w:b w:val="0"/>
          <w:sz w:val="22"/>
        </w:rPr>
        <w:t>2. 跨市场验证：在8大资产类别、多个国家长期存在</w:t>
      </w:r>
    </w:p>
    <w:p>
      <w:r>
        <w:rPr>
          <w:b w:val="0"/>
          <w:sz w:val="22"/>
        </w:rPr>
        <w:t>3. 行业层面更稳健：个股动量很大部分来自行业动量</w:t>
      </w:r>
    </w:p>
    <w:p>
      <w:pPr>
        <w:pStyle w:val="Heading2"/>
      </w:pPr>
      <w:r>
        <w:t>（二）A股市场特征适配</w:t>
      </w:r>
    </w:p>
    <w:p>
      <w:r>
        <w:rPr>
          <w:b w:val="0"/>
          <w:sz w:val="22"/>
        </w:rPr>
        <w:t>1. 行业轮动明显：A股板块效应强，适合行业ETF轮动</w:t>
      </w:r>
    </w:p>
    <w:p>
      <w:r>
        <w:rPr>
          <w:b w:val="0"/>
          <w:sz w:val="22"/>
        </w:rPr>
        <w:t>2. 个股动量弱化：2005年后个股动量效应减弱，故采用行业维度</w:t>
      </w:r>
    </w:p>
    <w:p>
      <w:r>
        <w:rPr>
          <w:b w:val="0"/>
          <w:sz w:val="22"/>
        </w:rPr>
        <w:t>3. 交易成本优势：ETF无印花税，成本更低</w:t>
      </w:r>
    </w:p>
    <w:p>
      <w:pPr>
        <w:pStyle w:val="Heading2"/>
      </w:pPr>
      <w:r>
        <w:t>（三）风险管理必要性</w:t>
      </w:r>
    </w:p>
    <w:p>
      <w:r>
        <w:rPr>
          <w:b w:val="0"/>
          <w:sz w:val="22"/>
        </w:rPr>
        <w:t>1. 动量崩盘风险：急速风格反转期存在左尾风险</w:t>
      </w:r>
    </w:p>
    <w:p>
      <w:r>
        <w:rPr>
          <w:b w:val="0"/>
          <w:sz w:val="22"/>
        </w:rPr>
        <w:t>2. 风控改善夏普比：止损、限仓能显著改善风险调整收益</w:t>
      </w:r>
    </w:p>
    <w:p>
      <w:r>
        <w:rPr>
          <w:b w:val="0"/>
          <w:sz w:val="22"/>
        </w:rPr>
        <w:t>3. 带宽再平衡：优于固定频率，减少不必要换手</w:t>
      </w:r>
    </w:p>
    <w:p>
      <w:pPr>
        <w:pStyle w:val="Heading2"/>
      </w:pPr>
      <w:r>
        <w:t>（四）可转债优势</w:t>
      </w:r>
    </w:p>
    <w:p>
      <w:r>
        <w:rPr>
          <w:b w:val="0"/>
          <w:sz w:val="22"/>
        </w:rPr>
        <w:t>1. 凸性特征：上行参与、下行缓冲</w:t>
      </w:r>
    </w:p>
    <w:p>
      <w:r>
        <w:rPr>
          <w:b w:val="0"/>
          <w:sz w:val="22"/>
        </w:rPr>
        <w:t>2. 适合小资金：20万级别资金可精细化操作</w:t>
      </w:r>
    </w:p>
    <w:p>
      <w:r>
        <w:rPr>
          <w:b w:val="0"/>
          <w:sz w:val="22"/>
        </w:rPr>
        <w:t>3. 中国特色：国内可转债市场活跃，机会丰富</w:t>
      </w:r>
    </w:p>
    <w:p>
      <w:r>
        <w:br w:type="page"/>
      </w:r>
    </w:p>
    <w:p>
      <w:pPr>
        <w:pStyle w:val="Heading1"/>
      </w:pPr>
      <w:r>
        <w:t>六、预期收益评估</w:t>
      </w:r>
    </w:p>
    <w:p>
      <w:pPr>
        <w:pStyle w:val="Heading2"/>
      </w:pPr>
      <w:r>
        <w:t>（一）12个月收益预期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市场情景</w:t>
            </w:r>
          </w:p>
        </w:tc>
        <w:tc>
          <w:tcPr>
            <w:tcW w:type="dxa" w:w="1440"/>
          </w:tcPr>
          <w:p>
            <w:r>
              <w:rPr>
                <w:b/>
              </w:rPr>
              <w:t>核心收益</w:t>
            </w:r>
          </w:p>
        </w:tc>
        <w:tc>
          <w:tcPr>
            <w:tcW w:type="dxa" w:w="1440"/>
          </w:tcPr>
          <w:p>
            <w:r>
              <w:rPr>
                <w:b/>
              </w:rPr>
              <w:t>行业动量</w:t>
            </w:r>
          </w:p>
        </w:tc>
        <w:tc>
          <w:tcPr>
            <w:tcW w:type="dxa" w:w="1440"/>
          </w:tcPr>
          <w:p>
            <w:r>
              <w:rPr>
                <w:b/>
              </w:rPr>
              <w:t>可转债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综合收益</w:t>
            </w:r>
          </w:p>
        </w:tc>
        <w:tc>
          <w:tcPr>
            <w:tcW w:type="dxa" w:w="1440"/>
          </w:tcPr>
          <w:p>
            <w:r>
              <w:rPr>
                <w:b/>
              </w:rPr>
              <w:t>预期金额</w:t>
            </w:r>
          </w:p>
        </w:tc>
      </w:tr>
      <w:tr>
        <w:tc>
          <w:tcPr>
            <w:tcW w:type="dxa" w:w="1440"/>
          </w:tcPr>
          <w:p>
            <w:r>
              <w:t>保守(熊市)</w:t>
            </w:r>
          </w:p>
        </w:tc>
        <w:tc>
          <w:tcPr>
            <w:tcW w:type="dxa" w:w="1440"/>
          </w:tcPr>
          <w:p>
            <w:r>
              <w:t>-3%</w:t>
            </w:r>
          </w:p>
        </w:tc>
        <w:tc>
          <w:tcPr>
            <w:tcW w:type="dxa" w:w="1440"/>
          </w:tcPr>
          <w:p>
            <w:r>
              <w:t>-20%</w:t>
            </w:r>
          </w:p>
        </w:tc>
        <w:tc>
          <w:tcPr>
            <w:tcW w:type="dxa" w:w="1440"/>
          </w:tcPr>
          <w:p>
            <w:r>
              <w:t>-3%</w:t>
            </w:r>
          </w:p>
        </w:tc>
        <w:tc>
          <w:tcPr>
            <w:tcW w:type="dxa" w:w="1440"/>
          </w:tcPr>
          <w:p>
            <w:r>
              <w:t>-6.4%</w:t>
            </w:r>
          </w:p>
        </w:tc>
        <w:tc>
          <w:tcPr>
            <w:tcW w:type="dxa" w:w="1440"/>
          </w:tcPr>
          <w:p>
            <w:r>
              <w:t>18.72万</w:t>
            </w:r>
          </w:p>
        </w:tc>
      </w:tr>
      <w:tr>
        <w:tc>
          <w:tcPr>
            <w:tcW w:type="dxa" w:w="1440"/>
          </w:tcPr>
          <w:p>
            <w:r>
              <w:t>基准(中性)</w:t>
            </w:r>
          </w:p>
        </w:tc>
        <w:tc>
          <w:tcPr>
            <w:tcW w:type="dxa" w:w="1440"/>
          </w:tcPr>
          <w:p>
            <w:r>
              <w:t>+5%</w:t>
            </w:r>
          </w:p>
        </w:tc>
        <w:tc>
          <w:tcPr>
            <w:tcW w:type="dxa" w:w="1440"/>
          </w:tcPr>
          <w:p>
            <w:r>
              <w:t>+15%</w:t>
            </w:r>
          </w:p>
        </w:tc>
        <w:tc>
          <w:tcPr>
            <w:tcW w:type="dxa" w:w="1440"/>
          </w:tcPr>
          <w:p>
            <w:r>
              <w:t>+6%</w:t>
            </w:r>
          </w:p>
        </w:tc>
        <w:tc>
          <w:tcPr>
            <w:tcW w:type="dxa" w:w="1440"/>
          </w:tcPr>
          <w:p>
            <w:r>
              <w:t>+7.1%</w:t>
            </w:r>
          </w:p>
        </w:tc>
        <w:tc>
          <w:tcPr>
            <w:tcW w:type="dxa" w:w="1440"/>
          </w:tcPr>
          <w:p>
            <w:r>
              <w:t>21.42万</w:t>
            </w:r>
          </w:p>
        </w:tc>
      </w:tr>
      <w:tr>
        <w:tc>
          <w:tcPr>
            <w:tcW w:type="dxa" w:w="1440"/>
          </w:tcPr>
          <w:p>
            <w:r>
              <w:t>乐观(牛市)</w:t>
            </w:r>
          </w:p>
        </w:tc>
        <w:tc>
          <w:tcPr>
            <w:tcW w:type="dxa" w:w="1440"/>
          </w:tcPr>
          <w:p>
            <w:r>
              <w:t>+8%</w:t>
            </w:r>
          </w:p>
        </w:tc>
        <w:tc>
          <w:tcPr>
            <w:tcW w:type="dxa" w:w="1440"/>
          </w:tcPr>
          <w:p>
            <w:r>
              <w:t>+35%</w:t>
            </w:r>
          </w:p>
        </w:tc>
        <w:tc>
          <w:tcPr>
            <w:tcW w:type="dxa" w:w="1440"/>
          </w:tcPr>
          <w:p>
            <w:r>
              <w:t>+10%</w:t>
            </w:r>
          </w:p>
        </w:tc>
        <w:tc>
          <w:tcPr>
            <w:tcW w:type="dxa" w:w="1440"/>
          </w:tcPr>
          <w:p>
            <w:r>
              <w:t>+13.6%</w:t>
            </w:r>
          </w:p>
        </w:tc>
        <w:tc>
          <w:tcPr>
            <w:tcW w:type="dxa" w:w="1440"/>
          </w:tcPr>
          <w:p>
            <w:r>
              <w:t>22.72万</w:t>
            </w:r>
          </w:p>
        </w:tc>
      </w:tr>
    </w:tbl>
    <w:p>
      <w:pPr>
        <w:pStyle w:val="Heading2"/>
      </w:pPr>
      <w:r>
        <w:t>（二）盈亏场景分析</w:t>
      </w:r>
    </w:p>
    <w:p>
      <w:r>
        <w:rPr>
          <w:b/>
          <w:sz w:val="22"/>
        </w:rPr>
        <w:t>容易盈利的市场环境：</w:t>
      </w:r>
    </w:p>
    <w:p>
      <w:pPr>
        <w:ind w:left="432"/>
      </w:pPr>
      <w:r>
        <w:rPr>
          <w:b w:val="0"/>
          <w:sz w:val="22"/>
        </w:rPr>
        <w:t>1. 行业分化明显，趋势连续</w:t>
      </w:r>
    </w:p>
    <w:p>
      <w:pPr>
        <w:ind w:left="432"/>
      </w:pPr>
      <w:r>
        <w:rPr>
          <w:b w:val="0"/>
          <w:sz w:val="22"/>
        </w:rPr>
        <w:t>2. 板块轮动有序，强弱分明</w:t>
      </w:r>
    </w:p>
    <w:p>
      <w:pPr>
        <w:ind w:left="432"/>
      </w:pPr>
      <w:r>
        <w:rPr>
          <w:b w:val="0"/>
          <w:sz w:val="22"/>
        </w:rPr>
        <w:t>3. 市场整体向上，动量效应显著</w:t>
      </w:r>
    </w:p>
    <w:p>
      <w:r>
        <w:rPr>
          <w:b/>
          <w:sz w:val="22"/>
        </w:rPr>
        <w:t>容易亏损的市场环境：</w:t>
      </w:r>
    </w:p>
    <w:p>
      <w:pPr>
        <w:ind w:left="432"/>
      </w:pPr>
      <w:r>
        <w:rPr>
          <w:b w:val="0"/>
          <w:sz w:val="22"/>
        </w:rPr>
        <w:t>1. 横盘震荡，假突破频繁</w:t>
      </w:r>
    </w:p>
    <w:p>
      <w:pPr>
        <w:ind w:left="432"/>
      </w:pPr>
      <w:r>
        <w:rPr>
          <w:b w:val="0"/>
          <w:sz w:val="22"/>
        </w:rPr>
        <w:t>2. 政策扰动导致急涨急跌</w:t>
      </w:r>
    </w:p>
    <w:p>
      <w:pPr>
        <w:ind w:left="432"/>
      </w:pPr>
      <w:r>
        <w:rPr>
          <w:b w:val="0"/>
          <w:sz w:val="22"/>
        </w:rPr>
        <w:t>3. 行业相关性升高，同涨同跌</w:t>
      </w:r>
    </w:p>
    <w:p>
      <w:pPr>
        <w:ind w:left="432"/>
      </w:pPr>
      <w:r>
        <w:rPr>
          <w:b w:val="0"/>
          <w:sz w:val="22"/>
        </w:rPr>
        <w:t>4. 风格快速切换，动量失效</w:t>
      </w:r>
    </w:p>
    <w:p>
      <w:r>
        <w:br w:type="page"/>
      </w:r>
    </w:p>
    <w:p>
      <w:pPr>
        <w:pStyle w:val="Heading1"/>
      </w:pPr>
      <w:r>
        <w:t>七、中国市场本土化建议</w:t>
      </w:r>
    </w:p>
    <w:p>
      <w:pPr>
        <w:pStyle w:val="Heading2"/>
      </w:pPr>
      <w:r>
        <w:t>（一）交易时间优化</w:t>
      </w:r>
    </w:p>
    <w:p>
      <w:r>
        <w:rPr>
          <w:b w:val="0"/>
          <w:sz w:val="22"/>
        </w:rPr>
        <w:t>建议交易时间：9:30-10:00（开盘后稳定期）或14:30-15:00（尾盘）</w:t>
      </w:r>
    </w:p>
    <w:p>
      <w:r>
        <w:rPr>
          <w:b w:val="0"/>
          <w:sz w:val="22"/>
        </w:rPr>
        <w:t>避开时段：11:30和13:00前后的流动性低点</w:t>
      </w:r>
    </w:p>
    <w:p>
      <w:r>
        <w:rPr>
          <w:b w:val="0"/>
          <w:sz w:val="22"/>
        </w:rPr>
        <w:t>特殊时期：重要会议、节假日前后谨慎操作</w:t>
      </w:r>
    </w:p>
    <w:p>
      <w:pPr>
        <w:pStyle w:val="Heading2"/>
      </w:pPr>
      <w:r>
        <w:t>（二）A股特色考虑</w:t>
      </w:r>
    </w:p>
    <w:p>
      <w:r>
        <w:rPr>
          <w:b w:val="0"/>
          <w:sz w:val="22"/>
        </w:rPr>
        <w:t>T+1交易制度：当日买入次日才能卖出，需预留流动性</w:t>
      </w:r>
    </w:p>
    <w:p>
      <w:r>
        <w:rPr>
          <w:b w:val="0"/>
          <w:sz w:val="22"/>
        </w:rPr>
        <w:t>涨跌停限制：主板10%、创业板/科创板20%，影响止损执行</w:t>
      </w:r>
    </w:p>
    <w:p>
      <w:r>
        <w:rPr>
          <w:b w:val="0"/>
          <w:sz w:val="22"/>
        </w:rPr>
        <w:t>ST股票处理：避免ST股票，关注退市风险</w:t>
      </w:r>
    </w:p>
    <w:p>
      <w:r>
        <w:rPr>
          <w:b w:val="0"/>
          <w:sz w:val="22"/>
        </w:rPr>
        <w:t>散户市场特征：情绪化明显，需要更严格风控</w:t>
      </w:r>
    </w:p>
    <w:p>
      <w:pPr>
        <w:pStyle w:val="Heading2"/>
      </w:pPr>
      <w:r>
        <w:t>（三）税费成本优化</w:t>
      </w:r>
    </w:p>
    <w:p>
      <w:r>
        <w:rPr>
          <w:b w:val="0"/>
          <w:sz w:val="22"/>
        </w:rPr>
        <w:t>ETF交易：免印花税，仅有佣金（通常万2.5）</w:t>
      </w:r>
    </w:p>
    <w:p>
      <w:r>
        <w:rPr>
          <w:b w:val="0"/>
          <w:sz w:val="22"/>
        </w:rPr>
        <w:t>可转债优势：深市可转债免佣金，成本更低</w:t>
      </w:r>
    </w:p>
    <w:p>
      <w:r>
        <w:rPr>
          <w:b w:val="0"/>
          <w:sz w:val="22"/>
        </w:rPr>
        <w:t>分红税收：持有期超过1年免税，1个月-1年征10%，1个月内征20%</w:t>
      </w:r>
    </w:p>
    <w:p>
      <w:pPr>
        <w:pStyle w:val="Heading2"/>
      </w:pPr>
      <w:r>
        <w:t>（四）政策风险关注</w:t>
      </w:r>
    </w:p>
    <w:p>
      <w:r>
        <w:rPr>
          <w:b w:val="0"/>
          <w:sz w:val="22"/>
        </w:rPr>
        <w:t>监管政策：关注证监会、交易所政策变化</w:t>
      </w:r>
    </w:p>
    <w:p>
      <w:r>
        <w:rPr>
          <w:b w:val="0"/>
          <w:sz w:val="22"/>
        </w:rPr>
        <w:t>行业政策：特别关注教育、地产、互联网平台等敏感行业</w:t>
      </w:r>
    </w:p>
    <w:p>
      <w:r>
        <w:rPr>
          <w:b w:val="0"/>
          <w:sz w:val="22"/>
        </w:rPr>
        <w:t>货币政策：央行利率决议对市场影响较大</w:t>
      </w:r>
    </w:p>
    <w:p>
      <w:r>
        <w:br w:type="page"/>
      </w:r>
    </w:p>
    <w:p>
      <w:pPr>
        <w:pStyle w:val="Heading1"/>
      </w:pPr>
      <w:r>
        <w:t>八、实施建议</w:t>
      </w:r>
    </w:p>
    <w:p>
      <w:pPr>
        <w:pStyle w:val="Heading2"/>
      </w:pPr>
      <w:r>
        <w:t>（一）适合人群</w:t>
      </w:r>
    </w:p>
    <w:p>
      <w:r>
        <w:rPr>
          <w:b w:val="0"/>
          <w:sz w:val="22"/>
        </w:rPr>
        <w:t>1. 有一定投资经验的个人投资者</w:t>
      </w:r>
    </w:p>
    <w:p>
      <w:r>
        <w:rPr>
          <w:b w:val="0"/>
          <w:sz w:val="22"/>
        </w:rPr>
        <w:t>2. 能承受中等风险</w:t>
      </w:r>
    </w:p>
    <w:p>
      <w:r>
        <w:rPr>
          <w:b w:val="0"/>
          <w:sz w:val="22"/>
        </w:rPr>
        <w:t>3. 有时间进行月度调仓</w:t>
      </w:r>
    </w:p>
    <w:p>
      <w:r>
        <w:rPr>
          <w:b w:val="0"/>
          <w:sz w:val="22"/>
        </w:rPr>
        <w:t>4. 理解并认同动量投资理念</w:t>
      </w:r>
    </w:p>
    <w:p>
      <w:r>
        <w:rPr>
          <w:b w:val="0"/>
          <w:sz w:val="22"/>
        </w:rPr>
        <w:t>5. 资金量在20-50万区间</w:t>
      </w:r>
    </w:p>
    <w:p>
      <w:pPr>
        <w:pStyle w:val="Heading2"/>
      </w:pPr>
      <w:r>
        <w:t>（二）执行要点</w:t>
      </w:r>
    </w:p>
    <w:p>
      <w:r>
        <w:rPr>
          <w:b w:val="0"/>
          <w:sz w:val="22"/>
        </w:rPr>
        <w:t>1. 严格执行纪律：不随意更改规则，避免情绪化操作</w:t>
      </w:r>
    </w:p>
    <w:p>
      <w:r>
        <w:rPr>
          <w:b w:val="0"/>
          <w:sz w:val="22"/>
        </w:rPr>
        <w:t>2. 做好记录：详细记录每次交易和调仓原因</w:t>
      </w:r>
    </w:p>
    <w:p>
      <w:r>
        <w:rPr>
          <w:b w:val="0"/>
          <w:sz w:val="22"/>
        </w:rPr>
        <w:t>3. 定期复盘：月度总结策略执行情况和市场变化</w:t>
      </w:r>
    </w:p>
    <w:p>
      <w:r>
        <w:rPr>
          <w:b w:val="0"/>
          <w:sz w:val="22"/>
        </w:rPr>
        <w:t>4. 保持学习：持续关注市场变化和策略改进机会</w:t>
      </w:r>
    </w:p>
    <w:p>
      <w:r>
        <w:rPr>
          <w:b w:val="0"/>
          <w:sz w:val="22"/>
        </w:rPr>
        <w:t>5. 风险控制：始终把风险控制放在第一位</w:t>
      </w:r>
    </w:p>
    <w:p>
      <w:pPr>
        <w:pStyle w:val="Heading2"/>
      </w:pPr>
      <w:r>
        <w:t>（三）工具准备</w:t>
      </w:r>
    </w:p>
    <w:p>
      <w:r>
        <w:rPr>
          <w:b w:val="0"/>
          <w:sz w:val="22"/>
        </w:rPr>
        <w:t>1. 券商选择：选择佣金低、系统稳定的券商</w:t>
      </w:r>
    </w:p>
    <w:p>
      <w:r>
        <w:rPr>
          <w:b w:val="0"/>
          <w:sz w:val="22"/>
        </w:rPr>
        <w:t>2. 交易软件：熟练使用券商APP和PC客户端</w:t>
      </w:r>
    </w:p>
    <w:p>
      <w:r>
        <w:rPr>
          <w:b w:val="0"/>
          <w:sz w:val="22"/>
        </w:rPr>
        <w:t>3. 数据来源：Wind、同花顺、东方财富等获取行情数据</w:t>
      </w:r>
    </w:p>
    <w:p>
      <w:r>
        <w:rPr>
          <w:b w:val="0"/>
          <w:sz w:val="22"/>
        </w:rPr>
        <w:t>4. 记录工具：Excel或专业软件进行策略计算和记录</w:t>
      </w:r>
    </w:p>
    <w:p>
      <w:r>
        <w:rPr>
          <w:b w:val="0"/>
          <w:sz w:val="22"/>
        </w:rPr>
        <w:t>5. 学习资源：关注优质投资公众号和研报</w:t>
      </w:r>
    </w:p>
    <w:p>
      <w:pPr>
        <w:pStyle w:val="Heading2"/>
      </w:pPr>
      <w:r>
        <w:t>（四）心理准备</w:t>
      </w:r>
    </w:p>
    <w:p>
      <w:r>
        <w:rPr>
          <w:b w:val="0"/>
          <w:sz w:val="22"/>
        </w:rPr>
        <w:t>1. 接受波动：股市波动是常态，要有心理准备</w:t>
      </w:r>
    </w:p>
    <w:p>
      <w:r>
        <w:rPr>
          <w:b w:val="0"/>
          <w:sz w:val="22"/>
        </w:rPr>
        <w:t>2. 长期视角：不要期望一夜暴富，坚持长期投资</w:t>
      </w:r>
    </w:p>
    <w:p>
      <w:r>
        <w:rPr>
          <w:b w:val="0"/>
          <w:sz w:val="22"/>
        </w:rPr>
        <w:t>3. 独立思考：不盲从市场情绪和小道消息</w:t>
      </w:r>
    </w:p>
    <w:p>
      <w:r>
        <w:rPr>
          <w:b w:val="0"/>
          <w:sz w:val="22"/>
        </w:rPr>
        <w:t>4. 止损纪律：达到止损线必须执行，不要心存侥幸</w:t>
      </w:r>
    </w:p>
    <w:p>
      <w:r>
        <w:br w:type="page"/>
      </w:r>
    </w:p>
    <w:p>
      <w:pPr>
        <w:pStyle w:val="Heading1"/>
      </w:pPr>
      <w:r>
        <w:t>九、风险提示</w:t>
      </w:r>
    </w:p>
    <w:p>
      <w:r>
        <w:rPr>
          <w:b/>
        </w:rPr>
        <w:t>重要提示：</w:t>
      </w:r>
      <w:r>
        <w:rPr>
          <w:color w:val="FF0000"/>
        </w:rPr>
        <w:t>股市有风险，投资需谨慎。以下风险需要特别注意：</w:t>
      </w:r>
    </w:p>
    <w:p>
      <w:r>
        <w:rPr>
          <w:b w:val="0"/>
          <w:sz w:val="22"/>
        </w:rPr>
        <w:t>1. 市场风险：股市可能大幅波动，可能面临本金损失</w:t>
      </w:r>
    </w:p>
    <w:p>
      <w:r>
        <w:rPr>
          <w:b w:val="0"/>
          <w:sz w:val="22"/>
        </w:rPr>
        <w:t>2. 策略风险：动量策略存在失效风险，特别是市场风格切换时</w:t>
      </w:r>
    </w:p>
    <w:p>
      <w:r>
        <w:rPr>
          <w:b w:val="0"/>
          <w:sz w:val="22"/>
        </w:rPr>
        <w:t>3. 流动性风险：极端市场情况下可能面临流动性不足</w:t>
      </w:r>
    </w:p>
    <w:p>
      <w:r>
        <w:rPr>
          <w:b w:val="0"/>
          <w:sz w:val="22"/>
        </w:rPr>
        <w:t>4. 操作风险：需要纪律执行，情绪化操作会破坏策略效果</w:t>
      </w:r>
    </w:p>
    <w:p>
      <w:r>
        <w:rPr>
          <w:b w:val="0"/>
          <w:sz w:val="22"/>
        </w:rPr>
        <w:t>5. 监管风险：政策变化可能影响策略执行</w:t>
      </w:r>
    </w:p>
    <w:p>
      <w:r>
        <w:rPr>
          <w:b w:val="0"/>
          <w:sz w:val="22"/>
        </w:rPr>
        <w:t>6. 技术风险：交易系统故障可能影响策略执行</w:t>
      </w:r>
    </w:p>
    <w:p>
      <w:r>
        <w:rPr>
          <w:b w:val="0"/>
          <w:sz w:val="22"/>
        </w:rPr>
        <w:t>7. 集中度风险：行业集中可能放大单一行业风险</w:t>
      </w:r>
    </w:p>
    <w:p/>
    <w:p>
      <w:pPr>
        <w:jc w:val="center"/>
      </w:pPr>
      <w:r>
        <w:rPr>
          <w:b/>
        </w:rPr>
        <w:t>免责声明：</w:t>
      </w:r>
      <w:r>
        <w:rPr>
          <w:color w:val="808080"/>
          <w:sz w:val="20"/>
        </w:rPr>
        <w:t>本策略仅供参考学习，不构成任何投资建议。投资者应根据自身情况独立判断，风险自担。过往业绩不代表未来表现。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