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5AE31A6">
      <w:pPr>
        <w:pStyle w:val="style62"/>
        <w:spacing w:after="60"/>
        <w:jc w:val="center"/>
        <w:rPr/>
      </w:pPr>
      <w:r>
        <w:t>Dokumentenregister</w:t>
      </w:r>
    </w:p>
    <w:p w14:paraId="4F65979C">
      <w:pPr>
        <w:pStyle w:val="style0"/>
        <w:spacing w:after="60"/>
        <w:jc w:val="center"/>
        <w:rPr/>
      </w:pPr>
      <w:r>
        <w:rPr>
          <w:b/>
        </w:rPr>
        <w:t>Bundesliga-Managerspiel-Monitoring 2026/27</w:t>
      </w:r>
    </w:p>
    <w:tbl>
      <w:tblPr>
        <w:tblStyle w:val="style154"/>
        <w:tblW w:w="0" w:type="auto"/>
        <w:jc w:val="center"/>
        <w:tblLook w:val="04A0" w:firstRow="1" w:lastRow="0" w:firstColumn="1" w:lastColumn="0" w:noHBand="0" w:noVBand="1"/>
      </w:tblPr>
      <w:tblGrid>
        <w:gridCol w:w="3535"/>
        <w:gridCol w:w="3535"/>
        <w:gridCol w:w="3535"/>
        <w:gridCol w:w="3535"/>
      </w:tblGrid>
      <w:tr w14:paraId="7FE6CACD">
        <w:trPr>
          <w:cantSplit/>
          <w:jc w:val="center"/>
        </w:trPr>
        <w:tc>
          <w:tcPr>
            <w:tcW w:w="3535" w:type="dxa"/>
            <w:tcBorders/>
            <w:vAlign w:val="center"/>
          </w:tcPr>
          <w:p w14:paraId="65B26DB8">
            <w:pPr>
              <w:pStyle w:val="style0"/>
              <w:spacing w:after="0"/>
              <w:rPr/>
            </w:pPr>
            <w:r>
              <w:rPr>
                <w:b/>
                <w:sz w:val="15"/>
              </w:rPr>
              <w:t>Dokument-ID</w:t>
            </w:r>
          </w:p>
        </w:tc>
        <w:tc>
          <w:tcPr>
            <w:tcW w:w="3535" w:type="dxa"/>
            <w:tcBorders/>
            <w:vAlign w:val="center"/>
          </w:tcPr>
          <w:p w14:paraId="A69F5664">
            <w:pPr>
              <w:pStyle w:val="style0"/>
              <w:rPr/>
            </w:pPr>
            <w:r>
              <w:t>DOC-REG-001</w:t>
            </w:r>
          </w:p>
        </w:tc>
        <w:tc>
          <w:tcPr>
            <w:tcW w:w="3535" w:type="dxa"/>
            <w:tcBorders/>
            <w:vAlign w:val="center"/>
          </w:tcPr>
          <w:p w14:paraId="307C0470">
            <w:pPr>
              <w:pStyle w:val="style0"/>
              <w:spacing w:after="0"/>
              <w:rPr/>
            </w:pPr>
            <w:r>
              <w:rPr>
                <w:b/>
                <w:sz w:val="15"/>
              </w:rPr>
              <w:t>Registerstand</w:t>
            </w:r>
          </w:p>
        </w:tc>
        <w:tc>
          <w:tcPr>
            <w:tcW w:w="3535" w:type="dxa"/>
            <w:tcBorders/>
            <w:vAlign w:val="center"/>
          </w:tcPr>
          <w:p>
            <w:r/>
            <w:r>
              <w:rPr>
                <w:b w:val="0"/>
              </w:rPr>
              <w:t>4.1</w:t>
            </w:r>
          </w:p>
        </w:tc>
      </w:tr>
      <w:tr w14:paraId="AD6F1DE5">
        <w:tblPrEx/>
        <w:trPr>
          <w:cantSplit/>
          <w:jc w:val="center"/>
        </w:trPr>
        <w:tc>
          <w:tcPr>
            <w:tcW w:w="3535" w:type="dxa"/>
            <w:tcBorders/>
            <w:vAlign w:val="center"/>
          </w:tcPr>
          <w:p w14:paraId="08E7E952">
            <w:pPr>
              <w:pStyle w:val="style0"/>
              <w:spacing w:after="0"/>
              <w:rPr/>
            </w:pPr>
            <w:r>
              <w:rPr>
                <w:b/>
                <w:sz w:val="15"/>
              </w:rPr>
              <w:t>Status</w:t>
            </w:r>
          </w:p>
        </w:tc>
        <w:tc>
          <w:tcPr>
            <w:tcW w:w="3535" w:type="dxa"/>
            <w:tcBorders/>
            <w:vAlign w:val="center"/>
          </w:tcPr>
          <w:p>
            <w:r>
              <w:t>Aktuell und verbindlich</w:t>
            </w:r>
          </w:p>
        </w:tc>
        <w:tc>
          <w:tcPr>
            <w:tcW w:w="3535" w:type="dxa"/>
            <w:tcBorders/>
            <w:vAlign w:val="center"/>
          </w:tcPr>
          <w:p w14:paraId="EDD9A601">
            <w:pPr>
              <w:pStyle w:val="style0"/>
              <w:spacing w:after="0"/>
              <w:rPr/>
            </w:pPr>
            <w:r>
              <w:rPr>
                <w:b/>
                <w:sz w:val="15"/>
              </w:rPr>
              <w:t>Stand</w:t>
            </w:r>
          </w:p>
        </w:tc>
        <w:tc>
          <w:tcPr>
            <w:tcW w:w="3535" w:type="dxa"/>
            <w:tcBorders/>
            <w:vAlign w:val="center"/>
          </w:tcPr>
          <w:p>
            <w:r/>
            <w:r>
              <w:rPr>
                <w:b w:val="0"/>
              </w:rPr>
              <w:t>15.09.2026</w:t>
            </w:r>
          </w:p>
        </w:tc>
      </w:tr>
    </w:tbl>
    <w:p w14:paraId="3586FF30">
      <w:pPr>
        <w:pStyle w:val="style0"/>
        <w:rPr/>
      </w:pPr>
      <w:r>
        <w:t>Freigabehinweis: DOC-REG-001 Stand 4.1 ist durch Projektsteuerung und Integrationsmanagement 2 am 15.09.2026 freigegeben und aktuell verbindlich.</w:t>
      </w:r>
    </w:p>
    <w:p w14:paraId="45CC33E2">
      <w:pPr>
        <w:pStyle w:val="style0"/>
        <w:rPr/>
      </w:pPr>
    </w:p>
    <w:p w14:paraId="75F4A4C2">
      <w:pPr>
        <w:pStyle w:val="style1"/>
        <w:spacing w:after="60"/>
        <w:rPr/>
      </w:pPr>
      <w:r>
        <w:t>Verbindlichkeitsregel</w:t>
      </w:r>
    </w:p>
    <w:p w14:paraId="08D44899">
      <w:pPr>
        <w:pStyle w:val="style0"/>
        <w:spacing w:after="60"/>
        <w:rPr/>
      </w:pPr>
      <w:r>
        <w:rPr>
          <w:b/>
        </w:rPr>
        <w:t>Bei mehreren Versionen einer Projektquelle ist ausschließlich die in diesem Dokumentenregister als aktuell ausgewiesene Fassung zu verwenden. Vor der Verwendung versionierter Projektquellen ist dieses Register zu prüfen. Ältere Fassungen dienen ausschließlich der Historie und dürfen nicht als aktuelle Arbeitsgrundlage behandelt werden.</w:t>
      </w:r>
    </w:p>
    <w:p w14:paraId="957DCDD4">
      <w:pPr>
        <w:pStyle w:val="style0"/>
        <w:spacing w:after="60"/>
        <w:rPr/>
      </w:pPr>
      <w:r>
        <w:t>Das Dokumentenregister selbst wird nicht historisiert. Bei einer Neuerstellung wird die bisherige Fassung gelöscht und vollständig durch die neue Fassung ersetzt.</w:t>
      </w:r>
    </w:p>
    <w:p w14:paraId="62C6DB00">
      <w:pPr>
        <w:pStyle w:val="style1"/>
        <w:spacing w:after="60"/>
        <w:rPr/>
      </w:pPr>
      <w:r>
        <w:t>Aktuell verbindliche Projektquellen</w:t>
      </w:r>
    </w:p>
    <w:tbl>
      <w:tblPr>
        <w:tblStyle w:val="style154"/>
        <w:tblW w:w="0" w:type="auto"/>
        <w:jc w:val="center"/>
        <w:tblLayout w:type="fixed"/>
        <w:tblLook w:val="04A0" w:firstRow="1" w:lastRow="0" w:firstColumn="1" w:lastColumn="0" w:noHBand="0" w:noVBand="1"/>
      </w:tblPr>
      <w:tblGrid>
        <w:gridCol w:w="2020"/>
        <w:gridCol w:w="2020"/>
        <w:gridCol w:w="2020"/>
        <w:gridCol w:w="2020"/>
        <w:gridCol w:w="2020"/>
        <w:gridCol w:w="2020"/>
        <w:gridCol w:w="2020"/>
      </w:tblGrid>
      <w:tr w14:paraId="095EFF9F">
        <w:trPr>
          <w:cantSplit/>
          <w:tblHeader/>
          <w:jc w:val="center"/>
        </w:trPr>
        <w:tc>
          <w:tcPr>
            <w:tcW w:w="907" w:type="dxa"/>
            <w:tcBorders/>
            <w:shd w:val="nil" w:color="auto" w:fill="d9e2f3"/>
            <w:tcMar>
              <w:top w:w="35" w:type="dxa"/>
              <w:left w:w="35" w:type="dxa"/>
              <w:bottom w:w="35" w:type="dxa"/>
              <w:right w:w="35" w:type="dxa"/>
            </w:tcMar>
          </w:tcPr>
          <w:p w14:paraId="CF894FB0">
            <w:pPr>
              <w:pStyle w:val="style0"/>
              <w:spacing w:before="0" w:after="0" w:lineRule="auto" w:line="204"/>
              <w:rPr/>
            </w:pPr>
            <w:r>
              <w:rPr>
                <w:rFonts w:ascii="Aptos" w:hAnsi="Aptos"/>
                <w:b/>
                <w:sz w:val="15"/>
              </w:rPr>
              <w:t>ID</w:t>
            </w:r>
          </w:p>
        </w:tc>
        <w:tc>
          <w:tcPr>
            <w:tcW w:w="2324" w:type="dxa"/>
            <w:tcBorders/>
            <w:shd w:val="nil" w:color="auto" w:fill="d9e2f3"/>
            <w:tcMar>
              <w:top w:w="35" w:type="dxa"/>
              <w:left w:w="35" w:type="dxa"/>
              <w:bottom w:w="35" w:type="dxa"/>
              <w:right w:w="35" w:type="dxa"/>
            </w:tcMar>
          </w:tcPr>
          <w:p w14:paraId="40B9CC6F">
            <w:pPr>
              <w:pStyle w:val="style0"/>
              <w:spacing w:before="0" w:after="0" w:lineRule="auto" w:line="204"/>
              <w:rPr/>
            </w:pPr>
            <w:r>
              <w:rPr>
                <w:rFonts w:ascii="Aptos" w:hAnsi="Aptos"/>
                <w:b/>
                <w:sz w:val="15"/>
              </w:rPr>
              <w:t>Dokument</w:t>
            </w:r>
          </w:p>
        </w:tc>
        <w:tc>
          <w:tcPr>
            <w:tcW w:w="737" w:type="dxa"/>
            <w:tcBorders/>
            <w:shd w:val="nil" w:color="auto" w:fill="d9e2f3"/>
            <w:tcMar>
              <w:top w:w="35" w:type="dxa"/>
              <w:left w:w="35" w:type="dxa"/>
              <w:bottom w:w="35" w:type="dxa"/>
              <w:right w:w="35" w:type="dxa"/>
            </w:tcMar>
          </w:tcPr>
          <w:p w14:paraId="37C546BE">
            <w:pPr>
              <w:pStyle w:val="style0"/>
              <w:spacing w:before="0" w:after="0" w:lineRule="auto" w:line="204"/>
              <w:rPr/>
            </w:pPr>
            <w:r>
              <w:rPr>
                <w:rFonts w:ascii="Aptos" w:hAnsi="Aptos"/>
                <w:b/>
                <w:sz w:val="15"/>
              </w:rPr>
              <w:t>Version</w:t>
            </w:r>
          </w:p>
        </w:tc>
        <w:tc>
          <w:tcPr>
            <w:tcW w:w="2835" w:type="dxa"/>
            <w:tcBorders/>
            <w:shd w:val="nil" w:color="auto" w:fill="d9e2f3"/>
            <w:tcMar>
              <w:top w:w="35" w:type="dxa"/>
              <w:left w:w="35" w:type="dxa"/>
              <w:bottom w:w="35" w:type="dxa"/>
              <w:right w:w="35" w:type="dxa"/>
            </w:tcMar>
          </w:tcPr>
          <w:p w14:paraId="25D96792">
            <w:pPr>
              <w:pStyle w:val="style0"/>
              <w:spacing w:before="0" w:after="0" w:lineRule="auto" w:line="204"/>
              <w:rPr/>
            </w:pPr>
            <w:r>
              <w:rPr>
                <w:rFonts w:ascii="Aptos" w:hAnsi="Aptos"/>
                <w:b/>
                <w:sz w:val="15"/>
              </w:rPr>
              <w:t>Verbindliche Datei</w:t>
            </w:r>
          </w:p>
        </w:tc>
        <w:tc>
          <w:tcPr>
            <w:tcW w:w="1020" w:type="dxa"/>
            <w:tcBorders/>
            <w:shd w:val="nil" w:color="auto" w:fill="d9e2f3"/>
            <w:tcMar>
              <w:top w:w="35" w:type="dxa"/>
              <w:left w:w="35" w:type="dxa"/>
              <w:bottom w:w="35" w:type="dxa"/>
              <w:right w:w="35" w:type="dxa"/>
            </w:tcMar>
          </w:tcPr>
          <w:p w14:paraId="622BA998">
            <w:pPr>
              <w:pStyle w:val="style0"/>
              <w:spacing w:before="0" w:after="0" w:lineRule="auto" w:line="204"/>
              <w:rPr/>
            </w:pPr>
            <w:r>
              <w:rPr>
                <w:rFonts w:ascii="Aptos" w:hAnsi="Aptos"/>
                <w:b/>
                <w:sz w:val="15"/>
              </w:rPr>
              <w:t>Status</w:t>
            </w:r>
          </w:p>
        </w:tc>
        <w:tc>
          <w:tcPr>
            <w:tcW w:w="2041" w:type="dxa"/>
            <w:tcBorders/>
            <w:shd w:val="nil" w:color="auto" w:fill="d9e2f3"/>
            <w:tcMar>
              <w:top w:w="35" w:type="dxa"/>
              <w:left w:w="35" w:type="dxa"/>
              <w:bottom w:w="35" w:type="dxa"/>
              <w:right w:w="35" w:type="dxa"/>
            </w:tcMar>
          </w:tcPr>
          <w:p w14:paraId="C50C897C">
            <w:pPr>
              <w:pStyle w:val="style0"/>
              <w:spacing w:before="0" w:after="0" w:lineRule="auto" w:line="204"/>
              <w:rPr/>
            </w:pPr>
            <w:r>
              <w:rPr>
                <w:rFonts w:ascii="Aptos" w:hAnsi="Aptos"/>
                <w:b/>
                <w:sz w:val="15"/>
              </w:rPr>
              <w:t>Zuständigkeit</w:t>
            </w:r>
          </w:p>
        </w:tc>
        <w:tc>
          <w:tcPr>
            <w:tcW w:w="3969" w:type="dxa"/>
            <w:tcBorders/>
            <w:shd w:val="nil" w:color="auto" w:fill="d9e2f3"/>
            <w:tcMar>
              <w:top w:w="35" w:type="dxa"/>
              <w:left w:w="35" w:type="dxa"/>
              <w:bottom w:w="35" w:type="dxa"/>
              <w:right w:w="35" w:type="dxa"/>
            </w:tcMar>
          </w:tcPr>
          <w:p w14:paraId="812FF810">
            <w:pPr>
              <w:pStyle w:val="style0"/>
              <w:spacing w:before="0" w:after="0" w:lineRule="auto" w:line="204"/>
              <w:rPr/>
            </w:pPr>
            <w:r>
              <w:rPr>
                <w:rFonts w:ascii="Aptos" w:hAnsi="Aptos"/>
                <w:b/>
                <w:sz w:val="15"/>
              </w:rPr>
              <w:t>Hinweis</w:t>
            </w:r>
          </w:p>
        </w:tc>
      </w:tr>
      <w:tr w14:paraId="7BAF2D77">
        <w:tblPrEx/>
        <w:trPr>
          <w:cantSplit/>
          <w:jc w:val="center"/>
        </w:trPr>
        <w:tc>
          <w:tcPr>
            <w:tcW w:w="2020" w:type="dxa"/>
            <w:tcBorders/>
          </w:tcPr>
          <w:p w14:paraId="137DA0D3">
            <w:pPr>
              <w:pStyle w:val="style0"/>
              <w:spacing w:before="0" w:after="0"/>
              <w:rPr/>
            </w:pPr>
            <w:r>
              <w:rPr>
                <w:sz w:val="13"/>
              </w:rPr>
              <w:t>DOC-013</w:t>
            </w:r>
          </w:p>
        </w:tc>
        <w:tc>
          <w:tcPr>
            <w:tcW w:w="2020" w:type="dxa"/>
            <w:tcBorders/>
          </w:tcPr>
          <w:p w14:paraId="CE483AFB">
            <w:pPr>
              <w:pStyle w:val="style0"/>
              <w:spacing w:before="0" w:after="0"/>
              <w:rPr/>
            </w:pPr>
            <w:r>
              <w:rPr>
                <w:sz w:val="13"/>
              </w:rPr>
              <w:t>MS1-Abnahmeprotokoll</w:t>
            </w:r>
          </w:p>
        </w:tc>
        <w:tc>
          <w:tcPr>
            <w:tcW w:w="2020" w:type="dxa"/>
            <w:tcBorders/>
          </w:tcPr>
          <w:p w14:paraId="C7DAD967">
            <w:pPr>
              <w:pStyle w:val="style0"/>
              <w:spacing w:before="0" w:after="0"/>
              <w:rPr/>
            </w:pPr>
            <w:r>
              <w:rPr>
                <w:sz w:val="13"/>
              </w:rPr>
              <w:t>0.1</w:t>
            </w:r>
          </w:p>
        </w:tc>
        <w:tc>
          <w:tcPr>
            <w:tcW w:w="2020" w:type="dxa"/>
            <w:tcBorders/>
          </w:tcPr>
          <w:p w14:paraId="CDEF0530">
            <w:pPr>
              <w:pStyle w:val="style0"/>
              <w:spacing w:before="0" w:after="0"/>
              <w:rPr/>
            </w:pPr>
            <w:r>
              <w:rPr>
                <w:sz w:val="13"/>
              </w:rPr>
              <w:t>13_MS1_Abnahmeprotokoll_v0.1.docx</w:t>
            </w:r>
          </w:p>
        </w:tc>
        <w:tc>
          <w:tcPr>
            <w:tcW w:w="2020" w:type="dxa"/>
            <w:tcBorders/>
          </w:tcPr>
          <w:p w14:paraId="BC620B45">
            <w:pPr>
              <w:pStyle w:val="style0"/>
              <w:spacing w:before="0" w:after="0"/>
              <w:rPr/>
            </w:pPr>
            <w:r>
              <w:rPr>
                <w:sz w:val="13"/>
              </w:rPr>
              <w:t>Aktuell</w:t>
            </w:r>
          </w:p>
        </w:tc>
        <w:tc>
          <w:tcPr>
            <w:tcW w:w="2020" w:type="dxa"/>
            <w:tcBorders/>
          </w:tcPr>
          <w:p w14:paraId="C8531F93">
            <w:pPr>
              <w:pStyle w:val="style0"/>
              <w:spacing w:before="0" w:after="0"/>
              <w:rPr/>
            </w:pPr>
            <w:r>
              <w:rPr>
                <w:sz w:val="13"/>
              </w:rPr>
              <w:t>Projektsteuerung</w:t>
            </w:r>
          </w:p>
        </w:tc>
        <w:tc>
          <w:tcPr>
            <w:tcW w:w="2020" w:type="dxa"/>
            <w:tcBorders/>
          </w:tcPr>
          <w:p w14:paraId="A19A39FA">
            <w:pPr>
              <w:pStyle w:val="style0"/>
              <w:spacing w:before="0" w:after="0"/>
              <w:rPr/>
            </w:pPr>
            <w:r>
              <w:rPr>
                <w:sz w:val="13"/>
              </w:rPr>
              <w:t>Formaler MS1-Abnahmenachweis; bestätigt MS1-K01 bis K15 und bleibt separat.</w:t>
            </w:r>
          </w:p>
        </w:tc>
      </w:tr>
      <w:tr w14:paraId="2108A334">
        <w:tblPrEx/>
        <w:trPr>
          <w:cantSplit/>
          <w:jc w:val="center"/>
        </w:trPr>
        <w:tc>
          <w:tcPr>
            <w:tcW w:w="2020" w:type="dxa"/>
            <w:tcBorders/>
          </w:tcPr>
          <w:p w14:paraId="B07B5164">
            <w:pPr>
              <w:pStyle w:val="style0"/>
              <w:spacing w:before="0" w:after="0"/>
              <w:rPr/>
            </w:pPr>
            <w:r>
              <w:rPr>
                <w:sz w:val="13"/>
              </w:rPr>
              <w:t>DOC-014</w:t>
            </w:r>
          </w:p>
        </w:tc>
        <w:tc>
          <w:tcPr>
            <w:tcW w:w="2020" w:type="dxa"/>
            <w:tcBorders/>
          </w:tcPr>
          <w:p w14:paraId="118E8ECF">
            <w:pPr>
              <w:pStyle w:val="style0"/>
              <w:spacing w:before="0" w:after="0"/>
              <w:rPr/>
            </w:pPr>
            <w:r>
              <w:rPr>
                <w:sz w:val="13"/>
              </w:rPr>
              <w:t>Konsolidiertes Governance-/Steuerungspaket</w:t>
            </w:r>
          </w:p>
        </w:tc>
        <w:tc>
          <w:tcPr>
            <w:tcW w:w="2020" w:type="dxa"/>
            <w:tcBorders/>
          </w:tcPr>
          <w:p>
            <w:r/>
            <w:r>
              <w:rPr>
                <w:b w:val="0"/>
              </w:rPr>
              <w:t>1.0</w:t>
            </w:r>
          </w:p>
        </w:tc>
        <w:tc>
          <w:tcPr>
            <w:tcW w:w="2020" w:type="dxa"/>
            <w:tcBorders/>
          </w:tcPr>
          <w:p>
            <w:r/>
            <w:r>
              <w:rPr>
                <w:b w:val="0"/>
              </w:rPr>
              <w:t>14_Governance_Steuerungspaket_v1.0.docx</w:t>
            </w:r>
          </w:p>
        </w:tc>
        <w:tc>
          <w:tcPr>
            <w:tcW w:w="2020" w:type="dxa"/>
            <w:tcBorders/>
          </w:tcPr>
          <w:p>
            <w:r>
              <w:t>Aktuell</w:t>
            </w:r>
          </w:p>
        </w:tc>
        <w:tc>
          <w:tcPr>
            <w:tcW w:w="2020" w:type="dxa"/>
            <w:tcBorders/>
          </w:tcPr>
          <w:p w14:paraId="3B7B4B12">
            <w:pPr>
              <w:pStyle w:val="style0"/>
              <w:spacing w:before="0" w:after="0"/>
              <w:rPr/>
            </w:pPr>
            <w:r>
              <w:rPr>
                <w:sz w:val="13"/>
              </w:rPr>
              <w:t>Projektsteuerung; Grundsatzfragen</w:t>
            </w:r>
          </w:p>
        </w:tc>
        <w:tc>
          <w:tcPr>
            <w:tcW w:w="2020" w:type="dxa"/>
            <w:tcBorders/>
          </w:tcPr>
          <w:p>
            <w:r/>
            <w:r>
              <w:rPr>
                <w:b w:val="0"/>
              </w:rPr>
              <w:t>Konsolidierte Governance-Kernquelle; enthält DEC-034 und CHG-0033 zur Fortsetzungsstrategie nach dem datenlimitierten W3.2-/GW2-Pilot. Keine neue REQ/CON.</w:t>
            </w:r>
          </w:p>
        </w:tc>
      </w:tr>
      <w:tr w14:paraId="73A534D5">
        <w:tblPrEx/>
        <w:trPr>
          <w:cantSplit/>
          <w:jc w:val="center"/>
        </w:trPr>
        <w:tc>
          <w:tcPr>
            <w:tcW w:w="2020" w:type="dxa"/>
            <w:tcBorders/>
          </w:tcPr>
          <w:p w14:paraId="250196D9">
            <w:pPr>
              <w:pStyle w:val="style0"/>
              <w:spacing w:before="0" w:after="0"/>
              <w:rPr/>
            </w:pPr>
            <w:r>
              <w:rPr>
                <w:sz w:val="13"/>
              </w:rPr>
              <w:t>DOC-015</w:t>
            </w:r>
          </w:p>
        </w:tc>
        <w:tc>
          <w:tcPr>
            <w:tcW w:w="2020" w:type="dxa"/>
            <w:tcBorders/>
          </w:tcPr>
          <w:p w14:paraId="A2B39DEC">
            <w:pPr>
              <w:pStyle w:val="style0"/>
              <w:spacing w:before="0" w:after="0"/>
              <w:rPr/>
            </w:pPr>
            <w:r>
              <w:rPr>
                <w:sz w:val="13"/>
              </w:rPr>
              <w:t>Konsolidiertes Fachliches Zielmodell MS1</w:t>
            </w:r>
          </w:p>
        </w:tc>
        <w:tc>
          <w:tcPr>
            <w:tcW w:w="2020" w:type="dxa"/>
            <w:tcBorders/>
          </w:tcPr>
          <w:p>
            <w:r>
              <w:t>0.8</w:t>
            </w:r>
          </w:p>
        </w:tc>
        <w:tc>
          <w:tcPr>
            <w:tcW w:w="2020" w:type="dxa"/>
            <w:tcBorders/>
          </w:tcPr>
          <w:p>
            <w:r>
              <w:t>15_Fachliches_Zielmodell_MS1_v0.8.docx</w:t>
            </w:r>
          </w:p>
        </w:tc>
        <w:tc>
          <w:tcPr>
            <w:tcW w:w="2020" w:type="dxa"/>
            <w:tcBorders/>
          </w:tcPr>
          <w:p>
            <w:r>
              <w:t>Aktuell</w:t>
            </w:r>
          </w:p>
        </w:tc>
        <w:tc>
          <w:tcPr>
            <w:tcW w:w="2020" w:type="dxa"/>
            <w:tcBorders/>
          </w:tcPr>
          <w:p w14:paraId="1D230713">
            <w:pPr>
              <w:pStyle w:val="style0"/>
              <w:spacing w:before="0" w:after="0"/>
              <w:rPr/>
            </w:pPr>
            <w:r>
              <w:rPr>
                <w:sz w:val="13"/>
              </w:rPr>
              <w:t>Projektsteuerung; fachlich zuständige Fach-Chats</w:t>
            </w:r>
          </w:p>
        </w:tc>
        <w:tc>
          <w:tcPr>
            <w:tcW w:w="2020" w:type="dxa"/>
            <w:tcBorders/>
          </w:tcPr>
          <w:p>
            <w:r/>
            <w:r>
              <w:rPr>
                <w:b w:val="0"/>
              </w:rPr>
              <w:t>Unverändert v0.8; fachliches Zielmodell sowie Missing-/Freigabelogik bleiben durch DEC-034 unberührt.</w:t>
            </w:r>
          </w:p>
        </w:tc>
      </w:tr>
      <w:tr w14:paraId="F9FAE2FA">
        <w:tblPrEx/>
        <w:trPr>
          <w:cantSplit/>
          <w:jc w:val="center"/>
        </w:trPr>
        <w:tc>
          <w:tcPr>
            <w:tcW w:w="2020" w:type="dxa"/>
            <w:tcBorders/>
          </w:tcPr>
          <w:p w14:paraId="5B23EA40">
            <w:pPr>
              <w:pStyle w:val="style0"/>
              <w:spacing w:before="0" w:after="0"/>
              <w:rPr/>
            </w:pPr>
            <w:r>
              <w:rPr>
                <w:sz w:val="13"/>
              </w:rPr>
              <w:t>DOC-016</w:t>
            </w:r>
          </w:p>
        </w:tc>
        <w:tc>
          <w:tcPr>
            <w:tcW w:w="2020" w:type="dxa"/>
            <w:tcBorders/>
          </w:tcPr>
          <w:p w14:paraId="DC52E8BD">
            <w:pPr>
              <w:pStyle w:val="style0"/>
              <w:spacing w:before="0" w:after="0"/>
              <w:rPr/>
            </w:pPr>
            <w:r>
              <w:rPr>
                <w:sz w:val="13"/>
              </w:rPr>
              <w:t>Steuerungsdokument Milestone 2 – Umsetzung und Pilotierung</w:t>
            </w:r>
          </w:p>
        </w:tc>
        <w:tc>
          <w:tcPr>
            <w:tcW w:w="2020" w:type="dxa"/>
            <w:tcBorders/>
          </w:tcPr>
          <w:p>
            <w:r/>
            <w:r>
              <w:rPr>
                <w:b w:val="0"/>
              </w:rPr>
              <w:t>0.3</w:t>
            </w:r>
          </w:p>
        </w:tc>
        <w:tc>
          <w:tcPr>
            <w:tcW w:w="2020" w:type="dxa"/>
            <w:tcBorders/>
          </w:tcPr>
          <w:p>
            <w:r/>
            <w:r>
              <w:rPr>
                <w:b w:val="0"/>
              </w:rPr>
              <w:t>16_Steuerungsdokument_MS2_v0.3.docx</w:t>
            </w:r>
          </w:p>
        </w:tc>
        <w:tc>
          <w:tcPr>
            <w:tcW w:w="2020" w:type="dxa"/>
            <w:tcBorders/>
          </w:tcPr>
          <w:p>
            <w:r>
              <w:t>Aktuell</w:t>
            </w:r>
          </w:p>
        </w:tc>
        <w:tc>
          <w:tcPr>
            <w:tcW w:w="2020" w:type="dxa"/>
            <w:tcBorders/>
          </w:tcPr>
          <w:p w14:paraId="DC6F86E9">
            <w:pPr>
              <w:pStyle w:val="style0"/>
              <w:spacing w:before="0" w:after="0"/>
              <w:rPr/>
            </w:pPr>
            <w:r>
              <w:rPr>
                <w:sz w:val="13"/>
              </w:rPr>
              <w:t>Projektsteuerung und Integrationsmanagement</w:t>
            </w:r>
          </w:p>
        </w:tc>
        <w:tc>
          <w:tcPr>
            <w:tcW w:w="2020" w:type="dxa"/>
            <w:tcBorders/>
          </w:tcPr>
          <w:p>
            <w:r/>
            <w:r>
              <w:rPr>
                <w:b w:val="0"/>
              </w:rPr>
              <w:t>Fortgeschrieben um DEC-034: CURRENT_GW2 = CLOSED_DATA_LIMITED; Option C bounded source check; Option B neuer Pilot nach Readiness-Preflight; Option D nur nach neuer Grundsatzentscheidung; W3.3/W3.4 bis validem W3.2/G5 blockiert.</w:t>
            </w:r>
          </w:p>
        </w:tc>
      </w:tr>
      <w:tr w14:paraId="2371910C">
        <w:tblPrEx/>
        <w:trPr>
          <w:cantSplit/>
          <w:jc w:val="center"/>
        </w:trPr>
        <w:tc>
          <w:tcPr>
            <w:tcW w:w="2020" w:type="dxa"/>
            <w:tcBorders/>
          </w:tcPr>
          <w:p w14:paraId="2A82BC8F">
            <w:pPr>
              <w:pStyle w:val="style0"/>
              <w:spacing w:before="0" w:after="0"/>
              <w:rPr/>
            </w:pPr>
            <w:r>
              <w:rPr>
                <w:sz w:val="13"/>
              </w:rPr>
              <w:t>DOC-REG-001</w:t>
            </w:r>
          </w:p>
        </w:tc>
        <w:tc>
          <w:tcPr>
            <w:tcW w:w="2020" w:type="dxa"/>
            <w:tcBorders/>
          </w:tcPr>
          <w:p w14:paraId="D0440234">
            <w:pPr>
              <w:pStyle w:val="style0"/>
              <w:spacing w:before="0" w:after="0"/>
              <w:rPr/>
            </w:pPr>
            <w:r>
              <w:rPr>
                <w:sz w:val="13"/>
              </w:rPr>
              <w:t>Dokumentenregister</w:t>
            </w:r>
          </w:p>
        </w:tc>
        <w:tc>
          <w:tcPr>
            <w:tcW w:w="2020" w:type="dxa"/>
            <w:tcBorders/>
          </w:tcPr>
          <w:p>
            <w:r/>
            <w:r>
              <w:rPr>
                <w:b w:val="0"/>
              </w:rPr>
              <w:t>4.1</w:t>
            </w:r>
          </w:p>
        </w:tc>
        <w:tc>
          <w:tcPr>
            <w:tcW w:w="2020" w:type="dxa"/>
            <w:tcBorders/>
          </w:tcPr>
          <w:p>
            <w:r>
              <w:t>Einzige aktuelle Quelle mit DOC-REG-001</w:t>
            </w:r>
          </w:p>
        </w:tc>
        <w:tc>
          <w:tcPr>
            <w:tcW w:w="2020" w:type="dxa"/>
            <w:tcBorders/>
          </w:tcPr>
          <w:p>
            <w:r>
              <w:t>Aktuell</w:t>
            </w:r>
          </w:p>
        </w:tc>
        <w:tc>
          <w:tcPr>
            <w:tcW w:w="2020" w:type="dxa"/>
            <w:tcBorders/>
          </w:tcPr>
          <w:p w14:paraId="8A791939">
            <w:pPr>
              <w:pStyle w:val="style0"/>
              <w:spacing w:before="0" w:after="0"/>
              <w:rPr/>
            </w:pPr>
            <w:r>
              <w:rPr>
                <w:sz w:val="13"/>
              </w:rPr>
              <w:t>Projektsteuerung</w:t>
            </w:r>
          </w:p>
        </w:tc>
        <w:tc>
          <w:tcPr>
            <w:tcW w:w="2020" w:type="dxa"/>
            <w:tcBorders/>
          </w:tcPr>
          <w:p>
            <w:r/>
            <w:r>
              <w:rPr>
                <w:b w:val="0"/>
              </w:rPr>
              <w:t>Wird bei Fortschreibung vollständig ersetzt; Uploadsuffix nicht maßgeblich. Stand 4.1 integriert CHG-0033.</w:t>
            </w:r>
          </w:p>
        </w:tc>
      </w:tr>
    </w:tbl>
    <w:p w14:paraId="85F0D1F0">
      <w:pPr>
        <w:pStyle w:val="style0"/>
        <w:rPr/>
      </w:pPr>
      <w:r>
        <w:t>Archiv-/Ersetzungshinweis: Mit CHG-0033 wurden DOC-014 v0.9 auf v1.0 und DOC-016 v0.2 auf v0.3 fortgeschrieben, um DEC-034 und die MS2-Fortsetzungslogik nach dem datenlimitierten W3.2-/GW2-Pilotbefund verbindlich zu integrieren. DOC-015 v0.8 und DOC-013 v0.1 bleiben unverändert. Historische Originale und Prüfnachweise verbleiben ausschließlich in Bibliothek/Archiv und sind keine aktuelle Arbeitsgrundlage.</w:t>
      </w:r>
    </w:p>
    <w:p w14:paraId="51CAA844">
      <w:pPr>
        <w:pStyle w:val="style1"/>
        <w:spacing w:after="60"/>
        <w:rPr/>
      </w:pPr>
      <w:r>
        <w:t>Pflege- und Freigaberegeln</w:t>
      </w:r>
    </w:p>
    <w:p w14:paraId="A128D55D">
      <w:pPr>
        <w:pStyle w:val="style48"/>
        <w:spacing w:after="60"/>
        <w:rPr/>
      </w:pPr>
      <w:r>
        <w:t>Je Dokumenttyp darf genau eine Fassung den Status „Aktuell“ besitzen.</w:t>
      </w:r>
    </w:p>
    <w:p w14:paraId="1EE2D8EE">
      <w:pPr>
        <w:pStyle w:val="style48"/>
        <w:spacing w:after="60"/>
        <w:rPr/>
      </w:pPr>
      <w:r>
        <w:t>Bei einer Fortschreibung wird eine neue Datei mit neuer Versionsnummer erstellt und als Projektquelle hinzugefügt.</w:t>
      </w:r>
    </w:p>
    <w:p w14:paraId="847E26D1">
      <w:pPr>
        <w:pStyle w:val="style48"/>
        <w:spacing w:after="60"/>
        <w:rPr/>
      </w:pPr>
      <w:r>
        <w:t>Danach wird ausschließlich der zugehörige Eintrag in diesem Register aktualisiert.</w:t>
      </w:r>
    </w:p>
    <w:p w14:paraId="6150C089">
      <w:pPr>
        <w:pStyle w:val="style48"/>
        <w:spacing w:after="60"/>
        <w:rPr/>
      </w:pPr>
      <w:r>
        <w:t>Die ersetzte Fassung bleibt unverändert als historische Quelle beziehungsweise Archivnachweis erhalten und wird nach abgeschlossener Prüfung nicht mehr als aktuelle Arbeitsgrundlage verwendet.</w:t>
      </w:r>
    </w:p>
    <w:p w14:paraId="D38DAA7E">
      <w:pPr>
        <w:pStyle w:val="style48"/>
        <w:spacing w:after="60"/>
        <w:rPr/>
      </w:pPr>
      <w:r>
        <w:t>Archivierte Fassungen werden weder umbenannt noch nachträglich bearbeitet.</w:t>
      </w:r>
    </w:p>
    <w:p w14:paraId="7F2811FA">
      <w:pPr>
        <w:pStyle w:val="style48"/>
        <w:spacing w:after="60"/>
        <w:rPr/>
      </w:pPr>
      <w:r>
        <w:t>Änderungen am Register werden im Chat „Projektsteuerung und Integrationsmanagement“ geprüft und freigegeben.</w:t>
      </w:r>
    </w:p>
    <w:p w14:paraId="65ECF60A">
      <w:pPr>
        <w:pStyle w:val="style0"/>
        <w:spacing w:after="60"/>
        <w:rPr/>
      </w:pPr>
      <w:r>
        <w:t>Quellenplatzregel: Arbeits- und Rückmeldedateien werden nach Möglichkeit nicht als dauerhafte Projektquellen registriert. Die nach MS1 durchgeführte Quellenkonsolidierung reduziert den aktiven Kernbestand auf wenige selbsttragende Quellen; historische Originale und Prüfnachweise verbleiben in Bibliothek/Archiv.</w:t>
      </w:r>
    </w:p>
    <w:p w14:paraId="55BB105E">
      <w:pPr>
        <w:pStyle w:val="style1"/>
        <w:spacing w:after="60"/>
        <w:rPr/>
      </w:pPr>
      <w:r>
        <w:t>Prüfschritt vor Nutzung einer Projektquelle</w:t>
      </w:r>
    </w:p>
    <w:p w14:paraId="443B1230">
      <w:pPr>
        <w:pStyle w:val="style0"/>
        <w:spacing w:after="60"/>
        <w:rPr/>
      </w:pPr>
      <w:r>
        <w:t>Vor jeder inhaltlichen Verwendung einer versionierten Projektquelle ist zu prüfen, ob Dateiname und Version mit dem Eintrag in der Tabelle übereinstimmen. Bei Abweichungen ist die gefundene Datei als nicht verbindlich zu behandeln.</w:t>
      </w:r>
    </w:p>
    <w:sectPr>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19"/>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25c4f98-6ebd-4162-aa3d-ceb78bcfc3a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63b3667-5f20-41f8-9f65-76e5631b043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17a97f7d-20a5-4d08-b91c-71e624af18e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3e2eee3-1bb7-4b94-8188-de185e3e9b5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39f7218-35ca-44bc-991c-da5af186df6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2"/>
      <w:szCs w:val="52"/>
    </w:rPr>
  </w:style>
  <w:style w:type="character" w:customStyle="1" w:styleId="style4102">
    <w:name w:val="Title Char_bedf72cf-ee29-45da-a38e-3caab1ea21c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d907cc8-df6d-432a-8273-85badc303005"/>
    <w:basedOn w:val="style65"/>
    <w:next w:val="style4108"/>
    <w:link w:val="style180"/>
    <w:uiPriority w:val="29"/>
    <w:rPr>
      <w:i/>
      <w:iCs/>
      <w:color w:val="000000"/>
    </w:rPr>
  </w:style>
  <w:style w:type="character" w:customStyle="1" w:styleId="style4109">
    <w:name w:val="Heading 4 Char_8dee8298-d9b8-4e84-bdd2-5f7ffc0f5714"/>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503602ff-7717-4bac-8ee3-c899e889efa1"/>
    <w:basedOn w:val="style65"/>
    <w:next w:val="style4110"/>
    <w:link w:val="style5"/>
    <w:uiPriority w:val="9"/>
    <w:rPr>
      <w:rFonts w:ascii="Calibri" w:cs="宋体" w:eastAsia="ＭＳ ゴシック" w:hAnsi="Calibri"/>
      <w:color w:val="243f60"/>
    </w:rPr>
  </w:style>
  <w:style w:type="character" w:customStyle="1" w:styleId="style4111">
    <w:name w:val="Heading 6 Char_89bac494-f8da-4bf0-bbe1-0f8aad6077fd"/>
    <w:basedOn w:val="style65"/>
    <w:next w:val="style4111"/>
    <w:link w:val="style6"/>
    <w:uiPriority w:val="9"/>
    <w:rPr>
      <w:rFonts w:ascii="Calibri" w:cs="宋体" w:eastAsia="ＭＳ ゴシック" w:hAnsi="Calibri"/>
      <w:i/>
      <w:iCs/>
      <w:color w:val="243f60"/>
    </w:rPr>
  </w:style>
  <w:style w:type="character" w:customStyle="1" w:styleId="style4112">
    <w:name w:val="Heading 7 Char_9ee63f51-ed31-4006-b26e-054349b514dd"/>
    <w:basedOn w:val="style65"/>
    <w:next w:val="style4112"/>
    <w:link w:val="style7"/>
    <w:uiPriority w:val="9"/>
    <w:rPr>
      <w:rFonts w:ascii="Calibri" w:cs="宋体" w:eastAsia="ＭＳ ゴシック" w:hAnsi="Calibri"/>
      <w:i/>
      <w:iCs/>
      <w:color w:val="404040"/>
    </w:rPr>
  </w:style>
  <w:style w:type="character" w:customStyle="1" w:styleId="style4113">
    <w:name w:val="Heading 8 Char_20d22981-ff40-454d-b1f0-a281e5b7724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bbda75b9-da3e-470f-be24-1b1ee6e96bf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4803efc-1429-4947-baa9-f186ab74457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399</Words>
  <Pages>1</Pages>
  <Characters>3426</Characters>
  <Application>WPS Office</Application>
  <DocSecurity>0</DocSecurity>
  <Paragraphs>77</Paragraphs>
  <ScaleCrop>false</ScaleCrop>
  <LinksUpToDate>false</LinksUpToDate>
  <CharactersWithSpaces>3757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2026-09-05T22:54:42Z</dcterms:created>
  <dc:creator>python-docx</dc:creator>
  <dc:description>generated by python-docx</dc:description>
  <lastModifiedBy>SM-A556B</lastModifiedBy>
  <dcterms:modified xsi:type="dcterms:W3CDTF">2026-09-05T22:54:42Z</dcterms:modified>
  <revision>1</revision>
  <dc:title>Dokumentenregister – Bundesliga-Managerspiel-Monitoring 2026/27</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f832ea2b452141c195e12d2e3afaf351_23</vt:lpwstr>
  </property>
</Properties>
</file>