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E2B94AA5">
      <w:pPr>
        <w:pStyle w:val="style62"/>
        <w:jc w:val="center"/>
        <w:rPr/>
      </w:pPr>
      <w:r>
        <w:t>DOC-014 – Konsolidiertes Governance-/Steuerungspaket</w:t>
      </w:r>
    </w:p>
    <w:p w14:paraId="CAC288F4">
      <w:pPr>
        <w:pStyle w:val="style0"/>
        <w:jc w:val="center"/>
        <w:rPr/>
      </w:pPr>
      <w:r>
        <w:t>Version 1.0 | Stand 15.09.2026 | AKTUELL UND VERBINDLICH</w:t>
      </w:r>
    </w:p>
    <w:tbl>
      <w:tblPr>
        <w:tblStyle w:val="style154"/>
        <w:tblW w:w="0" w:type="auto"/>
        <w:jc w:val="center"/>
        <w:tblLook w:val="04A0" w:firstRow="1" w:lastRow="0" w:firstColumn="1" w:lastColumn="0" w:noHBand="0" w:noVBand="1"/>
      </w:tblPr>
      <w:tblGrid>
        <w:gridCol w:w="7870"/>
        <w:gridCol w:w="7870"/>
      </w:tblGrid>
      <w:tr w14:paraId="A5D9BEAB">
        <w:trPr>
          <w:jc w:val="center"/>
        </w:trPr>
        <w:tc>
          <w:tcPr>
            <w:tcW w:w="7870" w:type="dxa"/>
            <w:tcBorders/>
          </w:tcPr>
          <w:p w14:paraId="2F79FBA7">
            <w:pPr>
              <w:pStyle w:val="style0"/>
              <w:rPr/>
            </w:pPr>
            <w:r>
              <w:rPr>
                <w:b/>
                <w:sz w:val="16"/>
              </w:rPr>
              <w:t>Status</w:t>
            </w:r>
          </w:p>
        </w:tc>
        <w:tc>
          <w:tcPr>
            <w:tcW w:w="7870" w:type="dxa"/>
            <w:tcBorders/>
          </w:tcPr>
          <w:p>
            <w:r/>
            <w:r>
              <w:rPr>
                <w:b w:val="0"/>
              </w:rPr>
              <w:t>AKTUELL UND VERBINDLICH – durch Projektsteuerung und Integrationsmanagement 2 freigegeben am 15.09.2026; DEC-034 verbindlich integriert.</w:t>
            </w:r>
          </w:p>
        </w:tc>
      </w:tr>
      <w:tr w14:paraId="6D0275AE">
        <w:tblPrEx/>
        <w:trPr>
          <w:jc w:val="center"/>
        </w:trPr>
        <w:tc>
          <w:tcPr>
            <w:tcW w:w="7870" w:type="dxa"/>
            <w:tcBorders/>
          </w:tcPr>
          <w:p w14:paraId="B8080D86">
            <w:pPr>
              <w:pStyle w:val="style0"/>
              <w:rPr/>
            </w:pPr>
            <w:r>
              <w:t>Fortschreibungsbasis</w:t>
            </w:r>
          </w:p>
        </w:tc>
        <w:tc>
          <w:tcPr>
            <w:tcW w:w="7870" w:type="dxa"/>
            <w:tcBorders/>
          </w:tcPr>
          <w:p>
            <w:r/>
            <w:r>
              <w:rPr>
                <w:b w:val="0"/>
              </w:rPr>
              <w:t>DOC-REG-001 Stand 4.0; Fortschreibung auf Basis von DOC-014 v0.9 und DOC-016 v0.2.</w:t>
            </w:r>
          </w:p>
        </w:tc>
      </w:tr>
      <w:tr w14:paraId="82A821CB">
        <w:tblPrEx/>
        <w:trPr>
          <w:jc w:val="center"/>
        </w:trPr>
        <w:tc>
          <w:tcPr>
            <w:tcW w:w="7870" w:type="dxa"/>
            <w:tcBorders/>
          </w:tcPr>
          <w:p w14:paraId="7B19C7AF">
            <w:pPr>
              <w:pStyle w:val="style0"/>
              <w:rPr/>
            </w:pPr>
            <w:r>
              <w:t>Historische Eingangsquellen der Erstkonsolidierung</w:t>
            </w:r>
          </w:p>
        </w:tc>
        <w:tc>
          <w:tcPr>
            <w:tcW w:w="7870" w:type="dxa"/>
            <w:tcBorders/>
          </w:tcPr>
          <w:p>
            <w:r>
              <w:t>DOC-001 v0.13; DOC-002 v0.13; DOC-003 v0.4; DOC-004 v0.23; DOC-005 v0.1; DOC-006 v0.1; DOC-013 v0.1; Governance-Bezüge aus DOC-007 bis DOC-012</w:t>
            </w:r>
          </w:p>
        </w:tc>
      </w:tr>
      <w:tr w14:paraId="62AB8B88">
        <w:tblPrEx/>
        <w:trPr>
          <w:jc w:val="center"/>
        </w:trPr>
        <w:tc>
          <w:tcPr>
            <w:tcW w:w="7870" w:type="dxa"/>
            <w:tcBorders/>
          </w:tcPr>
          <w:p w14:paraId="AA68ADBB">
            <w:pPr>
              <w:pStyle w:val="style0"/>
              <w:rPr/>
            </w:pPr>
            <w:r>
              <w:rPr>
                <w:b/>
                <w:sz w:val="16"/>
              </w:rPr>
              <w:t>Zweck</w:t>
            </w:r>
          </w:p>
        </w:tc>
        <w:tc>
          <w:tcPr>
            <w:tcW w:w="7870" w:type="dxa"/>
            <w:tcBorders/>
          </w:tcPr>
          <w:p>
            <w:r/>
            <w:r>
              <w:rPr>
                <w:b w:val="0"/>
              </w:rPr>
              <w:t>Governance-Übernahme der Grundsatzentscheidung zur strategischen Fortsetzung von MS2 nach dem datenlimitierten W3.2-/GW2-Pilotbefund.</w:t>
            </w:r>
          </w:p>
        </w:tc>
      </w:tr>
      <w:tr w14:paraId="583C83ED">
        <w:tblPrEx/>
        <w:trPr>
          <w:jc w:val="center"/>
        </w:trPr>
        <w:tc>
          <w:tcPr>
            <w:tcW w:w="7870" w:type="dxa"/>
            <w:tcBorders/>
          </w:tcPr>
          <w:p w14:paraId="F0625E1C">
            <w:pPr>
              <w:pStyle w:val="style0"/>
              <w:rPr/>
            </w:pPr>
            <w:r>
              <w:t>Freigabestatus</w:t>
            </w:r>
          </w:p>
        </w:tc>
        <w:tc>
          <w:tcPr>
            <w:tcW w:w="7870" w:type="dxa"/>
            <w:tcBorders/>
          </w:tcPr>
          <w:p>
            <w:r/>
            <w:r>
              <w:rPr>
                <w:b w:val="0"/>
              </w:rPr>
              <w:t>Als DOC-014 v1.0 fortgeschrieben. DEC-034 ist verbindlich aufgenommen; CHG-0033 dokumentiert die Fortschreibung von DOC-014, DOC-016 und DOC-REG-001. Keine neue REQ und keine neue CON. DOC-015 v0.8 bleibt unverändert.</w:t>
            </w:r>
          </w:p>
        </w:tc>
      </w:tr>
    </w:tbl>
    <w:p w14:paraId="B8E16849">
      <w:pPr>
        <w:pStyle w:val="style0"/>
        <w:rPr/>
      </w:pPr>
    </w:p>
    <w:p w14:paraId="802EB981">
      <w:pPr>
        <w:pStyle w:val="style1"/>
        <w:rPr/>
      </w:pPr>
      <w:r>
        <w:t>1. Verbindlichkeit, Versions- und Quellenregeln</w:t>
      </w:r>
    </w:p>
    <w:p w14:paraId="60967B0D">
      <w:pPr>
        <w:pStyle w:val="style0"/>
        <w:rPr/>
      </w:pPr>
      <w:r>
        <w:t>Verbindlichkeitsregel</w:t>
      </w:r>
    </w:p>
    <w:p w14:paraId="99DE2131">
      <w:pPr>
        <w:pStyle w:val="style0"/>
        <w:rPr/>
      </w:pPr>
      <w:r>
        <w:t>Bei mehreren Versionen einer Projektquelle ist ausschließlich die in DOC-REG-001 als aktuell ausgewiesene Fassung zu verwenden. Vor der Verwendung versionierter Projektquellen ist DOC-REG-001 zu prüfen. Ältere Fassungen dienen ausschließlich der Historie und dürfen nicht als aktuelle Arbeitsgrundlage behandelt werden.</w:t>
      </w:r>
    </w:p>
    <w:p w14:paraId="B84EC3EB">
      <w:pPr>
        <w:pStyle w:val="style0"/>
        <w:rPr/>
      </w:pPr>
      <w:r>
        <w:t>DOC-REG-001 selbst wird nicht historisiert. Bei einer Neuerstellung wird die bisherige Registerfassung gelöscht und vollständig durch die neue Fassung ersetzt.</w:t>
      </w:r>
    </w:p>
    <w:p w14:paraId="A43ADC61">
      <w:pPr>
        <w:pStyle w:val="style0"/>
        <w:rPr/>
      </w:pPr>
      <w:r>
        <w:t>Pflege- und Freigaberegeln</w:t>
      </w:r>
    </w:p>
    <w:p w14:paraId="A86C3C85">
      <w:pPr>
        <w:pStyle w:val="style0"/>
        <w:rPr/>
      </w:pPr>
      <w:r>
        <w:t>Je Dokumenttyp darf genau eine Fassung den Status „Aktuell“ besitzen.</w:t>
      </w:r>
    </w:p>
    <w:p w14:paraId="5939AF1D">
      <w:pPr>
        <w:pStyle w:val="style0"/>
        <w:rPr/>
      </w:pPr>
      <w:r>
        <w:t>Bei einer Fortschreibung wird eine neue Datei mit neuer Versionsnummer erstellt und als Projektquelle hinzugefügt.</w:t>
      </w:r>
    </w:p>
    <w:p w14:paraId="8DB382AE">
      <w:pPr>
        <w:pStyle w:val="style0"/>
        <w:rPr/>
      </w:pPr>
      <w:r>
        <w:t>Danach wird ausschließlich der zugehörige Eintrag in DOC-REG-001 aktualisiert.</w:t>
      </w:r>
    </w:p>
    <w:p w14:paraId="8C839004">
      <w:pPr>
        <w:pStyle w:val="style0"/>
        <w:rPr/>
      </w:pPr>
      <w:r>
        <w:t>Die ersetzte Fassung bleibt unverändert als historische Quelle beziehungsweise Archivnachweis erhalten und ist nach abgeschlossener Ersetzung keine aktuelle Arbeitsgrundlage mehr.</w:t>
      </w:r>
    </w:p>
    <w:p w14:paraId="93B4CC6E">
      <w:pPr>
        <w:pStyle w:val="style0"/>
        <w:rPr/>
      </w:pPr>
      <w:r>
        <w:t>Archivierte Fassungen werden weder umbenannt noch nachträglich bearbeitet.</w:t>
      </w:r>
    </w:p>
    <w:p w14:paraId="59B896E5">
      <w:pPr>
        <w:pStyle w:val="style0"/>
        <w:rPr/>
      </w:pPr>
      <w:r>
        <w:t>Änderungen an DOC-REG-001 werden im Chat „Projektsteuerung und Integrationsmanagement“ geprüft und freigegeben.</w:t>
      </w:r>
    </w:p>
    <w:p w14:paraId="B917D44E">
      <w:pPr>
        <w:pStyle w:val="style0"/>
        <w:rPr/>
      </w:pPr>
      <w:r>
        <w:t>Quellenplatzregel: Arbeits- und Rückmeldedateien werden nach Möglichkeit nicht als dauerhafte Projektquellen registriert. Die nach MS1 durchgeführte Quellenkonsolidierung reduziert den aktiven Kernbestand auf wenige selbsttragende Quellen; historische Originale und Prüfnachweise verbleiben unverändert in Bibliothek/Archiv.</w:t>
      </w:r>
    </w:p>
    <w:p w14:paraId="8203B3F6">
      <w:pPr>
        <w:pStyle w:val="style0"/>
        <w:rPr/>
      </w:pPr>
      <w:r>
        <w:t>Prüfschritt vor Nutzung einer Projektquelle</w:t>
      </w:r>
    </w:p>
    <w:p w14:paraId="7F777183">
      <w:pPr>
        <w:pStyle w:val="style0"/>
        <w:rPr/>
      </w:pPr>
      <w:r>
        <w:t>Konsolidierungsregel: Eine bisherige Einzelquelle ist erst dann zur Archivierung vorzuschlagen, wenn ihr weiterhin verbindlicher Inhalt in einer freigegebenen neuen Kernquelle vollständig enthalten und über DEC-/REQ-/CON-/CHG-/DOC-Bezüge nachvollziehbar bleibt.</w:t>
      </w:r>
    </w:p>
    <w:p w14:paraId="FBFE34AB">
      <w:pPr>
        <w:pStyle w:val="style1"/>
        <w:rPr/>
      </w:pPr>
      <w:r>
        <w:t>2. Governance-Rollen, Dokumentenpflege und Freigabe</w:t>
      </w:r>
    </w:p>
    <w:p w14:paraId="B29A4493">
      <w:pPr>
        <w:pStyle w:val="style2"/>
        <w:rPr/>
      </w:pPr>
      <w:r>
        <w:t>Gemeinsame Arbeitsregel für alle Fach-Chats</w:t>
      </w:r>
    </w:p>
    <w:p w14:paraId="1049126A">
      <w:pPr>
        <w:pStyle w:val="style0"/>
        <w:rPr/>
      </w:pPr>
      <w:r>
        <w:t>Jeder Fach-Chat arbeitet innerhalb seiner Zuständigkeit. Neue Grundsatzfragen oder Konflikte werden nicht stillschweigend entschieden, sondern mit einer kurzen Problembeschreibung und betroffenen DEC-/REQ-/CON-IDs an den Chat „Grundsatzfragen“ beziehungsweise „Projektsteuerung und Integrationsmanagement“ übergeben. Verbindliche Ergebnisse müssen anschließend in den zentralen Registern fortgeschrieben werden.</w:t>
      </w:r>
    </w:p>
    <w:p w14:paraId="7284A0E5">
      <w:pPr>
        <w:pStyle w:val="style2"/>
        <w:rPr/>
      </w:pPr>
      <w:r>
        <w:t>Grundsatzfragen</w:t>
      </w:r>
    </w:p>
    <w:p w14:paraId="8E226AC9">
      <w:pPr>
        <w:pStyle w:val="style0"/>
        <w:rPr/>
      </w:pPr>
      <w:r>
        <w:t>Zuständigkeit: Klärung projektweiter Regeln, Bewertungsprinzipien, Umfangsentscheidungen und fachlicher Sonderfälle. Dieser Chat trifft verbindliche Entscheidungen, vergibt aber die DEC-IDs über das Entscheidungsregister.</w:t>
      </w:r>
    </w:p>
    <w:p w14:paraId="2ECA8681">
      <w:pPr>
        <w:pStyle w:val="style0"/>
        <w:rPr/>
      </w:pPr>
      <w:r>
        <w:t>Abgrenzung: Keine Detailimplementierung einzelner Dateien; technische Varianten nur soweit nötig für eine Grundsatzentscheidung.</w:t>
      </w:r>
    </w:p>
    <w:p w14:paraId="DD9AB88F">
      <w:pPr>
        <w:pStyle w:val="style2"/>
        <w:rPr/>
      </w:pPr>
      <w:r>
        <w:t>Projektsteuerung und Integrationsmanagement</w:t>
      </w:r>
    </w:p>
    <w:p w14:paraId="04042567">
      <w:pPr>
        <w:pStyle w:val="style0"/>
        <w:rPr/>
      </w:pPr>
      <w:r>
        <w:t>Zuständigkeit: Zusammenführung der Ergebnisse aller Fach-Chats; Prüfung auf Widersprüche, fehlende Zuständigkeiten, veraltete Anforderungen, unvollständige Umsetzungen und Auswirkungen von Änderungen. Pflege der vier logischen Governance-Register für Entscheidungen, Anforderungen, Konflikte/Abhängigkeiten und Änderungen innerhalb von DOC-014; die früheren Einzeldateien DOC-001 bis DOC-004 werden nicht mehr operativ fortgeschrieben.</w:t>
      </w:r>
    </w:p>
    <w:p w14:paraId="E5B828BB">
      <w:pPr>
        <w:pStyle w:val="style0"/>
        <w:rPr/>
      </w:pPr>
      <w:r>
        <w:t>Abgrenzung: Trifft keine neuen fachlichen Regeln eigenständig und verändert keine SSOT- oder Bewertungslogik ohne Grundsatzentscheidung.</w:t>
      </w:r>
    </w:p>
    <w:p w14:paraId="91CE8BDA">
      <w:pPr>
        <w:pStyle w:val="style2"/>
        <w:rPr/>
      </w:pPr>
      <w:r>
        <w:t>Gewinnung Rohdaten</w:t>
      </w:r>
    </w:p>
    <w:p w14:paraId="76586003">
      <w:pPr>
        <w:pStyle w:val="style0"/>
        <w:rPr/>
      </w:pPr>
      <w:r>
        <w:t>Zuständigkeit: Klärung und Umsetzung zulässiger Datenquellen und Importwege für Spieler-, Vereins-, Spieltags- und Ergebnisdaten. Dokumentiert Herkunft, Zeitpunkt, Rohformat, Vollständigkeit, Aktualität und Importfehler.</w:t>
      </w:r>
    </w:p>
    <w:p w14:paraId="C03E2344">
      <w:pPr>
        <w:pStyle w:val="style0"/>
        <w:rPr/>
      </w:pPr>
      <w:r>
        <w:t>Abgrenzung: Darf bestätigte SSOT-Stammdaten nicht eigenmächtig überschreiben; keine endgültige Bewertungslogik.</w:t>
      </w:r>
    </w:p>
    <w:p w14:paraId="F2EDA4E2">
      <w:pPr>
        <w:pStyle w:val="style2"/>
        <w:rPr/>
      </w:pPr>
      <w:r>
        <w:t>Erstellung SSOT</w:t>
      </w:r>
    </w:p>
    <w:p w14:paraId="C394A5FA">
      <w:pPr>
        <w:pStyle w:val="style0"/>
        <w:rPr/>
      </w:pPr>
      <w:r>
        <w:t>Zuständigkeit: Aufbau und Pflege der verbindlichen Stammdatenquelle für Spieler, Verein, saisonale Position, eindeutige IDs und dauerhafte Spielerinformationen. Versioniert Änderungen und historisiert saisonale Gültigkeit.</w:t>
      </w:r>
    </w:p>
    <w:p w14:paraId="6015BEF7">
      <w:pPr>
        <w:pStyle w:val="style0"/>
        <w:rPr/>
      </w:pPr>
      <w:r>
        <w:t>Abgrenzung: Keine Formwerte, Noten, Spieltagsergebnisse oder unbestätigten Presseinformationen in der SSOT.</w:t>
      </w:r>
    </w:p>
    <w:p w14:paraId="C10E0B6E">
      <w:pPr>
        <w:pStyle w:val="style2"/>
        <w:rPr/>
      </w:pPr>
      <w:r>
        <w:t>Erstellung Monitoring-Datei</w:t>
      </w:r>
    </w:p>
    <w:p w14:paraId="0DE7D1D1">
      <w:pPr>
        <w:pStyle w:val="style0"/>
        <w:rPr/>
      </w:pPr>
      <w:r>
        <w:t>Zuständigkeit: Konzeption und Umsetzung der Ein-/Ausgabeschicht für Spieltagsdaten, Aufstellungen, Ersatzbank, Kategorienwerte, Formwerte, Empfehlungen und Evaluation. Für den MS2-Pilot gilt DEC-031: Die konkrete Oberfläche ist frei wählbar; Excel bleibt zulässig, ist aber nicht verpflichtend. Fachlogik ist UI- und dateiunabhängig zu spezifizieren.</w:t>
      </w:r>
    </w:p>
    <w:p w14:paraId="3234268A">
      <w:pPr>
        <w:pStyle w:val="style0"/>
        <w:rPr/>
      </w:pPr>
      <w:r>
        <w:t>Abgrenzung: Keine stillschweigende Änderung des Regelwerks; keine eigenständige Stammdatenhoheit.</w:t>
      </w:r>
    </w:p>
    <w:p w14:paraId="3AA7C3DA">
      <w:pPr>
        <w:pStyle w:val="style2"/>
        <w:rPr/>
      </w:pPr>
      <w:r>
        <w:t>Projektdokumentation</w:t>
      </w:r>
    </w:p>
    <w:p w14:paraId="A697B016">
      <w:pPr>
        <w:pStyle w:val="style0"/>
        <w:rPr/>
      </w:pPr>
      <w:r>
        <w:t>Zuständigkeit: Pflege von Projekt-Abstract, Architektur, Modulbeschreibungen, Datenflüssen, Arbeitsprozessen, Versionsübersicht, offenen Punkten und Betriebsanleitung.</w:t>
      </w:r>
    </w:p>
    <w:p w14:paraId="7B510B7C">
      <w:pPr>
        <w:pStyle w:val="style0"/>
        <w:rPr/>
      </w:pPr>
      <w:r>
        <w:t>Abgrenzung: Keine fachlichen Regeln neu definieren; dokumentiert ausschließlich beschlossene oder klar als Entwurf markierte Inhalte.</w:t>
      </w:r>
    </w:p>
    <w:p w14:paraId="3B6F0C2B">
      <w:pPr>
        <w:pStyle w:val="style2"/>
        <w:rPr/>
      </w:pPr>
      <w:r>
        <w:t>Dokumentation Regelwerk</w:t>
      </w:r>
    </w:p>
    <w:p w14:paraId="724974A9">
      <w:pPr>
        <w:pStyle w:val="style0"/>
        <w:rPr/>
      </w:pPr>
      <w:r>
        <w:t>Zuständigkeit: Erstellung einer verständlichen und technisch eindeutigen Fassung der Managerspielregeln: Formation, Ersatzlogik, Fristen, Kategorien, Rangpunkte, Gleichstände, Rundung und Sonderfälle.</w:t>
      </w:r>
    </w:p>
    <w:p w14:paraId="8ED6049C">
      <w:pPr>
        <w:pStyle w:val="style0"/>
        <w:rPr/>
      </w:pPr>
      <w:r>
        <w:t>Abgrenzung: Keine Prognosegewichtungen oder technische Importdetails; bei Unklarheiten Rückgabe an Grundsatzfragen.</w:t>
      </w:r>
    </w:p>
    <w:p w14:paraId="CE9AECEA">
      <w:pPr>
        <w:pStyle w:val="style2"/>
        <w:rPr/>
      </w:pPr>
      <w:r>
        <w:t>Kontrollmechanismen</w:t>
      </w:r>
    </w:p>
    <w:p w14:paraId="2E764265">
      <w:pPr>
        <w:pStyle w:val="style0"/>
        <w:rPr/>
      </w:pPr>
      <w:r>
        <w:t>Zuständigkeit: Definition von Validierungen, Plausibilitätsprüfungen, Abweichungslisten, Dubletten- und Namensprüfung, SSOT-Schutz, Vollständigkeitskontrollen, Testfällen und Freigabeprozessen.</w:t>
      </w:r>
    </w:p>
    <w:p w14:paraId="1650C0E4">
      <w:pPr>
        <w:pStyle w:val="style0"/>
        <w:rPr/>
      </w:pPr>
      <w:r>
        <w:t>Abgrenzung: Korrigiert keine fachlichen Daten ohne nachvollziehbare Freigabe und keine Regeln ohne DEC-ID.</w:t>
      </w:r>
    </w:p>
    <w:p w14:paraId="FF3ECC46">
      <w:pPr>
        <w:pStyle w:val="style2"/>
        <w:rPr/>
      </w:pPr>
      <w:r>
        <w:t>2.1 Dauerhafte Registerpflege innerhalb von DOC-014</w:t>
      </w:r>
    </w:p>
    <w:p w14:paraId="7E2859AE">
      <w:pPr>
        <w:pStyle w:val="style3"/>
        <w:rPr/>
      </w:pPr>
      <w:r>
        <w:t>Entscheidungsregister – Zweck und Pflege (historische Herkunft: DOC-001)</w:t>
      </w:r>
    </w:p>
    <w:p w14:paraId="5907C3D5">
      <w:pPr>
        <w:pStyle w:val="style0"/>
        <w:rPr/>
      </w:pPr>
      <w:r>
        <w:t>Der entsprechende Registerteil in DOC-014 ist die verbindliche Übersicht aller projektweiten Grundsatzentscheidungen. Neue Entscheidungen erhalten eine fortlaufende DEC-ID. Änderungen überschreiben frühere Einträge nicht; sie erzeugen einen neuen Eintrag und verweisen auf die ersetzte Entscheidung.</w:t>
      </w:r>
    </w:p>
    <w:p w14:paraId="5959A525">
      <w:pPr>
        <w:pStyle w:val="style3"/>
        <w:rPr/>
      </w:pPr>
      <w:r>
        <w:t>Anforderungsregister – Zweck und Pflege (historische Herkunft: DOC-002)</w:t>
      </w:r>
    </w:p>
    <w:p w14:paraId="9A4E88EC">
      <w:pPr>
        <w:pStyle w:val="style0"/>
        <w:rPr/>
      </w:pPr>
      <w:r>
        <w:t>Der entsprechende Registerteil in DOC-014 übersetzt Entscheidungen in prüfbare Anforderungen. Jede Anforderung erhält eine REQ-ID, einen Eigentümer, eine Priorität und ein Abnahmekriterium. Anforderungen bleiben historisch nachvollziehbar.</w:t>
      </w:r>
    </w:p>
    <w:p w14:paraId="DEF8542D">
      <w:pPr>
        <w:pStyle w:val="style3"/>
        <w:rPr/>
      </w:pPr>
      <w:r>
        <w:t>Konflikt- und Abhängigkeitsregister – Zweck und Arbeitsweise (historische Herkunft: DOC-003)</w:t>
      </w:r>
    </w:p>
    <w:p w14:paraId="A1E803D7">
      <w:pPr>
        <w:pStyle w:val="style0"/>
        <w:rPr/>
      </w:pPr>
      <w:r>
        <w:t>Der entsprechende Registerteil in DOC-014 dokumentiert erkannte oder mögliche Konflikte und Abhängigkeiten. Ein Konflikt wird nicht stillschweigend gelöst. Der zuständige Fach-Chat beschreibt Auswirkungen und Optionen; eine Grundsatzentscheidung erfolgt im Chat „Grundsatzfragen“ und wird anschließend im Entscheidungsregister innerhalb von DOC-014 festgehalten.</w:t>
      </w:r>
    </w:p>
    <w:p w14:paraId="0E10BA69">
      <w:pPr>
        <w:pStyle w:val="style3"/>
        <w:rPr/>
      </w:pPr>
      <w:r>
        <w:t>Änderungshistorie – Pflegeregel (historische Herkunft: DOC-004)</w:t>
      </w:r>
    </w:p>
    <w:p w14:paraId="E14E31FA">
      <w:pPr>
        <w:pStyle w:val="style0"/>
        <w:rPr/>
      </w:pPr>
      <w:r>
        <w:t>Jede inhaltlich relevante Änderung an einem verbindlichen Projektartefakt erhält in der Änderungshistorie von DOC-014 einen CHG-Eintrag. Reine Formatkorrekturen können zusammengefasst werden. Alte Versionen und Empfehlungssnapshots werden nicht überschrieben.</w:t>
      </w:r>
    </w:p>
    <w:p w14:paraId="4F176B8A">
      <w:pPr>
        <w:pStyle w:val="style3"/>
        <w:rPr/>
      </w:pPr>
      <w:r>
        <w:t>Entscheidungsregister – Statuswerte</w:t>
      </w:r>
    </w:p>
    <w:p w14:paraId="2A43FFCE">
      <w:pPr>
        <w:pStyle w:val="style0"/>
        <w:rPr/>
      </w:pPr>
      <w:r>
        <w:t>Entwurf | Beschlossen | Geändert | Ersetzt | Verworfen</w:t>
      </w:r>
    </w:p>
    <w:p w14:paraId="AE0DB43C">
      <w:pPr>
        <w:pStyle w:val="style3"/>
        <w:rPr/>
      </w:pPr>
      <w:r>
        <w:t>Konflikt- und Abhängigkeitsregister – Konfliktprüfung bei Änderungen</w:t>
      </w:r>
    </w:p>
    <w:p w14:paraId="D84260C3">
      <w:pPr>
        <w:pStyle w:val="style0"/>
        <w:rPr/>
      </w:pPr>
      <w:r>
        <w:t>Welche bestehende DEC-ID wird berührt?</w:t>
      </w:r>
    </w:p>
    <w:p w14:paraId="18CCE6C2">
      <w:pPr>
        <w:pStyle w:val="style0"/>
        <w:rPr/>
      </w:pPr>
      <w:r>
        <w:t>Welche Anforderungen oder Berechnungen ändern sich?</w:t>
      </w:r>
    </w:p>
    <w:p w14:paraId="D5EB97CD">
      <w:pPr>
        <w:pStyle w:val="style0"/>
        <w:rPr/>
      </w:pPr>
      <w:r>
        <w:t>Welche Dateien oder Chats nutzen denselben Begriff?</w:t>
      </w:r>
    </w:p>
    <w:p w14:paraId="3D29393D">
      <w:pPr>
        <w:pStyle w:val="style0"/>
        <w:rPr/>
      </w:pPr>
      <w:r>
        <w:t>Müssen historische Daten oder Snapshots unverändert bleiben?</w:t>
      </w:r>
    </w:p>
    <w:p w14:paraId="49F3A4A1">
      <w:pPr>
        <w:pStyle w:val="style0"/>
        <w:rPr/>
      </w:pPr>
      <w:r>
        <w:t>Ist eine Migration oder erneute Berechnung erforderlich?</w:t>
      </w:r>
    </w:p>
    <w:p w14:paraId="FAEB9B42">
      <w:pPr>
        <w:pStyle w:val="style0"/>
        <w:rPr/>
      </w:pPr>
      <w:r>
        <w:t>Wer bestätigt die Auflösung?</w:t>
      </w:r>
    </w:p>
    <w:p w14:paraId="86E0C7C4">
      <w:pPr>
        <w:pStyle w:val="style2"/>
        <w:rPr/>
      </w:pPr>
      <w:r>
        <w:t>2.2 Arbeitsvorlagen für neue Registereinträge</w:t>
      </w:r>
    </w:p>
    <w:p w14:paraId="F1DA2CD5">
      <w:pPr>
        <w:pStyle w:val="style0"/>
        <w:rPr/>
      </w:pPr>
      <w:r>
        <w:t>Die Vorlagen werden als dauerhafte Arbeitsstruktur mitgeführt. Ihre Verwendung erzeugt für sich allein noch keine verbindliche Entscheidung, Anforderung oder Änderung; Verbindlichkeit entsteht erst nach dem jeweils vorgesehenen Governance-/Freigabeprozess.</w:t>
      </w:r>
    </w:p>
    <w:p w14:paraId="AF5E8428">
      <w:pPr>
        <w:pStyle w:val="style2"/>
        <w:rPr/>
      </w:pPr>
      <w:r>
        <w:t>2.2.1 Vorlage für neue Entscheidungen</w:t>
      </w:r>
    </w:p>
    <w:tbl>
      <w:tblPr>
        <w:tblStyle w:val="style154"/>
        <w:tblW w:w="0" w:type="auto"/>
        <w:jc w:val="center"/>
        <w:tblLook w:val="04A0" w:firstRow="1" w:lastRow="0" w:firstColumn="1" w:lastColumn="0" w:noHBand="0" w:noVBand="1"/>
      </w:tblPr>
      <w:tblGrid>
        <w:gridCol w:w="7870"/>
        <w:gridCol w:w="7870"/>
      </w:tblGrid>
      <w:tr w14:paraId="9B8CF809">
        <w:trPr>
          <w:tblHeader/>
          <w:jc w:val="center"/>
        </w:trPr>
        <w:tc>
          <w:tcPr>
            <w:tcW w:w="7870" w:type="dxa"/>
            <w:tcBorders/>
            <w:shd w:val="nil" w:color="auto" w:fill="d9eaf7"/>
          </w:tcPr>
          <w:p w14:paraId="31CD9232">
            <w:pPr>
              <w:pStyle w:val="style0"/>
              <w:rPr/>
            </w:pPr>
            <w:r>
              <w:rPr>
                <w:b/>
                <w:sz w:val="14"/>
              </w:rPr>
              <w:t>Feld</w:t>
            </w:r>
          </w:p>
        </w:tc>
        <w:tc>
          <w:tcPr>
            <w:tcW w:w="7870" w:type="dxa"/>
            <w:tcBorders/>
            <w:shd w:val="nil" w:color="auto" w:fill="d9eaf7"/>
          </w:tcPr>
          <w:p w14:paraId="4D55E31E">
            <w:pPr>
              <w:pStyle w:val="style0"/>
              <w:rPr/>
            </w:pPr>
            <w:r>
              <w:rPr>
                <w:b/>
                <w:sz w:val="14"/>
              </w:rPr>
              <w:t>Inhalt</w:t>
            </w:r>
          </w:p>
        </w:tc>
      </w:tr>
      <w:tr w14:paraId="CE1023B1">
        <w:tblPrEx/>
        <w:trPr>
          <w:jc w:val="center"/>
        </w:trPr>
        <w:tc>
          <w:tcPr>
            <w:tcW w:w="7870" w:type="dxa"/>
            <w:tcBorders/>
          </w:tcPr>
          <w:p w14:paraId="B5FA2E54">
            <w:pPr>
              <w:pStyle w:val="style0"/>
              <w:rPr/>
            </w:pPr>
            <w:r>
              <w:rPr>
                <w:b w:val="false"/>
                <w:sz w:val="14"/>
              </w:rPr>
              <w:t>ID</w:t>
            </w:r>
          </w:p>
        </w:tc>
        <w:tc>
          <w:tcPr>
            <w:tcW w:w="7870" w:type="dxa"/>
            <w:tcBorders/>
          </w:tcPr>
          <w:p w14:paraId="8732C78D">
            <w:pPr>
              <w:pStyle w:val="style0"/>
              <w:rPr/>
            </w:pPr>
            <w:r>
              <w:rPr>
                <w:b w:val="false"/>
                <w:sz w:val="14"/>
              </w:rPr>
              <w:t>DEC-___</w:t>
            </w:r>
          </w:p>
        </w:tc>
      </w:tr>
      <w:tr w14:paraId="1037341D">
        <w:tblPrEx/>
        <w:trPr>
          <w:jc w:val="center"/>
        </w:trPr>
        <w:tc>
          <w:tcPr>
            <w:tcW w:w="7870" w:type="dxa"/>
            <w:tcBorders/>
          </w:tcPr>
          <w:p w14:paraId="10974EDD">
            <w:pPr>
              <w:pStyle w:val="style0"/>
              <w:rPr/>
            </w:pPr>
            <w:r>
              <w:rPr>
                <w:b w:val="false"/>
                <w:sz w:val="14"/>
              </w:rPr>
              <w:t>Titel</w:t>
            </w:r>
          </w:p>
        </w:tc>
        <w:tc>
          <w:tcPr>
            <w:tcW w:w="7870" w:type="dxa"/>
            <w:tcBorders/>
          </w:tcPr>
          <w:p w14:paraId="D91EB023">
            <w:pPr>
              <w:pStyle w:val="style0"/>
              <w:rPr/>
            </w:pPr>
          </w:p>
        </w:tc>
      </w:tr>
      <w:tr w14:paraId="182F9824">
        <w:tblPrEx/>
        <w:trPr>
          <w:jc w:val="center"/>
        </w:trPr>
        <w:tc>
          <w:tcPr>
            <w:tcW w:w="7870" w:type="dxa"/>
            <w:tcBorders/>
          </w:tcPr>
          <w:p w14:paraId="4DD4CB37">
            <w:pPr>
              <w:pStyle w:val="style0"/>
              <w:rPr/>
            </w:pPr>
            <w:r>
              <w:rPr>
                <w:b w:val="false"/>
                <w:sz w:val="14"/>
              </w:rPr>
              <w:t>Status</w:t>
            </w:r>
          </w:p>
        </w:tc>
        <w:tc>
          <w:tcPr>
            <w:tcW w:w="7870" w:type="dxa"/>
            <w:tcBorders/>
          </w:tcPr>
          <w:p w14:paraId="705CC5DD">
            <w:pPr>
              <w:pStyle w:val="style0"/>
              <w:rPr/>
            </w:pPr>
            <w:r>
              <w:rPr>
                <w:b w:val="false"/>
                <w:sz w:val="14"/>
              </w:rPr>
              <w:t>Entwurf/Beschlossen/...</w:t>
            </w:r>
          </w:p>
        </w:tc>
      </w:tr>
      <w:tr w14:paraId="F1DD7A9C">
        <w:tblPrEx/>
        <w:trPr>
          <w:jc w:val="center"/>
        </w:trPr>
        <w:tc>
          <w:tcPr>
            <w:tcW w:w="7870" w:type="dxa"/>
            <w:tcBorders/>
          </w:tcPr>
          <w:p w14:paraId="BC5BC1C9">
            <w:pPr>
              <w:pStyle w:val="style0"/>
              <w:rPr/>
            </w:pPr>
            <w:r>
              <w:rPr>
                <w:b w:val="false"/>
                <w:sz w:val="14"/>
              </w:rPr>
              <w:t>Entscheidung</w:t>
            </w:r>
          </w:p>
        </w:tc>
        <w:tc>
          <w:tcPr>
            <w:tcW w:w="7870" w:type="dxa"/>
            <w:tcBorders/>
          </w:tcPr>
          <w:p w14:paraId="49EDFAED">
            <w:pPr>
              <w:pStyle w:val="style0"/>
              <w:rPr/>
            </w:pPr>
          </w:p>
        </w:tc>
      </w:tr>
      <w:tr w14:paraId="7BB8B45C">
        <w:tblPrEx/>
        <w:trPr>
          <w:jc w:val="center"/>
        </w:trPr>
        <w:tc>
          <w:tcPr>
            <w:tcW w:w="7870" w:type="dxa"/>
            <w:tcBorders/>
          </w:tcPr>
          <w:p w14:paraId="D6E5DC27">
            <w:pPr>
              <w:pStyle w:val="style0"/>
              <w:rPr/>
            </w:pPr>
            <w:r>
              <w:rPr>
                <w:b w:val="false"/>
                <w:sz w:val="14"/>
              </w:rPr>
              <w:t>Begründung</w:t>
            </w:r>
          </w:p>
        </w:tc>
        <w:tc>
          <w:tcPr>
            <w:tcW w:w="7870" w:type="dxa"/>
            <w:tcBorders/>
          </w:tcPr>
          <w:p w14:paraId="A5E396A4">
            <w:pPr>
              <w:pStyle w:val="style0"/>
              <w:rPr/>
            </w:pPr>
          </w:p>
        </w:tc>
      </w:tr>
      <w:tr w14:paraId="5BF25B77">
        <w:tblPrEx/>
        <w:trPr>
          <w:jc w:val="center"/>
        </w:trPr>
        <w:tc>
          <w:tcPr>
            <w:tcW w:w="7870" w:type="dxa"/>
            <w:tcBorders/>
          </w:tcPr>
          <w:p w14:paraId="3D692B4F">
            <w:pPr>
              <w:pStyle w:val="style0"/>
              <w:rPr/>
            </w:pPr>
            <w:r>
              <w:rPr>
                <w:b w:val="false"/>
                <w:sz w:val="14"/>
              </w:rPr>
              <w:t>Betroffene Module</w:t>
            </w:r>
          </w:p>
        </w:tc>
        <w:tc>
          <w:tcPr>
            <w:tcW w:w="7870" w:type="dxa"/>
            <w:tcBorders/>
          </w:tcPr>
          <w:p w14:paraId="D58C777D">
            <w:pPr>
              <w:pStyle w:val="style0"/>
              <w:rPr/>
            </w:pPr>
          </w:p>
        </w:tc>
      </w:tr>
      <w:tr w14:paraId="6DF41DBA">
        <w:tblPrEx/>
        <w:trPr>
          <w:jc w:val="center"/>
        </w:trPr>
        <w:tc>
          <w:tcPr>
            <w:tcW w:w="7870" w:type="dxa"/>
            <w:tcBorders/>
          </w:tcPr>
          <w:p w14:paraId="A7B7D1D8">
            <w:pPr>
              <w:pStyle w:val="style0"/>
              <w:rPr/>
            </w:pPr>
            <w:r>
              <w:rPr>
                <w:b w:val="false"/>
                <w:sz w:val="14"/>
              </w:rPr>
              <w:t>Folgeaufgaben</w:t>
            </w:r>
          </w:p>
        </w:tc>
        <w:tc>
          <w:tcPr>
            <w:tcW w:w="7870" w:type="dxa"/>
            <w:tcBorders/>
          </w:tcPr>
          <w:p w14:paraId="41E691A0">
            <w:pPr>
              <w:pStyle w:val="style0"/>
              <w:rPr/>
            </w:pPr>
          </w:p>
        </w:tc>
      </w:tr>
      <w:tr w14:paraId="474AFA03">
        <w:tblPrEx/>
        <w:trPr>
          <w:jc w:val="center"/>
        </w:trPr>
        <w:tc>
          <w:tcPr>
            <w:tcW w:w="7870" w:type="dxa"/>
            <w:tcBorders/>
          </w:tcPr>
          <w:p w14:paraId="25F82B7F">
            <w:pPr>
              <w:pStyle w:val="style0"/>
              <w:rPr/>
            </w:pPr>
            <w:r>
              <w:rPr>
                <w:b w:val="false"/>
                <w:sz w:val="14"/>
              </w:rPr>
              <w:t>Ersetzt / ersetzt durch</w:t>
            </w:r>
          </w:p>
        </w:tc>
        <w:tc>
          <w:tcPr>
            <w:tcW w:w="7870" w:type="dxa"/>
            <w:tcBorders/>
          </w:tcPr>
          <w:p w14:paraId="FB7023C0">
            <w:pPr>
              <w:pStyle w:val="style0"/>
              <w:rPr/>
            </w:pPr>
          </w:p>
        </w:tc>
      </w:tr>
      <w:tr w14:paraId="4A9666B7">
        <w:tblPrEx/>
        <w:trPr>
          <w:jc w:val="center"/>
        </w:trPr>
        <w:tc>
          <w:tcPr>
            <w:tcW w:w="7870" w:type="dxa"/>
            <w:tcBorders/>
          </w:tcPr>
          <w:p w14:paraId="ED6F943B">
            <w:pPr>
              <w:pStyle w:val="style0"/>
              <w:rPr/>
            </w:pPr>
            <w:r>
              <w:rPr>
                <w:b w:val="false"/>
                <w:sz w:val="14"/>
              </w:rPr>
              <w:t>Datum / Version</w:t>
            </w:r>
          </w:p>
        </w:tc>
        <w:tc>
          <w:tcPr>
            <w:tcW w:w="7870" w:type="dxa"/>
            <w:tcBorders/>
          </w:tcPr>
          <w:p w14:paraId="2C0707D8">
            <w:pPr>
              <w:pStyle w:val="style0"/>
              <w:rPr/>
            </w:pPr>
          </w:p>
        </w:tc>
      </w:tr>
    </w:tbl>
    <w:p w14:paraId="732104F8">
      <w:pPr>
        <w:pStyle w:val="style0"/>
        <w:rPr/>
      </w:pPr>
      <w:r>
        <w:rPr>
          <w:i/>
          <w:sz w:val="16"/>
        </w:rPr>
        <w:t>Historischer Quellenanker: DOC-001 – Tabelle 2 der verbindlichen Fassung gemäß DOC-REG-001 Stand 3.2.</w:t>
      </w:r>
    </w:p>
    <w:p w14:paraId="59C55861">
      <w:pPr>
        <w:pStyle w:val="style2"/>
        <w:rPr/>
      </w:pPr>
      <w:r>
        <w:t>2.2.2 Vorlage für neue Anforderungen</w:t>
      </w:r>
    </w:p>
    <w:tbl>
      <w:tblPr>
        <w:tblStyle w:val="style154"/>
        <w:tblW w:w="0" w:type="auto"/>
        <w:jc w:val="center"/>
        <w:tblLook w:val="04A0" w:firstRow="1" w:lastRow="0" w:firstColumn="1" w:lastColumn="0" w:noHBand="0" w:noVBand="1"/>
      </w:tblPr>
      <w:tblGrid>
        <w:gridCol w:w="7870"/>
        <w:gridCol w:w="7870"/>
      </w:tblGrid>
      <w:tr w14:paraId="E2B9A41D">
        <w:trPr>
          <w:tblHeader/>
          <w:jc w:val="center"/>
        </w:trPr>
        <w:tc>
          <w:tcPr>
            <w:tcW w:w="7870" w:type="dxa"/>
            <w:tcBorders/>
            <w:shd w:val="nil" w:color="auto" w:fill="d9eaf7"/>
          </w:tcPr>
          <w:p w14:paraId="6E505DB6">
            <w:pPr>
              <w:pStyle w:val="style0"/>
              <w:rPr/>
            </w:pPr>
            <w:r>
              <w:rPr>
                <w:b/>
                <w:sz w:val="14"/>
              </w:rPr>
              <w:t>Feld</w:t>
            </w:r>
          </w:p>
        </w:tc>
        <w:tc>
          <w:tcPr>
            <w:tcW w:w="7870" w:type="dxa"/>
            <w:tcBorders/>
            <w:shd w:val="nil" w:color="auto" w:fill="d9eaf7"/>
          </w:tcPr>
          <w:p w14:paraId="BF4D0035">
            <w:pPr>
              <w:pStyle w:val="style0"/>
              <w:rPr/>
            </w:pPr>
            <w:r>
              <w:rPr>
                <w:b/>
                <w:sz w:val="14"/>
              </w:rPr>
              <w:t>Inhalt</w:t>
            </w:r>
          </w:p>
        </w:tc>
      </w:tr>
      <w:tr w14:paraId="4FF403FB">
        <w:tblPrEx/>
        <w:trPr>
          <w:jc w:val="center"/>
        </w:trPr>
        <w:tc>
          <w:tcPr>
            <w:tcW w:w="7870" w:type="dxa"/>
            <w:tcBorders/>
          </w:tcPr>
          <w:p w14:paraId="E823F9D4">
            <w:pPr>
              <w:pStyle w:val="style0"/>
              <w:rPr/>
            </w:pPr>
            <w:r>
              <w:rPr>
                <w:b w:val="false"/>
                <w:sz w:val="14"/>
              </w:rPr>
              <w:t>ID</w:t>
            </w:r>
          </w:p>
        </w:tc>
        <w:tc>
          <w:tcPr>
            <w:tcW w:w="7870" w:type="dxa"/>
            <w:tcBorders/>
          </w:tcPr>
          <w:p w14:paraId="7367F675">
            <w:pPr>
              <w:pStyle w:val="style0"/>
              <w:rPr/>
            </w:pPr>
            <w:r>
              <w:rPr>
                <w:b w:val="false"/>
                <w:sz w:val="14"/>
              </w:rPr>
              <w:t>REQ-___-___</w:t>
            </w:r>
          </w:p>
        </w:tc>
      </w:tr>
      <w:tr w14:paraId="E16C2AEB">
        <w:tblPrEx/>
        <w:trPr>
          <w:jc w:val="center"/>
        </w:trPr>
        <w:tc>
          <w:tcPr>
            <w:tcW w:w="7870" w:type="dxa"/>
            <w:tcBorders/>
          </w:tcPr>
          <w:p w14:paraId="5F93D2CD">
            <w:pPr>
              <w:pStyle w:val="style0"/>
              <w:rPr/>
            </w:pPr>
            <w:r>
              <w:rPr>
                <w:b w:val="false"/>
                <w:sz w:val="14"/>
              </w:rPr>
              <w:t>Typ</w:t>
            </w:r>
          </w:p>
        </w:tc>
        <w:tc>
          <w:tcPr>
            <w:tcW w:w="7870" w:type="dxa"/>
            <w:tcBorders/>
          </w:tcPr>
          <w:p w14:paraId="AE555A79">
            <w:pPr>
              <w:pStyle w:val="style0"/>
              <w:rPr/>
            </w:pPr>
            <w:r>
              <w:rPr>
                <w:b w:val="false"/>
                <w:sz w:val="14"/>
              </w:rPr>
              <w:t>Funktional/Daten/Berechnung/Nichtfunktional/Governance</w:t>
            </w:r>
          </w:p>
        </w:tc>
      </w:tr>
      <w:tr w14:paraId="0BC1B7FA">
        <w:tblPrEx/>
        <w:trPr>
          <w:jc w:val="center"/>
        </w:trPr>
        <w:tc>
          <w:tcPr>
            <w:tcW w:w="7870" w:type="dxa"/>
            <w:tcBorders/>
          </w:tcPr>
          <w:p w14:paraId="534283A3">
            <w:pPr>
              <w:pStyle w:val="style0"/>
              <w:rPr/>
            </w:pPr>
            <w:r>
              <w:rPr>
                <w:b w:val="false"/>
                <w:sz w:val="14"/>
              </w:rPr>
              <w:t>Anforderung</w:t>
            </w:r>
          </w:p>
        </w:tc>
        <w:tc>
          <w:tcPr>
            <w:tcW w:w="7870" w:type="dxa"/>
            <w:tcBorders/>
          </w:tcPr>
          <w:p w14:paraId="AE02EF5C">
            <w:pPr>
              <w:pStyle w:val="style0"/>
              <w:rPr/>
            </w:pPr>
          </w:p>
        </w:tc>
      </w:tr>
      <w:tr w14:paraId="4F5451C4">
        <w:tblPrEx/>
        <w:trPr>
          <w:jc w:val="center"/>
        </w:trPr>
        <w:tc>
          <w:tcPr>
            <w:tcW w:w="7870" w:type="dxa"/>
            <w:tcBorders/>
          </w:tcPr>
          <w:p w14:paraId="941F58A6">
            <w:pPr>
              <w:pStyle w:val="style0"/>
              <w:rPr/>
            </w:pPr>
            <w:r>
              <w:rPr>
                <w:b w:val="false"/>
                <w:sz w:val="14"/>
              </w:rPr>
              <w:t>Priorität</w:t>
            </w:r>
          </w:p>
        </w:tc>
        <w:tc>
          <w:tcPr>
            <w:tcW w:w="7870" w:type="dxa"/>
            <w:tcBorders/>
          </w:tcPr>
          <w:p w14:paraId="E5D9ECE1">
            <w:pPr>
              <w:pStyle w:val="style0"/>
              <w:rPr/>
            </w:pPr>
            <w:r>
              <w:rPr>
                <w:b w:val="false"/>
                <w:sz w:val="14"/>
              </w:rPr>
              <w:t>Muss/Soll/Kann</w:t>
            </w:r>
          </w:p>
        </w:tc>
      </w:tr>
      <w:tr w14:paraId="EB2EF07B">
        <w:tblPrEx/>
        <w:trPr>
          <w:jc w:val="center"/>
        </w:trPr>
        <w:tc>
          <w:tcPr>
            <w:tcW w:w="7870" w:type="dxa"/>
            <w:tcBorders/>
          </w:tcPr>
          <w:p w14:paraId="32250E75">
            <w:pPr>
              <w:pStyle w:val="style0"/>
              <w:rPr/>
            </w:pPr>
            <w:r>
              <w:rPr>
                <w:b w:val="false"/>
                <w:sz w:val="14"/>
              </w:rPr>
              <w:t>Quelle</w:t>
            </w:r>
          </w:p>
        </w:tc>
        <w:tc>
          <w:tcPr>
            <w:tcW w:w="7870" w:type="dxa"/>
            <w:tcBorders/>
          </w:tcPr>
          <w:p w14:paraId="4AFBD654">
            <w:pPr>
              <w:pStyle w:val="style0"/>
              <w:rPr/>
            </w:pPr>
            <w:r>
              <w:rPr>
                <w:b w:val="false"/>
                <w:sz w:val="14"/>
              </w:rPr>
              <w:t>DEC-ID oder Dokument</w:t>
            </w:r>
          </w:p>
        </w:tc>
      </w:tr>
      <w:tr w14:paraId="57E12F93">
        <w:tblPrEx/>
        <w:trPr>
          <w:jc w:val="center"/>
        </w:trPr>
        <w:tc>
          <w:tcPr>
            <w:tcW w:w="7870" w:type="dxa"/>
            <w:tcBorders/>
          </w:tcPr>
          <w:p w14:paraId="B16BCB24">
            <w:pPr>
              <w:pStyle w:val="style0"/>
              <w:rPr/>
            </w:pPr>
            <w:r>
              <w:rPr>
                <w:b w:val="false"/>
                <w:sz w:val="14"/>
              </w:rPr>
              <w:t>Zuständig</w:t>
            </w:r>
          </w:p>
        </w:tc>
        <w:tc>
          <w:tcPr>
            <w:tcW w:w="7870" w:type="dxa"/>
            <w:tcBorders/>
          </w:tcPr>
          <w:p w14:paraId="ED0D364A">
            <w:pPr>
              <w:pStyle w:val="style0"/>
              <w:rPr/>
            </w:pPr>
          </w:p>
        </w:tc>
      </w:tr>
      <w:tr w14:paraId="DA82E0FB">
        <w:tblPrEx/>
        <w:trPr>
          <w:jc w:val="center"/>
        </w:trPr>
        <w:tc>
          <w:tcPr>
            <w:tcW w:w="7870" w:type="dxa"/>
            <w:tcBorders/>
          </w:tcPr>
          <w:p w14:paraId="BD5F49A4">
            <w:pPr>
              <w:pStyle w:val="style0"/>
              <w:rPr/>
            </w:pPr>
            <w:r>
              <w:rPr>
                <w:b w:val="false"/>
                <w:sz w:val="14"/>
              </w:rPr>
              <w:t>Abnahmekriterium</w:t>
            </w:r>
          </w:p>
        </w:tc>
        <w:tc>
          <w:tcPr>
            <w:tcW w:w="7870" w:type="dxa"/>
            <w:tcBorders/>
          </w:tcPr>
          <w:p w14:paraId="9404BD88">
            <w:pPr>
              <w:pStyle w:val="style0"/>
              <w:rPr/>
            </w:pPr>
          </w:p>
        </w:tc>
      </w:tr>
      <w:tr w14:paraId="F8857122">
        <w:tblPrEx/>
        <w:trPr>
          <w:jc w:val="center"/>
        </w:trPr>
        <w:tc>
          <w:tcPr>
            <w:tcW w:w="7870" w:type="dxa"/>
            <w:tcBorders/>
          </w:tcPr>
          <w:p w14:paraId="95FFE216">
            <w:pPr>
              <w:pStyle w:val="style0"/>
              <w:rPr/>
            </w:pPr>
            <w:r>
              <w:rPr>
                <w:b w:val="false"/>
                <w:sz w:val="14"/>
              </w:rPr>
              <w:t>Status</w:t>
            </w:r>
          </w:p>
        </w:tc>
        <w:tc>
          <w:tcPr>
            <w:tcW w:w="7870" w:type="dxa"/>
            <w:tcBorders/>
          </w:tcPr>
          <w:p w14:paraId="C65A1538">
            <w:pPr>
              <w:pStyle w:val="style0"/>
              <w:rPr/>
            </w:pPr>
            <w:r>
              <w:rPr>
                <w:b w:val="false"/>
                <w:sz w:val="14"/>
              </w:rPr>
              <w:t>Offen/In Arbeit/Erfüllt/Zurückgestellt/Verworfen</w:t>
            </w:r>
          </w:p>
        </w:tc>
      </w:tr>
    </w:tbl>
    <w:p w14:paraId="A6318D46">
      <w:pPr>
        <w:pStyle w:val="style0"/>
        <w:rPr/>
      </w:pPr>
      <w:r>
        <w:rPr>
          <w:i/>
          <w:sz w:val="16"/>
        </w:rPr>
        <w:t>Historischer Quellenanker: DOC-002 – Tabelle 2 der verbindlichen Fassung gemäß DOC-REG-001 Stand 3.2.</w:t>
      </w:r>
    </w:p>
    <w:p w14:paraId="22772F57">
      <w:pPr>
        <w:pStyle w:val="style2"/>
        <w:rPr/>
      </w:pPr>
      <w:r>
        <w:t>2.2.3 Vorlage für neue Änderungen</w:t>
      </w:r>
    </w:p>
    <w:tbl>
      <w:tblPr>
        <w:tblStyle w:val="style154"/>
        <w:tblW w:w="0" w:type="auto"/>
        <w:jc w:val="center"/>
        <w:tblLook w:val="04A0" w:firstRow="1" w:lastRow="0" w:firstColumn="1" w:lastColumn="0" w:noHBand="0" w:noVBand="1"/>
      </w:tblPr>
      <w:tblGrid>
        <w:gridCol w:w="7870"/>
        <w:gridCol w:w="7870"/>
      </w:tblGrid>
      <w:tr w14:paraId="306F2903">
        <w:trPr>
          <w:tblHeader/>
          <w:jc w:val="center"/>
        </w:trPr>
        <w:tc>
          <w:tcPr>
            <w:tcW w:w="7870" w:type="dxa"/>
            <w:tcBorders/>
            <w:shd w:val="nil" w:color="auto" w:fill="d9eaf7"/>
          </w:tcPr>
          <w:p w14:paraId="83ED6A5A">
            <w:pPr>
              <w:pStyle w:val="style0"/>
              <w:rPr/>
            </w:pPr>
            <w:r>
              <w:rPr>
                <w:b/>
                <w:sz w:val="14"/>
              </w:rPr>
              <w:t>Feld</w:t>
            </w:r>
          </w:p>
        </w:tc>
        <w:tc>
          <w:tcPr>
            <w:tcW w:w="7870" w:type="dxa"/>
            <w:tcBorders/>
            <w:shd w:val="nil" w:color="auto" w:fill="d9eaf7"/>
          </w:tcPr>
          <w:p w14:paraId="524C1931">
            <w:pPr>
              <w:pStyle w:val="style0"/>
              <w:rPr/>
            </w:pPr>
            <w:r>
              <w:rPr>
                <w:b/>
                <w:sz w:val="14"/>
              </w:rPr>
              <w:t>Inhalt</w:t>
            </w:r>
          </w:p>
        </w:tc>
      </w:tr>
      <w:tr w14:paraId="B5FEF0E7">
        <w:tblPrEx/>
        <w:trPr>
          <w:jc w:val="center"/>
        </w:trPr>
        <w:tc>
          <w:tcPr>
            <w:tcW w:w="7870" w:type="dxa"/>
            <w:tcBorders/>
          </w:tcPr>
          <w:p w14:paraId="49FE2D24">
            <w:pPr>
              <w:pStyle w:val="style0"/>
              <w:rPr/>
            </w:pPr>
            <w:r>
              <w:rPr>
                <w:b w:val="false"/>
                <w:sz w:val="14"/>
              </w:rPr>
              <w:t>CHG-ID</w:t>
            </w:r>
          </w:p>
        </w:tc>
        <w:tc>
          <w:tcPr>
            <w:tcW w:w="7870" w:type="dxa"/>
            <w:tcBorders/>
          </w:tcPr>
          <w:p w14:paraId="977713DB">
            <w:pPr>
              <w:pStyle w:val="style0"/>
              <w:rPr/>
            </w:pPr>
            <w:r>
              <w:rPr>
                <w:b w:val="false"/>
                <w:sz w:val="14"/>
              </w:rPr>
              <w:t>CHG-____</w:t>
            </w:r>
          </w:p>
        </w:tc>
      </w:tr>
      <w:tr w14:paraId="11D02D96">
        <w:tblPrEx/>
        <w:trPr>
          <w:jc w:val="center"/>
        </w:trPr>
        <w:tc>
          <w:tcPr>
            <w:tcW w:w="7870" w:type="dxa"/>
            <w:tcBorders/>
          </w:tcPr>
          <w:p w14:paraId="E080B7AC">
            <w:pPr>
              <w:pStyle w:val="style0"/>
              <w:rPr/>
            </w:pPr>
            <w:r>
              <w:rPr>
                <w:b w:val="false"/>
                <w:sz w:val="14"/>
              </w:rPr>
              <w:t>Datum</w:t>
            </w:r>
          </w:p>
        </w:tc>
        <w:tc>
          <w:tcPr>
            <w:tcW w:w="7870" w:type="dxa"/>
            <w:tcBorders/>
          </w:tcPr>
          <w:p w14:paraId="EE50BBBB">
            <w:pPr>
              <w:pStyle w:val="style0"/>
              <w:rPr/>
            </w:pPr>
          </w:p>
        </w:tc>
      </w:tr>
      <w:tr w14:paraId="6D748B6F">
        <w:tblPrEx/>
        <w:trPr>
          <w:jc w:val="center"/>
        </w:trPr>
        <w:tc>
          <w:tcPr>
            <w:tcW w:w="7870" w:type="dxa"/>
            <w:tcBorders/>
          </w:tcPr>
          <w:p w14:paraId="D528A86C">
            <w:pPr>
              <w:pStyle w:val="style0"/>
              <w:rPr/>
            </w:pPr>
            <w:r>
              <w:rPr>
                <w:b w:val="false"/>
                <w:sz w:val="14"/>
              </w:rPr>
              <w:t>Artefakt / alte und neue Version</w:t>
            </w:r>
          </w:p>
        </w:tc>
        <w:tc>
          <w:tcPr>
            <w:tcW w:w="7870" w:type="dxa"/>
            <w:tcBorders/>
          </w:tcPr>
          <w:p w14:paraId="EC03EC6A">
            <w:pPr>
              <w:pStyle w:val="style0"/>
              <w:rPr/>
            </w:pPr>
          </w:p>
        </w:tc>
      </w:tr>
      <w:tr w14:paraId="FFCADFDF">
        <w:tblPrEx/>
        <w:trPr>
          <w:jc w:val="center"/>
        </w:trPr>
        <w:tc>
          <w:tcPr>
            <w:tcW w:w="7870" w:type="dxa"/>
            <w:tcBorders/>
          </w:tcPr>
          <w:p w14:paraId="B8803443">
            <w:pPr>
              <w:pStyle w:val="style0"/>
              <w:rPr/>
            </w:pPr>
            <w:r>
              <w:rPr>
                <w:b w:val="false"/>
                <w:sz w:val="14"/>
              </w:rPr>
              <w:t>Änderung</w:t>
            </w:r>
          </w:p>
        </w:tc>
        <w:tc>
          <w:tcPr>
            <w:tcW w:w="7870" w:type="dxa"/>
            <w:tcBorders/>
          </w:tcPr>
          <w:p w14:paraId="1ACE5F43">
            <w:pPr>
              <w:pStyle w:val="style0"/>
              <w:rPr/>
            </w:pPr>
          </w:p>
        </w:tc>
      </w:tr>
      <w:tr w14:paraId="23335816">
        <w:tblPrEx/>
        <w:trPr>
          <w:jc w:val="center"/>
        </w:trPr>
        <w:tc>
          <w:tcPr>
            <w:tcW w:w="7870" w:type="dxa"/>
            <w:tcBorders/>
          </w:tcPr>
          <w:p w14:paraId="E71AB917">
            <w:pPr>
              <w:pStyle w:val="style0"/>
              <w:rPr/>
            </w:pPr>
            <w:r>
              <w:rPr>
                <w:b w:val="false"/>
                <w:sz w:val="14"/>
              </w:rPr>
              <w:t>Grund / Quelle</w:t>
            </w:r>
          </w:p>
        </w:tc>
        <w:tc>
          <w:tcPr>
            <w:tcW w:w="7870" w:type="dxa"/>
            <w:tcBorders/>
          </w:tcPr>
          <w:p w14:paraId="590F0C0C">
            <w:pPr>
              <w:pStyle w:val="style0"/>
              <w:rPr/>
            </w:pPr>
          </w:p>
        </w:tc>
      </w:tr>
      <w:tr w14:paraId="B5E2A2C3">
        <w:tblPrEx/>
        <w:trPr>
          <w:jc w:val="center"/>
        </w:trPr>
        <w:tc>
          <w:tcPr>
            <w:tcW w:w="7870" w:type="dxa"/>
            <w:tcBorders/>
          </w:tcPr>
          <w:p w14:paraId="7A062349">
            <w:pPr>
              <w:pStyle w:val="style0"/>
              <w:rPr/>
            </w:pPr>
            <w:r>
              <w:rPr>
                <w:b w:val="false"/>
                <w:sz w:val="14"/>
              </w:rPr>
              <w:t>Betroffene DEC-/REQ-/CON-IDs</w:t>
            </w:r>
          </w:p>
        </w:tc>
        <w:tc>
          <w:tcPr>
            <w:tcW w:w="7870" w:type="dxa"/>
            <w:tcBorders/>
          </w:tcPr>
          <w:p w14:paraId="A147CE87">
            <w:pPr>
              <w:pStyle w:val="style0"/>
              <w:rPr/>
            </w:pPr>
          </w:p>
        </w:tc>
      </w:tr>
      <w:tr w14:paraId="053AFB5A">
        <w:tblPrEx/>
        <w:trPr>
          <w:jc w:val="center"/>
        </w:trPr>
        <w:tc>
          <w:tcPr>
            <w:tcW w:w="7870" w:type="dxa"/>
            <w:tcBorders/>
          </w:tcPr>
          <w:p w14:paraId="D6846B79">
            <w:pPr>
              <w:pStyle w:val="style0"/>
              <w:rPr/>
            </w:pPr>
            <w:r>
              <w:rPr>
                <w:b w:val="false"/>
                <w:sz w:val="14"/>
              </w:rPr>
              <w:t>Auswirkung / Migration</w:t>
            </w:r>
          </w:p>
        </w:tc>
        <w:tc>
          <w:tcPr>
            <w:tcW w:w="7870" w:type="dxa"/>
            <w:tcBorders/>
          </w:tcPr>
          <w:p w14:paraId="1C83A0D6">
            <w:pPr>
              <w:pStyle w:val="style0"/>
              <w:rPr/>
            </w:pPr>
          </w:p>
        </w:tc>
      </w:tr>
      <w:tr w14:paraId="6EB37BE4">
        <w:tblPrEx/>
        <w:trPr>
          <w:jc w:val="center"/>
        </w:trPr>
        <w:tc>
          <w:tcPr>
            <w:tcW w:w="7870" w:type="dxa"/>
            <w:tcBorders/>
          </w:tcPr>
          <w:p w14:paraId="1BD8B1F1">
            <w:pPr>
              <w:pStyle w:val="style0"/>
              <w:rPr/>
            </w:pPr>
            <w:r>
              <w:rPr>
                <w:b w:val="false"/>
                <w:sz w:val="14"/>
              </w:rPr>
              <w:t>Bearbeiter</w:t>
            </w:r>
          </w:p>
        </w:tc>
        <w:tc>
          <w:tcPr>
            <w:tcW w:w="7870" w:type="dxa"/>
            <w:tcBorders/>
          </w:tcPr>
          <w:p w14:paraId="65B992BD">
            <w:pPr>
              <w:pStyle w:val="style0"/>
              <w:rPr/>
            </w:pPr>
          </w:p>
        </w:tc>
      </w:tr>
      <w:tr w14:paraId="468F45A3">
        <w:tblPrEx/>
        <w:trPr>
          <w:jc w:val="center"/>
        </w:trPr>
        <w:tc>
          <w:tcPr>
            <w:tcW w:w="7870" w:type="dxa"/>
            <w:tcBorders/>
          </w:tcPr>
          <w:p w14:paraId="D42EFF0C">
            <w:pPr>
              <w:pStyle w:val="style0"/>
              <w:rPr/>
            </w:pPr>
            <w:r>
              <w:rPr>
                <w:b w:val="false"/>
                <w:sz w:val="14"/>
              </w:rPr>
              <w:t>Status</w:t>
            </w:r>
          </w:p>
        </w:tc>
        <w:tc>
          <w:tcPr>
            <w:tcW w:w="7870" w:type="dxa"/>
            <w:tcBorders/>
          </w:tcPr>
          <w:p w14:paraId="345A6110">
            <w:pPr>
              <w:pStyle w:val="style0"/>
              <w:rPr/>
            </w:pPr>
            <w:r>
              <w:rPr>
                <w:b w:val="false"/>
                <w:sz w:val="14"/>
              </w:rPr>
              <w:t>Geplant/In Arbeit/Abgeschlossen/Rückgängig</w:t>
            </w:r>
          </w:p>
        </w:tc>
      </w:tr>
    </w:tbl>
    <w:p w14:paraId="DCB30E06">
      <w:pPr>
        <w:pStyle w:val="style0"/>
        <w:rPr/>
      </w:pPr>
      <w:r>
        <w:rPr>
          <w:i/>
          <w:sz w:val="16"/>
        </w:rPr>
        <w:t>Historischer Quellenanker: DOC-004 – Tabelle 2 der verbindlichen Fassung gemäß DOC-REG-001 Stand 3.2.</w:t>
      </w:r>
    </w:p>
    <w:p w14:paraId="ED6E1016">
      <w:pPr>
        <w:pStyle w:val="style1"/>
        <w:rPr/>
      </w:pPr>
      <w:r>
        <w:t>3. Entscheidungsregister – vollständig</w:t>
      </w:r>
    </w:p>
    <w:tbl>
      <w:tblPr>
        <w:tblStyle w:val="style154"/>
        <w:tblW w:w="0" w:type="auto"/>
        <w:jc w:val="center"/>
        <w:tblLook w:val="04A0" w:firstRow="1" w:lastRow="0" w:firstColumn="1" w:lastColumn="0" w:noHBand="0" w:noVBand="1"/>
      </w:tblPr>
      <w:tblGrid>
        <w:gridCol w:w="2580"/>
        <w:gridCol w:w="2943"/>
        <w:gridCol w:w="2594"/>
        <w:gridCol w:w="2620"/>
        <w:gridCol w:w="2611"/>
        <w:gridCol w:w="2611"/>
      </w:tblGrid>
      <w:tr w14:paraId="ED0677B0">
        <w:trPr>
          <w:tblHeader/>
          <w:jc w:val="center"/>
        </w:trPr>
        <w:tc>
          <w:tcPr>
            <w:tcW w:w="2623" w:type="dxa"/>
            <w:tcBorders/>
            <w:shd w:val="nil" w:color="auto" w:fill="d9eaf7"/>
          </w:tcPr>
          <w:p w14:paraId="497F3C15">
            <w:pPr>
              <w:pStyle w:val="style0"/>
              <w:rPr/>
            </w:pPr>
            <w:r>
              <w:rPr>
                <w:b/>
                <w:sz w:val="12"/>
              </w:rPr>
              <w:t>ID</w:t>
            </w:r>
          </w:p>
        </w:tc>
        <w:tc>
          <w:tcPr>
            <w:tcW w:w="2623" w:type="dxa"/>
            <w:tcBorders/>
            <w:shd w:val="nil" w:color="auto" w:fill="d9eaf7"/>
          </w:tcPr>
          <w:p w14:paraId="57FB9A05">
            <w:pPr>
              <w:pStyle w:val="style0"/>
              <w:rPr/>
            </w:pPr>
            <w:r>
              <w:rPr>
                <w:b/>
                <w:sz w:val="12"/>
              </w:rPr>
              <w:t>Entscheidung</w:t>
            </w:r>
          </w:p>
        </w:tc>
        <w:tc>
          <w:tcPr>
            <w:tcW w:w="2623" w:type="dxa"/>
            <w:tcBorders/>
            <w:shd w:val="nil" w:color="auto" w:fill="d9eaf7"/>
          </w:tcPr>
          <w:p w14:paraId="73EFAF71">
            <w:pPr>
              <w:pStyle w:val="style0"/>
              <w:rPr/>
            </w:pPr>
            <w:r>
              <w:rPr>
                <w:b/>
                <w:sz w:val="12"/>
              </w:rPr>
              <w:t>Status</w:t>
            </w:r>
          </w:p>
        </w:tc>
        <w:tc>
          <w:tcPr>
            <w:tcW w:w="2623" w:type="dxa"/>
            <w:tcBorders/>
            <w:shd w:val="nil" w:color="auto" w:fill="d9eaf7"/>
          </w:tcPr>
          <w:p w14:paraId="B3168449">
            <w:pPr>
              <w:pStyle w:val="style0"/>
              <w:rPr/>
            </w:pPr>
            <w:r>
              <w:rPr>
                <w:b/>
                <w:sz w:val="12"/>
              </w:rPr>
              <w:t>Kernaussage</w:t>
            </w:r>
          </w:p>
        </w:tc>
        <w:tc>
          <w:tcPr>
            <w:tcW w:w="2623" w:type="dxa"/>
            <w:tcBorders/>
            <w:shd w:val="nil" w:color="auto" w:fill="d9eaf7"/>
          </w:tcPr>
          <w:p w14:paraId="60A0EF8D">
            <w:pPr>
              <w:pStyle w:val="style0"/>
              <w:rPr/>
            </w:pPr>
            <w:r>
              <w:rPr>
                <w:b/>
                <w:sz w:val="12"/>
              </w:rPr>
              <w:t>Betroffene Module</w:t>
            </w:r>
          </w:p>
        </w:tc>
        <w:tc>
          <w:tcPr>
            <w:tcW w:w="2623" w:type="dxa"/>
            <w:tcBorders/>
            <w:shd w:val="nil" w:color="auto" w:fill="d9eaf7"/>
          </w:tcPr>
          <w:p w14:paraId="86ACD71D">
            <w:pPr>
              <w:pStyle w:val="style0"/>
              <w:rPr/>
            </w:pPr>
            <w:r>
              <w:rPr>
                <w:b/>
                <w:sz w:val="12"/>
              </w:rPr>
              <w:t>Folgeaufgaben</w:t>
            </w:r>
          </w:p>
        </w:tc>
      </w:tr>
      <w:tr w14:paraId="7DF13E48">
        <w:tblPrEx/>
        <w:trPr>
          <w:jc w:val="center"/>
        </w:trPr>
        <w:tc>
          <w:tcPr>
            <w:tcW w:w="2623" w:type="dxa"/>
            <w:tcBorders/>
          </w:tcPr>
          <w:p w14:paraId="0A2C1F01">
            <w:pPr>
              <w:pStyle w:val="style0"/>
              <w:rPr/>
            </w:pPr>
            <w:r>
              <w:rPr>
                <w:b w:val="false"/>
                <w:sz w:val="12"/>
              </w:rPr>
              <w:t>DEC-001</w:t>
            </w:r>
          </w:p>
        </w:tc>
        <w:tc>
          <w:tcPr>
            <w:tcW w:w="2623" w:type="dxa"/>
            <w:tcBorders/>
          </w:tcPr>
          <w:p w14:paraId="3E41CE90">
            <w:pPr>
              <w:pStyle w:val="style0"/>
              <w:rPr/>
            </w:pPr>
            <w:r>
              <w:rPr>
                <w:b w:val="false"/>
                <w:sz w:val="12"/>
              </w:rPr>
              <w:t>Single Source of Truth</w:t>
            </w:r>
          </w:p>
        </w:tc>
        <w:tc>
          <w:tcPr>
            <w:tcW w:w="2623" w:type="dxa"/>
            <w:tcBorders/>
          </w:tcPr>
          <w:p w14:paraId="8E1BFFDF">
            <w:pPr>
              <w:pStyle w:val="style0"/>
              <w:rPr/>
            </w:pPr>
            <w:r>
              <w:rPr>
                <w:b w:val="false"/>
                <w:sz w:val="12"/>
              </w:rPr>
              <w:t>Beschlossen</w:t>
            </w:r>
          </w:p>
        </w:tc>
        <w:tc>
          <w:tcPr>
            <w:tcW w:w="2623" w:type="dxa"/>
            <w:tcBorders/>
          </w:tcPr>
          <w:p w14:paraId="F68E5863">
            <w:pPr>
              <w:pStyle w:val="style0"/>
              <w:rPr/>
            </w:pPr>
            <w:r>
              <w:rPr>
                <w:b w:val="false"/>
                <w:sz w:val="12"/>
              </w:rPr>
              <w:t>SSOT ist allein maßgeblich für Spieler, Verein, Position und dauerhafte Stammdaten. Externe Quellen dürfen Verein oder Position nicht automatisch überschreiben.</w:t>
            </w:r>
          </w:p>
        </w:tc>
        <w:tc>
          <w:tcPr>
            <w:tcW w:w="2623" w:type="dxa"/>
            <w:tcBorders/>
          </w:tcPr>
          <w:p w14:paraId="D8AD9D18">
            <w:pPr>
              <w:pStyle w:val="style0"/>
              <w:rPr/>
            </w:pPr>
            <w:r>
              <w:rPr>
                <w:b w:val="false"/>
                <w:sz w:val="12"/>
              </w:rPr>
              <w:t>SSOT; Rohdaten; Monitoring; Kontrollen</w:t>
            </w:r>
          </w:p>
        </w:tc>
        <w:tc>
          <w:tcPr>
            <w:tcW w:w="2623" w:type="dxa"/>
            <w:tcBorders/>
          </w:tcPr>
          <w:p w14:paraId="AFD843AA">
            <w:pPr>
              <w:pStyle w:val="style0"/>
              <w:rPr/>
            </w:pPr>
            <w:r>
              <w:rPr>
                <w:b w:val="false"/>
                <w:sz w:val="12"/>
              </w:rPr>
              <w:t>Versionierung und Änderungsprüfung sicherstellen.</w:t>
            </w:r>
          </w:p>
        </w:tc>
      </w:tr>
      <w:tr w14:paraId="B05327DB">
        <w:tblPrEx/>
        <w:trPr>
          <w:jc w:val="center"/>
        </w:trPr>
        <w:tc>
          <w:tcPr>
            <w:tcW w:w="2623" w:type="dxa"/>
            <w:tcBorders/>
          </w:tcPr>
          <w:p w14:paraId="64AB95E3">
            <w:pPr>
              <w:pStyle w:val="style0"/>
              <w:rPr/>
            </w:pPr>
            <w:r>
              <w:rPr>
                <w:b w:val="false"/>
                <w:sz w:val="12"/>
              </w:rPr>
              <w:t>DEC-002</w:t>
            </w:r>
          </w:p>
        </w:tc>
        <w:tc>
          <w:tcPr>
            <w:tcW w:w="2623" w:type="dxa"/>
            <w:tcBorders/>
          </w:tcPr>
          <w:p w14:paraId="B0D14E90">
            <w:pPr>
              <w:pStyle w:val="style0"/>
              <w:rPr/>
            </w:pPr>
            <w:r>
              <w:rPr>
                <w:b w:val="false"/>
                <w:sz w:val="12"/>
              </w:rPr>
              <w:t>Formation und Ersatzbank</w:t>
            </w:r>
          </w:p>
        </w:tc>
        <w:tc>
          <w:tcPr>
            <w:tcW w:w="2623" w:type="dxa"/>
            <w:tcBorders/>
          </w:tcPr>
          <w:p w14:paraId="E56B464D">
            <w:pPr>
              <w:pStyle w:val="style0"/>
              <w:rPr/>
            </w:pPr>
            <w:r>
              <w:rPr>
                <w:b w:val="false"/>
                <w:sz w:val="12"/>
              </w:rPr>
              <w:t>Beschlossen</w:t>
            </w:r>
          </w:p>
        </w:tc>
        <w:tc>
          <w:tcPr>
            <w:tcW w:w="2623" w:type="dxa"/>
            <w:tcBorders/>
          </w:tcPr>
          <w:p w14:paraId="1236E57D">
            <w:pPr>
              <w:pStyle w:val="style0"/>
              <w:rPr/>
            </w:pPr>
            <w:r>
              <w:rPr>
                <w:b w:val="false"/>
                <w:sz w:val="12"/>
              </w:rPr>
              <w:t>Feste Formation 1-4-4-2; je ein positionsgetreuer Ersatz für T/A/M/S. Ersatz zählt nur bei ng eines Stammspielers derselben Position. oN gilt als Einsatz.</w:t>
            </w:r>
          </w:p>
        </w:tc>
        <w:tc>
          <w:tcPr>
            <w:tcW w:w="2623" w:type="dxa"/>
            <w:tcBorders/>
          </w:tcPr>
          <w:p w14:paraId="37F63CC3">
            <w:pPr>
              <w:pStyle w:val="style0"/>
              <w:rPr/>
            </w:pPr>
            <w:r>
              <w:rPr>
                <w:b w:val="false"/>
                <w:sz w:val="12"/>
              </w:rPr>
              <w:t>Monitoring; Decision Engine; Regelwerk</w:t>
            </w:r>
          </w:p>
        </w:tc>
        <w:tc>
          <w:tcPr>
            <w:tcW w:w="2623" w:type="dxa"/>
            <w:tcBorders/>
          </w:tcPr>
          <w:p w14:paraId="D4D9078C">
            <w:pPr>
              <w:pStyle w:val="style0"/>
              <w:rPr/>
            </w:pPr>
            <w:r>
              <w:rPr>
                <w:b w:val="false"/>
                <w:sz w:val="12"/>
              </w:rPr>
              <w:t>Validierungsregeln für vollständige Aufstellung implementieren.</w:t>
            </w:r>
          </w:p>
        </w:tc>
      </w:tr>
      <w:tr w14:paraId="5F416D97">
        <w:tblPrEx/>
        <w:trPr>
          <w:jc w:val="center"/>
        </w:trPr>
        <w:tc>
          <w:tcPr>
            <w:tcW w:w="2623" w:type="dxa"/>
            <w:tcBorders/>
          </w:tcPr>
          <w:p w14:paraId="B4B68D35">
            <w:pPr>
              <w:pStyle w:val="style0"/>
              <w:rPr/>
            </w:pPr>
            <w:r>
              <w:rPr>
                <w:b w:val="false"/>
                <w:sz w:val="12"/>
              </w:rPr>
              <w:t>DEC-003</w:t>
            </w:r>
          </w:p>
        </w:tc>
        <w:tc>
          <w:tcPr>
            <w:tcW w:w="2623" w:type="dxa"/>
            <w:tcBorders/>
          </w:tcPr>
          <w:p w14:paraId="6FDDF582">
            <w:pPr>
              <w:pStyle w:val="style0"/>
              <w:rPr/>
            </w:pPr>
            <w:r>
              <w:rPr>
                <w:b w:val="false"/>
                <w:sz w:val="12"/>
              </w:rPr>
              <w:t>Kaderstruktur</w:t>
            </w:r>
          </w:p>
        </w:tc>
        <w:tc>
          <w:tcPr>
            <w:tcW w:w="2623" w:type="dxa"/>
            <w:tcBorders/>
          </w:tcPr>
          <w:p w14:paraId="918C9F74">
            <w:pPr>
              <w:pStyle w:val="style0"/>
              <w:rPr/>
            </w:pPr>
            <w:r>
              <w:rPr>
                <w:b w:val="false"/>
                <w:sz w:val="12"/>
              </w:rPr>
              <w:t>Beschlossen</w:t>
            </w:r>
          </w:p>
        </w:tc>
        <w:tc>
          <w:tcPr>
            <w:tcW w:w="2623" w:type="dxa"/>
            <w:tcBorders/>
          </w:tcPr>
          <w:p w14:paraId="D41C8F19">
            <w:pPr>
              <w:pStyle w:val="style0"/>
              <w:rPr/>
            </w:pPr>
            <w:r>
              <w:rPr>
                <w:b w:val="false"/>
                <w:sz w:val="12"/>
              </w:rPr>
              <w:t>Mindestkader 2 T, 8 A, 8 M, 4 S. Darüber hinaus keine Obergrenze und keine Positionsrestriktion. Saisontransaktionen und Joker zunächst außerhalb des Kernumfangs.</w:t>
            </w:r>
          </w:p>
        </w:tc>
        <w:tc>
          <w:tcPr>
            <w:tcW w:w="2623" w:type="dxa"/>
            <w:tcBorders/>
          </w:tcPr>
          <w:p w14:paraId="055648C1">
            <w:pPr>
              <w:pStyle w:val="style0"/>
              <w:rPr/>
            </w:pPr>
            <w:r>
              <w:rPr>
                <w:b w:val="false"/>
                <w:sz w:val="12"/>
              </w:rPr>
              <w:t>SSOT; spätere Kader-/Versteigerungsmodule</w:t>
            </w:r>
          </w:p>
        </w:tc>
        <w:tc>
          <w:tcPr>
            <w:tcW w:w="2623" w:type="dxa"/>
            <w:tcBorders/>
          </w:tcPr>
          <w:p w14:paraId="0C816C03">
            <w:pPr>
              <w:pStyle w:val="style0"/>
              <w:rPr/>
            </w:pPr>
            <w:r>
              <w:rPr>
                <w:b w:val="false"/>
                <w:sz w:val="12"/>
              </w:rPr>
              <w:t>Erweiterung Versteigerung/Käufe/Verkäufe vormerken.</w:t>
            </w:r>
          </w:p>
        </w:tc>
      </w:tr>
      <w:tr w14:paraId="FDD985BC">
        <w:tblPrEx/>
        <w:trPr>
          <w:jc w:val="center"/>
        </w:trPr>
        <w:tc>
          <w:tcPr>
            <w:tcW w:w="2623" w:type="dxa"/>
            <w:tcBorders/>
          </w:tcPr>
          <w:p w14:paraId="A997654A">
            <w:pPr>
              <w:pStyle w:val="style0"/>
              <w:rPr/>
            </w:pPr>
            <w:r>
              <w:rPr>
                <w:b w:val="false"/>
                <w:sz w:val="12"/>
              </w:rPr>
              <w:t>DEC-004</w:t>
            </w:r>
          </w:p>
        </w:tc>
        <w:tc>
          <w:tcPr>
            <w:tcW w:w="2623" w:type="dxa"/>
            <w:tcBorders/>
          </w:tcPr>
          <w:p w14:paraId="BCB328F4">
            <w:pPr>
              <w:pStyle w:val="style0"/>
              <w:rPr/>
            </w:pPr>
            <w:r>
              <w:rPr>
                <w:b w:val="false"/>
                <w:sz w:val="12"/>
              </w:rPr>
              <w:t>Wertungskategorien</w:t>
            </w:r>
          </w:p>
        </w:tc>
        <w:tc>
          <w:tcPr>
            <w:tcW w:w="2623" w:type="dxa"/>
            <w:tcBorders/>
          </w:tcPr>
          <w:p w14:paraId="CE5E80E5">
            <w:pPr>
              <w:pStyle w:val="style0"/>
              <w:rPr/>
            </w:pPr>
            <w:r>
              <w:rPr>
                <w:b w:val="false"/>
                <w:sz w:val="12"/>
              </w:rPr>
              <w:t>Beschlossen</w:t>
            </w:r>
          </w:p>
        </w:tc>
        <w:tc>
          <w:tcPr>
            <w:tcW w:w="2623" w:type="dxa"/>
            <w:tcBorders/>
          </w:tcPr>
          <w:p w14:paraId="F6EC66B3">
            <w:pPr>
              <w:pStyle w:val="style0"/>
              <w:rPr/>
            </w:pPr>
            <w:r>
              <w:rPr>
                <w:b w:val="false"/>
                <w:sz w:val="12"/>
              </w:rPr>
              <w:t>Tore, Vorlagen, kicker-EdT, kicker-Noten und Gegentore für T/A. Keine Minuspunkte; Tore unabhängig von Position gleichwertig.</w:t>
            </w:r>
          </w:p>
        </w:tc>
        <w:tc>
          <w:tcPr>
            <w:tcW w:w="2623" w:type="dxa"/>
            <w:tcBorders/>
          </w:tcPr>
          <w:p w14:paraId="9B4FA526">
            <w:pPr>
              <w:pStyle w:val="style0"/>
              <w:rPr/>
            </w:pPr>
            <w:r>
              <w:rPr>
                <w:b w:val="false"/>
                <w:sz w:val="12"/>
              </w:rPr>
              <w:t>Regelwerk; Monitoring; Evaluation</w:t>
            </w:r>
          </w:p>
        </w:tc>
        <w:tc>
          <w:tcPr>
            <w:tcW w:w="2623" w:type="dxa"/>
            <w:tcBorders/>
          </w:tcPr>
          <w:p w14:paraId="3318B549">
            <w:pPr>
              <w:pStyle w:val="style0"/>
              <w:rPr/>
            </w:pPr>
            <w:r>
              <w:rPr>
                <w:b w:val="false"/>
                <w:sz w:val="12"/>
              </w:rPr>
              <w:t>Kategoriewerte je Teilnehmer berechnen.</w:t>
            </w:r>
          </w:p>
        </w:tc>
      </w:tr>
      <w:tr w14:paraId="555232B4">
        <w:tblPrEx/>
        <w:trPr>
          <w:jc w:val="center"/>
        </w:trPr>
        <w:tc>
          <w:tcPr>
            <w:tcW w:w="2623" w:type="dxa"/>
            <w:tcBorders/>
          </w:tcPr>
          <w:p w14:paraId="6D60B5BE">
            <w:pPr>
              <w:pStyle w:val="style0"/>
              <w:rPr/>
            </w:pPr>
            <w:r>
              <w:rPr>
                <w:b w:val="false"/>
                <w:sz w:val="12"/>
              </w:rPr>
              <w:t>DEC-005</w:t>
            </w:r>
          </w:p>
        </w:tc>
        <w:tc>
          <w:tcPr>
            <w:tcW w:w="2623" w:type="dxa"/>
            <w:tcBorders/>
          </w:tcPr>
          <w:p w14:paraId="E19528C4">
            <w:pPr>
              <w:pStyle w:val="style0"/>
              <w:rPr/>
            </w:pPr>
            <w:r>
              <w:rPr>
                <w:b w:val="false"/>
                <w:sz w:val="12"/>
              </w:rPr>
              <w:t>Relative Kategorienpunkte</w:t>
            </w:r>
          </w:p>
        </w:tc>
        <w:tc>
          <w:tcPr>
            <w:tcW w:w="2623" w:type="dxa"/>
            <w:tcBorders/>
          </w:tcPr>
          <w:p w14:paraId="5739E84C">
            <w:pPr>
              <w:pStyle w:val="style0"/>
              <w:rPr/>
            </w:pPr>
            <w:r>
              <w:rPr>
                <w:b w:val="false"/>
                <w:sz w:val="12"/>
              </w:rPr>
              <w:t>Beschlossen</w:t>
            </w:r>
          </w:p>
        </w:tc>
        <w:tc>
          <w:tcPr>
            <w:tcW w:w="2623" w:type="dxa"/>
            <w:tcBorders/>
          </w:tcPr>
          <w:p w14:paraId="7964707A">
            <w:pPr>
              <w:pStyle w:val="style0"/>
              <w:rPr/>
            </w:pPr>
            <w:r>
              <w:rPr>
                <w:b w:val="false"/>
                <w:sz w:val="12"/>
              </w:rPr>
              <w:t>Bei fünf Teilnehmern werden je Kategorie 5 bis 1 Rangpunkte vergeben. Gleichstände teilen die Punkte der belegten Rangplätze als Durchschnitt.</w:t>
            </w:r>
          </w:p>
        </w:tc>
        <w:tc>
          <w:tcPr>
            <w:tcW w:w="2623" w:type="dxa"/>
            <w:tcBorders/>
          </w:tcPr>
          <w:p w14:paraId="226E5EA7">
            <w:pPr>
              <w:pStyle w:val="style0"/>
              <w:rPr/>
            </w:pPr>
            <w:r>
              <w:rPr>
                <w:b w:val="false"/>
                <w:sz w:val="12"/>
              </w:rPr>
              <w:t>Monitoring; Evaluation; Prognose</w:t>
            </w:r>
          </w:p>
        </w:tc>
        <w:tc>
          <w:tcPr>
            <w:tcW w:w="2623" w:type="dxa"/>
            <w:tcBorders/>
          </w:tcPr>
          <w:p w14:paraId="2CF5E237">
            <w:pPr>
              <w:pStyle w:val="style0"/>
              <w:rPr/>
            </w:pPr>
            <w:r>
              <w:rPr>
                <w:b w:val="false"/>
                <w:sz w:val="12"/>
              </w:rPr>
              <w:t>Teilnehmerzahl als saisonale Konfiguration führen.</w:t>
            </w:r>
          </w:p>
        </w:tc>
      </w:tr>
      <w:tr w14:paraId="608D5E68">
        <w:tblPrEx/>
        <w:trPr>
          <w:jc w:val="center"/>
        </w:trPr>
        <w:tc>
          <w:tcPr>
            <w:tcW w:w="2623" w:type="dxa"/>
            <w:tcBorders/>
          </w:tcPr>
          <w:p w14:paraId="EB531A34">
            <w:pPr>
              <w:pStyle w:val="style0"/>
              <w:rPr/>
            </w:pPr>
            <w:r>
              <w:rPr>
                <w:b w:val="false"/>
                <w:sz w:val="12"/>
              </w:rPr>
              <w:t>DEC-006</w:t>
            </w:r>
          </w:p>
        </w:tc>
        <w:tc>
          <w:tcPr>
            <w:tcW w:w="2623" w:type="dxa"/>
            <w:tcBorders/>
          </w:tcPr>
          <w:p w14:paraId="F71B932F">
            <w:pPr>
              <w:pStyle w:val="style0"/>
              <w:rPr/>
            </w:pPr>
            <w:r>
              <w:rPr>
                <w:b w:val="false"/>
                <w:sz w:val="12"/>
              </w:rPr>
              <w:t>Notendurchschnitt</w:t>
            </w:r>
          </w:p>
        </w:tc>
        <w:tc>
          <w:tcPr>
            <w:tcW w:w="2623" w:type="dxa"/>
            <w:tcBorders/>
          </w:tcPr>
          <w:p w14:paraId="8C4766F8">
            <w:pPr>
              <w:pStyle w:val="style0"/>
              <w:rPr/>
            </w:pPr>
            <w:r>
              <w:rPr>
                <w:b w:val="false"/>
                <w:sz w:val="12"/>
              </w:rPr>
              <w:t>Beschlossen</w:t>
            </w:r>
          </w:p>
        </w:tc>
        <w:tc>
          <w:tcPr>
            <w:tcW w:w="2623" w:type="dxa"/>
            <w:tcBorders/>
          </w:tcPr>
          <w:p w14:paraId="8CBAB823">
            <w:pPr>
              <w:pStyle w:val="style0"/>
              <w:rPr/>
            </w:pPr>
            <w:r>
              <w:rPr>
                <w:b w:val="false"/>
                <w:sz w:val="12"/>
              </w:rPr>
              <w:t>Nur benotete Spieler zählen. Teilnehmer ohne benoteten Spieler belegt den letzten Platz. Vergleich auf 2 Nachkommastellen; bei Gleichstand auf 4, danach Punkteteilung.</w:t>
            </w:r>
          </w:p>
        </w:tc>
        <w:tc>
          <w:tcPr>
            <w:tcW w:w="2623" w:type="dxa"/>
            <w:tcBorders/>
          </w:tcPr>
          <w:p w14:paraId="736D988E">
            <w:pPr>
              <w:pStyle w:val="style0"/>
              <w:rPr/>
            </w:pPr>
            <w:r>
              <w:rPr>
                <w:b w:val="false"/>
                <w:sz w:val="12"/>
              </w:rPr>
              <w:t>Monitoring; Regelwerk; Evaluation</w:t>
            </w:r>
          </w:p>
        </w:tc>
        <w:tc>
          <w:tcPr>
            <w:tcW w:w="2623" w:type="dxa"/>
            <w:tcBorders/>
          </w:tcPr>
          <w:p w14:paraId="70400E96">
            <w:pPr>
              <w:pStyle w:val="style0"/>
              <w:rPr/>
            </w:pPr>
            <w:r>
              <w:rPr>
                <w:b w:val="false"/>
                <w:sz w:val="12"/>
              </w:rPr>
              <w:t>Status NO_GRADED_PLAYER getrennt speichern.</w:t>
            </w:r>
          </w:p>
        </w:tc>
      </w:tr>
      <w:tr w14:paraId="3422DC29">
        <w:tblPrEx/>
        <w:trPr>
          <w:jc w:val="center"/>
        </w:trPr>
        <w:tc>
          <w:tcPr>
            <w:tcW w:w="2623" w:type="dxa"/>
            <w:tcBorders/>
          </w:tcPr>
          <w:p w14:paraId="DD92254D">
            <w:pPr>
              <w:pStyle w:val="style0"/>
              <w:rPr/>
            </w:pPr>
            <w:r>
              <w:rPr>
                <w:b w:val="false"/>
                <w:sz w:val="12"/>
              </w:rPr>
              <w:t>DEC-007</w:t>
            </w:r>
          </w:p>
        </w:tc>
        <w:tc>
          <w:tcPr>
            <w:tcW w:w="2623" w:type="dxa"/>
            <w:tcBorders/>
          </w:tcPr>
          <w:p w14:paraId="29BD2BCA">
            <w:pPr>
              <w:pStyle w:val="style0"/>
              <w:rPr/>
            </w:pPr>
            <w:r>
              <w:rPr>
                <w:b w:val="false"/>
                <w:sz w:val="12"/>
              </w:rPr>
              <w:t>Gegentordurchschnitt</w:t>
            </w:r>
          </w:p>
        </w:tc>
        <w:tc>
          <w:tcPr>
            <w:tcW w:w="2623" w:type="dxa"/>
            <w:tcBorders/>
          </w:tcPr>
          <w:p w14:paraId="E49890E6">
            <w:pPr>
              <w:pStyle w:val="style0"/>
              <w:rPr/>
            </w:pPr>
            <w:r>
              <w:rPr>
                <w:b w:val="false"/>
                <w:sz w:val="12"/>
              </w:rPr>
              <w:t>Beschlossen</w:t>
            </w:r>
          </w:p>
        </w:tc>
        <w:tc>
          <w:tcPr>
            <w:tcW w:w="2623" w:type="dxa"/>
            <w:tcBorders/>
          </w:tcPr>
          <w:p w14:paraId="48BE6109">
            <w:pPr>
              <w:pStyle w:val="style0"/>
              <w:rPr/>
            </w:pPr>
            <w:r>
              <w:rPr>
                <w:b w:val="false"/>
                <w:sz w:val="12"/>
              </w:rPr>
              <w:t>Für jeden eingesetzten T/A zählen alle Teamgegentore, unabhängig von individueller Einsatzzeit. Leere Menge = 0,0. Wertung auf 1 Nachkommastelle.</w:t>
            </w:r>
          </w:p>
        </w:tc>
        <w:tc>
          <w:tcPr>
            <w:tcW w:w="2623" w:type="dxa"/>
            <w:tcBorders/>
          </w:tcPr>
          <w:p w14:paraId="1434A99B">
            <w:pPr>
              <w:pStyle w:val="style0"/>
              <w:rPr/>
            </w:pPr>
            <w:r>
              <w:rPr>
                <w:b w:val="false"/>
                <w:sz w:val="12"/>
              </w:rPr>
              <w:t>Monitoring; Regelwerk; Evaluation</w:t>
            </w:r>
          </w:p>
        </w:tc>
        <w:tc>
          <w:tcPr>
            <w:tcW w:w="2623" w:type="dxa"/>
            <w:tcBorders/>
          </w:tcPr>
          <w:p w14:paraId="18A4B89C">
            <w:pPr>
              <w:pStyle w:val="style0"/>
              <w:rPr/>
            </w:pPr>
            <w:r>
              <w:rPr>
                <w:b w:val="false"/>
                <w:sz w:val="12"/>
              </w:rPr>
              <w:t>Leere Menge zusätzlich kennzeichnen.</w:t>
            </w:r>
          </w:p>
        </w:tc>
      </w:tr>
      <w:tr w14:paraId="DEF2DB1F">
        <w:tblPrEx/>
        <w:trPr>
          <w:jc w:val="center"/>
        </w:trPr>
        <w:tc>
          <w:tcPr>
            <w:tcW w:w="2623" w:type="dxa"/>
            <w:tcBorders/>
          </w:tcPr>
          <w:p w14:paraId="0E642D68">
            <w:pPr>
              <w:pStyle w:val="style0"/>
              <w:rPr/>
            </w:pPr>
            <w:r>
              <w:rPr>
                <w:b w:val="false"/>
                <w:sz w:val="12"/>
              </w:rPr>
              <w:t>DEC-008</w:t>
            </w:r>
          </w:p>
        </w:tc>
        <w:tc>
          <w:tcPr>
            <w:tcW w:w="2623" w:type="dxa"/>
            <w:tcBorders/>
          </w:tcPr>
          <w:p w14:paraId="08B5DF02">
            <w:pPr>
              <w:pStyle w:val="style0"/>
              <w:rPr/>
            </w:pPr>
            <w:r>
              <w:rPr>
                <w:b w:val="false"/>
                <w:sz w:val="12"/>
              </w:rPr>
              <w:t>Quellen für Ergebnisdaten</w:t>
            </w:r>
          </w:p>
        </w:tc>
        <w:tc>
          <w:tcPr>
            <w:tcW w:w="2623" w:type="dxa"/>
            <w:tcBorders/>
          </w:tcPr>
          <w:p w14:paraId="6BF82FBD">
            <w:pPr>
              <w:pStyle w:val="style0"/>
              <w:rPr/>
            </w:pPr>
            <w:r>
              <w:rPr>
                <w:b w:val="false"/>
                <w:sz w:val="12"/>
              </w:rPr>
              <w:t>Beschlossen</w:t>
            </w:r>
          </w:p>
        </w:tc>
        <w:tc>
          <w:tcPr>
            <w:tcW w:w="2623" w:type="dxa"/>
            <w:tcBorders/>
          </w:tcPr>
          <w:p w14:paraId="8F569EDD">
            <w:pPr>
              <w:pStyle w:val="style0"/>
              <w:rPr/>
            </w:pPr>
            <w:r>
              <w:rPr>
                <w:b w:val="false"/>
                <w:sz w:val="12"/>
              </w:rPr>
              <w:t>Operative Referenz ist kicker.de; Vorlagen ausschließlich nach kicker. Tore, Vorlagen und Gegentore orientieren sich an den dort ausgewiesenen bzw. offiziellen Spielangaben.</w:t>
            </w:r>
          </w:p>
        </w:tc>
        <w:tc>
          <w:tcPr>
            <w:tcW w:w="2623" w:type="dxa"/>
            <w:tcBorders/>
          </w:tcPr>
          <w:p w14:paraId="25BF4B5C">
            <w:pPr>
              <w:pStyle w:val="style0"/>
              <w:rPr/>
            </w:pPr>
            <w:r>
              <w:rPr>
                <w:b w:val="false"/>
                <w:sz w:val="12"/>
              </w:rPr>
              <w:t>Rohdaten; Kontrollen; Regelwerk</w:t>
            </w:r>
          </w:p>
        </w:tc>
        <w:tc>
          <w:tcPr>
            <w:tcW w:w="2623" w:type="dxa"/>
            <w:tcBorders/>
          </w:tcPr>
          <w:p w14:paraId="1B1DCB04">
            <w:pPr>
              <w:pStyle w:val="style0"/>
              <w:rPr/>
            </w:pPr>
            <w:r>
              <w:rPr>
                <w:b w:val="false"/>
                <w:sz w:val="12"/>
              </w:rPr>
              <w:t>Rechtlich und technisch zulässigen Importweg klären.</w:t>
            </w:r>
          </w:p>
        </w:tc>
      </w:tr>
      <w:tr w14:paraId="4430B0D8">
        <w:tblPrEx/>
        <w:trPr>
          <w:jc w:val="center"/>
        </w:trPr>
        <w:tc>
          <w:tcPr>
            <w:tcW w:w="2623" w:type="dxa"/>
            <w:tcBorders/>
          </w:tcPr>
          <w:p w14:paraId="1EAE5D16">
            <w:pPr>
              <w:pStyle w:val="style0"/>
              <w:rPr/>
            </w:pPr>
            <w:r>
              <w:rPr>
                <w:b w:val="false"/>
                <w:sz w:val="12"/>
              </w:rPr>
              <w:t>DEC-009</w:t>
            </w:r>
          </w:p>
        </w:tc>
        <w:tc>
          <w:tcPr>
            <w:tcW w:w="2623" w:type="dxa"/>
            <w:tcBorders/>
          </w:tcPr>
          <w:p w14:paraId="ADCC5EBB">
            <w:pPr>
              <w:pStyle w:val="style0"/>
              <w:rPr/>
            </w:pPr>
            <w:r>
              <w:rPr>
                <w:b w:val="false"/>
                <w:sz w:val="12"/>
              </w:rPr>
              <w:t>Positionsklassifizierung</w:t>
            </w:r>
          </w:p>
        </w:tc>
        <w:tc>
          <w:tcPr>
            <w:tcW w:w="2623" w:type="dxa"/>
            <w:tcBorders/>
          </w:tcPr>
          <w:p w14:paraId="86C0CF6A">
            <w:pPr>
              <w:pStyle w:val="style0"/>
              <w:rPr/>
            </w:pPr>
            <w:r>
              <w:rPr>
                <w:b w:val="false"/>
                <w:sz w:val="12"/>
              </w:rPr>
              <w:t>Beschlossen</w:t>
            </w:r>
          </w:p>
        </w:tc>
        <w:tc>
          <w:tcPr>
            <w:tcW w:w="2623" w:type="dxa"/>
            <w:tcBorders/>
          </w:tcPr>
          <w:p w14:paraId="894CB09B">
            <w:pPr>
              <w:pStyle w:val="style0"/>
              <w:rPr/>
            </w:pPr>
            <w:r>
              <w:rPr>
                <w:b w:val="false"/>
                <w:sz w:val="12"/>
              </w:rPr>
              <w:t>Saisonanfängliche Position gilt die ganze Saison. Unterjährig neu in die Bundesliga wechselnde Spieler erhalten die kicker-Einstufung.</w:t>
            </w:r>
          </w:p>
        </w:tc>
        <w:tc>
          <w:tcPr>
            <w:tcW w:w="2623" w:type="dxa"/>
            <w:tcBorders/>
          </w:tcPr>
          <w:p w14:paraId="3A4CA0D5">
            <w:pPr>
              <w:pStyle w:val="style0"/>
              <w:rPr/>
            </w:pPr>
            <w:r>
              <w:rPr>
                <w:b w:val="false"/>
                <w:sz w:val="12"/>
              </w:rPr>
              <w:t>SSOT; Rohdaten</w:t>
            </w:r>
          </w:p>
        </w:tc>
        <w:tc>
          <w:tcPr>
            <w:tcW w:w="2623" w:type="dxa"/>
            <w:tcBorders/>
          </w:tcPr>
          <w:p w14:paraId="AD85973F">
            <w:pPr>
              <w:pStyle w:val="style0"/>
              <w:rPr/>
            </w:pPr>
            <w:r>
              <w:rPr>
                <w:b w:val="false"/>
                <w:sz w:val="12"/>
              </w:rPr>
              <w:t>Positionshistorie und Saisonbezug vorsehen.</w:t>
            </w:r>
          </w:p>
        </w:tc>
      </w:tr>
      <w:tr w14:paraId="67E9C990">
        <w:tblPrEx/>
        <w:trPr>
          <w:jc w:val="center"/>
        </w:trPr>
        <w:tc>
          <w:tcPr>
            <w:tcW w:w="2623" w:type="dxa"/>
            <w:tcBorders/>
          </w:tcPr>
          <w:p w14:paraId="1F93A421">
            <w:pPr>
              <w:pStyle w:val="style0"/>
              <w:rPr/>
            </w:pPr>
            <w:r>
              <w:rPr>
                <w:b w:val="false"/>
                <w:sz w:val="12"/>
              </w:rPr>
              <w:t>DEC-010</w:t>
            </w:r>
          </w:p>
        </w:tc>
        <w:tc>
          <w:tcPr>
            <w:tcW w:w="2623" w:type="dxa"/>
            <w:tcBorders/>
          </w:tcPr>
          <w:p w14:paraId="2D481C9F">
            <w:pPr>
              <w:pStyle w:val="style0"/>
              <w:rPr/>
            </w:pPr>
            <w:r>
              <w:rPr>
                <w:b w:val="false"/>
                <w:sz w:val="12"/>
              </w:rPr>
              <w:t>Aufstellungsfrist und Änderungen</w:t>
            </w:r>
          </w:p>
        </w:tc>
        <w:tc>
          <w:tcPr>
            <w:tcW w:w="2623" w:type="dxa"/>
            <w:tcBorders/>
          </w:tcPr>
          <w:p w14:paraId="6EDFA02F">
            <w:pPr>
              <w:pStyle w:val="style0"/>
              <w:rPr/>
            </w:pPr>
            <w:r>
              <w:rPr>
                <w:b w:val="false"/>
                <w:sz w:val="12"/>
              </w:rPr>
              <w:t>Beschlossen</w:t>
            </w:r>
          </w:p>
        </w:tc>
        <w:tc>
          <w:tcPr>
            <w:tcW w:w="2623" w:type="dxa"/>
            <w:tcBorders/>
          </w:tcPr>
          <w:p w14:paraId="49F4D829">
            <w:pPr>
              <w:pStyle w:val="style0"/>
              <w:rPr/>
            </w:pPr>
            <w:r>
              <w:rPr>
                <w:b w:val="false"/>
                <w:sz w:val="12"/>
              </w:rPr>
              <w:t>Vollständige Aufstellung vor erstem Spiel; sonst Vorwochenaufstellung. Änderungen danach nur für Spieler, deren Spiele noch nicht begonnen haben.</w:t>
            </w:r>
          </w:p>
        </w:tc>
        <w:tc>
          <w:tcPr>
            <w:tcW w:w="2623" w:type="dxa"/>
            <w:tcBorders/>
          </w:tcPr>
          <w:p w14:paraId="E3BFE9C9">
            <w:pPr>
              <w:pStyle w:val="style0"/>
              <w:rPr/>
            </w:pPr>
            <w:r>
              <w:rPr>
                <w:b w:val="false"/>
                <w:sz w:val="12"/>
              </w:rPr>
              <w:t>Monitoring; Erinnerungen; Decision Engine</w:t>
            </w:r>
          </w:p>
        </w:tc>
        <w:tc>
          <w:tcPr>
            <w:tcW w:w="2623" w:type="dxa"/>
            <w:tcBorders/>
          </w:tcPr>
          <w:p w14:paraId="F8E06FF1">
            <w:pPr>
              <w:pStyle w:val="style0"/>
              <w:rPr/>
            </w:pPr>
            <w:r>
              <w:rPr>
                <w:b w:val="false"/>
                <w:sz w:val="12"/>
              </w:rPr>
              <w:t>Deadline- und Lock-Logik sowie Erinnerungsfeature vorsehen.</w:t>
            </w:r>
          </w:p>
        </w:tc>
      </w:tr>
      <w:tr w14:paraId="67BF8113">
        <w:tblPrEx/>
        <w:trPr>
          <w:jc w:val="center"/>
        </w:trPr>
        <w:tc>
          <w:tcPr>
            <w:tcW w:w="2623" w:type="dxa"/>
            <w:tcBorders/>
          </w:tcPr>
          <w:p w14:paraId="C5D1854D">
            <w:pPr>
              <w:pStyle w:val="style0"/>
              <w:rPr/>
            </w:pPr>
            <w:r>
              <w:rPr>
                <w:b w:val="false"/>
                <w:sz w:val="12"/>
              </w:rPr>
              <w:t>DEC-011</w:t>
            </w:r>
          </w:p>
        </w:tc>
        <w:tc>
          <w:tcPr>
            <w:tcW w:w="2623" w:type="dxa"/>
            <w:tcBorders/>
          </w:tcPr>
          <w:p w14:paraId="6F41D790">
            <w:pPr>
              <w:pStyle w:val="style0"/>
              <w:rPr/>
            </w:pPr>
            <w:r>
              <w:rPr>
                <w:b w:val="false"/>
                <w:sz w:val="12"/>
              </w:rPr>
              <w:t>Monitoringumfang</w:t>
            </w:r>
          </w:p>
        </w:tc>
        <w:tc>
          <w:tcPr>
            <w:tcW w:w="2623" w:type="dxa"/>
            <w:tcBorders/>
          </w:tcPr>
          <w:p w14:paraId="20DBD9BE">
            <w:pPr>
              <w:pStyle w:val="style0"/>
              <w:rPr/>
            </w:pPr>
            <w:r>
              <w:rPr>
                <w:b w:val="false"/>
                <w:sz w:val="12"/>
              </w:rPr>
              <w:t>Beschlossen</w:t>
            </w:r>
          </w:p>
        </w:tc>
        <w:tc>
          <w:tcPr>
            <w:tcW w:w="2623" w:type="dxa"/>
            <w:tcBorders/>
          </w:tcPr>
          <w:p w14:paraId="F307FFC5">
            <w:pPr>
              <w:pStyle w:val="style0"/>
              <w:rPr/>
            </w:pPr>
            <w:r>
              <w:rPr>
                <w:b w:val="false"/>
                <w:sz w:val="12"/>
              </w:rPr>
              <w:t>Quantitatives Monitoring aller Bundesligaspieler; vertieftes Monitoring aller Teilnehmerkader; qualitative Detailanalyse primär eigener Kader und konkrete Kandidaten.</w:t>
            </w:r>
          </w:p>
        </w:tc>
        <w:tc>
          <w:tcPr>
            <w:tcW w:w="2623" w:type="dxa"/>
            <w:tcBorders/>
          </w:tcPr>
          <w:p w14:paraId="BE738444">
            <w:pPr>
              <w:pStyle w:val="style0"/>
              <w:rPr/>
            </w:pPr>
            <w:r>
              <w:rPr>
                <w:b w:val="false"/>
                <w:sz w:val="12"/>
              </w:rPr>
              <w:t>Rohdaten; Monitoring; Knowledge Base</w:t>
            </w:r>
          </w:p>
        </w:tc>
        <w:tc>
          <w:tcPr>
            <w:tcW w:w="2623" w:type="dxa"/>
            <w:tcBorders/>
          </w:tcPr>
          <w:p w14:paraId="E2F48017">
            <w:pPr>
              <w:pStyle w:val="style0"/>
              <w:rPr/>
            </w:pPr>
            <w:r>
              <w:rPr>
                <w:b w:val="false"/>
                <w:sz w:val="12"/>
              </w:rPr>
              <w:t>Pilotmessung für Aufwand und Fehlerquote durchführen.</w:t>
            </w:r>
          </w:p>
        </w:tc>
      </w:tr>
      <w:tr w14:paraId="CF2C5996">
        <w:tblPrEx/>
        <w:trPr>
          <w:jc w:val="center"/>
        </w:trPr>
        <w:tc>
          <w:tcPr>
            <w:tcW w:w="2623" w:type="dxa"/>
            <w:tcBorders/>
          </w:tcPr>
          <w:p w14:paraId="95A99DEB">
            <w:pPr>
              <w:pStyle w:val="style0"/>
              <w:rPr/>
            </w:pPr>
            <w:r>
              <w:rPr>
                <w:b w:val="false"/>
                <w:sz w:val="12"/>
              </w:rPr>
              <w:t>DEC-012</w:t>
            </w:r>
          </w:p>
        </w:tc>
        <w:tc>
          <w:tcPr>
            <w:tcW w:w="2623" w:type="dxa"/>
            <w:tcBorders/>
          </w:tcPr>
          <w:p w14:paraId="A9959796">
            <w:pPr>
              <w:pStyle w:val="style0"/>
              <w:rPr/>
            </w:pPr>
            <w:r>
              <w:rPr>
                <w:b w:val="false"/>
                <w:sz w:val="12"/>
              </w:rPr>
              <w:t>Nachvollziehbarkeit</w:t>
            </w:r>
          </w:p>
        </w:tc>
        <w:tc>
          <w:tcPr>
            <w:tcW w:w="2623" w:type="dxa"/>
            <w:tcBorders/>
          </w:tcPr>
          <w:p w14:paraId="4E84977A">
            <w:pPr>
              <w:pStyle w:val="style0"/>
              <w:rPr/>
            </w:pPr>
            <w:r>
              <w:rPr>
                <w:b w:val="false"/>
                <w:sz w:val="12"/>
              </w:rPr>
              <w:t>Beschlossen</w:t>
            </w:r>
          </w:p>
        </w:tc>
        <w:tc>
          <w:tcPr>
            <w:tcW w:w="2623" w:type="dxa"/>
            <w:tcBorders/>
          </w:tcPr>
          <w:p w14:paraId="E43CADB0">
            <w:pPr>
              <w:pStyle w:val="style0"/>
              <w:rPr/>
            </w:pPr>
            <w:r>
              <w:rPr>
                <w:b w:val="false"/>
                <w:sz w:val="12"/>
              </w:rPr>
              <w:t>Jede Empfehlung wird mit Datenstand, SSOT-Version, Modellversion, Gewichtungen, Entscheidung und Overrides als unveränderlicher Snapshot gespeichert.</w:t>
            </w:r>
          </w:p>
        </w:tc>
        <w:tc>
          <w:tcPr>
            <w:tcW w:w="2623" w:type="dxa"/>
            <w:tcBorders/>
          </w:tcPr>
          <w:p w14:paraId="990E1BEA">
            <w:pPr>
              <w:pStyle w:val="style0"/>
              <w:rPr/>
            </w:pPr>
            <w:r>
              <w:rPr>
                <w:b w:val="false"/>
                <w:sz w:val="12"/>
              </w:rPr>
              <w:t>Alle Module</w:t>
            </w:r>
          </w:p>
        </w:tc>
        <w:tc>
          <w:tcPr>
            <w:tcW w:w="2623" w:type="dxa"/>
            <w:tcBorders/>
          </w:tcPr>
          <w:p w14:paraId="CF52658A">
            <w:pPr>
              <w:pStyle w:val="style0"/>
              <w:rPr/>
            </w:pPr>
            <w:r>
              <w:rPr>
                <w:b w:val="false"/>
                <w:sz w:val="12"/>
              </w:rPr>
              <w:t>Snapshot-Schema und Versionierungsregeln definieren.</w:t>
            </w:r>
          </w:p>
        </w:tc>
      </w:tr>
      <w:tr w14:paraId="C5390199">
        <w:tblPrEx/>
        <w:trPr>
          <w:jc w:val="center"/>
        </w:trPr>
        <w:tc>
          <w:tcPr>
            <w:tcW w:w="2623" w:type="dxa"/>
            <w:tcBorders/>
          </w:tcPr>
          <w:p w14:paraId="15777CEC">
            <w:pPr>
              <w:pStyle w:val="style0"/>
              <w:rPr/>
            </w:pPr>
            <w:r>
              <w:rPr>
                <w:b w:val="false"/>
                <w:sz w:val="12"/>
              </w:rPr>
              <w:t>DEC-013</w:t>
            </w:r>
          </w:p>
        </w:tc>
        <w:tc>
          <w:tcPr>
            <w:tcW w:w="2623" w:type="dxa"/>
            <w:tcBorders/>
          </w:tcPr>
          <w:p w14:paraId="CFCC9737">
            <w:pPr>
              <w:pStyle w:val="style0"/>
              <w:rPr/>
            </w:pPr>
            <w:r>
              <w:rPr>
                <w:b w:val="false"/>
                <w:sz w:val="12"/>
              </w:rPr>
              <w:t>Trennung der Bewertungsdimensionen</w:t>
            </w:r>
          </w:p>
        </w:tc>
        <w:tc>
          <w:tcPr>
            <w:tcW w:w="2623" w:type="dxa"/>
            <w:tcBorders/>
          </w:tcPr>
          <w:p w14:paraId="69D584CF">
            <w:pPr>
              <w:pStyle w:val="style0"/>
              <w:rPr/>
            </w:pPr>
            <w:r>
              <w:rPr>
                <w:b w:val="false"/>
                <w:sz w:val="12"/>
              </w:rPr>
              <w:t>Beschlossen</w:t>
            </w:r>
          </w:p>
        </w:tc>
        <w:tc>
          <w:tcPr>
            <w:tcW w:w="2623" w:type="dxa"/>
            <w:tcBorders/>
          </w:tcPr>
          <w:p w14:paraId="2737CE79">
            <w:pPr>
              <w:pStyle w:val="style0"/>
              <w:rPr/>
            </w:pPr>
            <w:r>
              <w:rPr>
                <w:b w:val="false"/>
                <w:sz w:val="12"/>
              </w:rPr>
              <w:t>Historische Leistung, konkreter Spieltagskontext und aufstellungsabhängiger Nutzen müssen im Modell unterscheidbar und nachvollziehbar bleiben. Ob hierfür mehrere Score-Ebenen erforderlich sind, wird im Fach-Chat anhand von Datenmodell und Berechnungslogik geprüft.</w:t>
            </w:r>
          </w:p>
        </w:tc>
        <w:tc>
          <w:tcPr>
            <w:tcW w:w="2623" w:type="dxa"/>
            <w:tcBorders/>
          </w:tcPr>
          <w:p w14:paraId="A70CC657">
            <w:pPr>
              <w:pStyle w:val="style0"/>
              <w:rPr/>
            </w:pPr>
            <w:r>
              <w:rPr>
                <w:b w:val="false"/>
                <w:sz w:val="12"/>
              </w:rPr>
              <w:t>Monitoring; Decision Engine; Datenmodell; Evaluation</w:t>
            </w:r>
          </w:p>
        </w:tc>
        <w:tc>
          <w:tcPr>
            <w:tcW w:w="2623" w:type="dxa"/>
            <w:tcBorders/>
          </w:tcPr>
          <w:p w14:paraId="AB82B4D5">
            <w:pPr>
              <w:pStyle w:val="style0"/>
              <w:rPr/>
            </w:pPr>
            <w:r>
              <w:rPr>
                <w:b w:val="false"/>
                <w:sz w:val="12"/>
              </w:rPr>
              <w:t>Fach-Chat „Erstellung Monitoring-Datei“ prüft Notwendigkeit, Bezeichnungen, Abhängigkeiten und maßgebliche Verwendung möglicher Score-Ebenen; Ergebnis an Projektsteuerung übergeben.</w:t>
            </w:r>
          </w:p>
        </w:tc>
      </w:tr>
      <w:tr w14:paraId="4299B93E">
        <w:tblPrEx/>
        <w:trPr>
          <w:jc w:val="center"/>
        </w:trPr>
        <w:tc>
          <w:tcPr>
            <w:tcW w:w="2623" w:type="dxa"/>
            <w:tcBorders/>
          </w:tcPr>
          <w:p w14:paraId="A9419BE4">
            <w:pPr>
              <w:pStyle w:val="style0"/>
              <w:rPr/>
            </w:pPr>
            <w:r>
              <w:rPr>
                <w:b w:val="false"/>
                <w:sz w:val="12"/>
              </w:rPr>
              <w:t>DEC-014</w:t>
            </w:r>
          </w:p>
        </w:tc>
        <w:tc>
          <w:tcPr>
            <w:tcW w:w="2623" w:type="dxa"/>
            <w:tcBorders/>
          </w:tcPr>
          <w:p w14:paraId="5A91E88E">
            <w:pPr>
              <w:pStyle w:val="style0"/>
              <w:rPr/>
            </w:pPr>
            <w:r>
              <w:rPr>
                <w:b w:val="false"/>
                <w:sz w:val="12"/>
              </w:rPr>
              <w:t>Vollständige Aufstellungsoptimierung und Ranking-Baseline</w:t>
            </w:r>
          </w:p>
        </w:tc>
        <w:tc>
          <w:tcPr>
            <w:tcW w:w="2623" w:type="dxa"/>
            <w:tcBorders/>
          </w:tcPr>
          <w:p w14:paraId="774229AE">
            <w:pPr>
              <w:pStyle w:val="style0"/>
              <w:rPr/>
            </w:pPr>
            <w:r>
              <w:rPr>
                <w:b w:val="false"/>
                <w:sz w:val="12"/>
              </w:rPr>
              <w:t>Beschlossen</w:t>
            </w:r>
          </w:p>
        </w:tc>
        <w:tc>
          <w:tcPr>
            <w:tcW w:w="2623" w:type="dxa"/>
            <w:tcBorders/>
          </w:tcPr>
          <w:p w14:paraId="E65CEDE8">
            <w:pPr>
              <w:pStyle w:val="style0"/>
              <w:rPr/>
            </w:pPr>
            <w:r>
              <w:rPr>
                <w:b w:val="false"/>
                <w:sz w:val="12"/>
              </w:rPr>
              <w:t>Die fachlich maßgebliche Empfehlung bewertet vollständige, regelkonforme Aufstellungsvarianten einschließlich der vier positionsgetreuen Ersatzspieler. Ein positionsweises Ranking der individuellen Spieltagsprognosen wird zusätzlich als transparente Baseline, Kontrollansicht und technische Zwischen- beziehungsweise Rückfalllösung geführt.</w:t>
            </w:r>
          </w:p>
        </w:tc>
        <w:tc>
          <w:tcPr>
            <w:tcW w:w="2623" w:type="dxa"/>
            <w:tcBorders/>
          </w:tcPr>
          <w:p w14:paraId="98585C36">
            <w:pPr>
              <w:pStyle w:val="style0"/>
              <w:rPr/>
            </w:pPr>
            <w:r>
              <w:rPr>
                <w:b w:val="false"/>
                <w:sz w:val="12"/>
              </w:rPr>
              <w:t>Monitoring; Decision Engine; Evaluation; Kontrollmechanismen</w:t>
            </w:r>
          </w:p>
        </w:tc>
        <w:tc>
          <w:tcPr>
            <w:tcW w:w="2623" w:type="dxa"/>
            <w:tcBorders/>
          </w:tcPr>
          <w:p w14:paraId="746DF963">
            <w:pPr>
              <w:pStyle w:val="style0"/>
              <w:rPr/>
            </w:pPr>
            <w:r>
              <w:rPr>
                <w:b w:val="false"/>
                <w:sz w:val="12"/>
              </w:rPr>
              <w:t>Fach-Chat „Erstellung Monitoring-Datei“ definiert Variantenbildung, Kandidatenbegrenzung und technische Umsetzungsstufen. Mehrwert der Variantenoptimierung gegenüber der Ranking-Baseline evaluieren.</w:t>
            </w:r>
          </w:p>
        </w:tc>
      </w:tr>
      <w:tr w14:paraId="A9EB1ADA">
        <w:tblPrEx/>
        <w:trPr>
          <w:jc w:val="center"/>
        </w:trPr>
        <w:tc>
          <w:tcPr>
            <w:tcW w:w="2623" w:type="dxa"/>
            <w:tcBorders/>
          </w:tcPr>
          <w:p w14:paraId="7A6768F1">
            <w:pPr>
              <w:pStyle w:val="style0"/>
              <w:rPr/>
            </w:pPr>
            <w:r>
              <w:rPr>
                <w:b w:val="false"/>
                <w:sz w:val="12"/>
              </w:rPr>
              <w:t>DEC-015</w:t>
            </w:r>
          </w:p>
        </w:tc>
        <w:tc>
          <w:tcPr>
            <w:tcW w:w="2623" w:type="dxa"/>
            <w:tcBorders/>
          </w:tcPr>
          <w:p w14:paraId="226ECD8E">
            <w:pPr>
              <w:pStyle w:val="style0"/>
              <w:rPr/>
            </w:pPr>
            <w:r>
              <w:rPr>
                <w:b w:val="false"/>
                <w:sz w:val="12"/>
              </w:rPr>
              <w:t>Umgang mit fehlenden Daten</w:t>
            </w:r>
          </w:p>
        </w:tc>
        <w:tc>
          <w:tcPr>
            <w:tcW w:w="2623" w:type="dxa"/>
            <w:tcBorders/>
          </w:tcPr>
          <w:p w14:paraId="B906044E">
            <w:pPr>
              <w:pStyle w:val="style0"/>
              <w:rPr/>
            </w:pPr>
            <w:r>
              <w:rPr>
                <w:b w:val="false"/>
                <w:sz w:val="12"/>
              </w:rPr>
              <w:t>Beschlossen</w:t>
            </w:r>
          </w:p>
        </w:tc>
        <w:tc>
          <w:tcPr>
            <w:tcW w:w="2623" w:type="dxa"/>
            <w:tcBorders/>
          </w:tcPr>
          <w:p w14:paraId="D982AA1B">
            <w:pPr>
              <w:pStyle w:val="style0"/>
              <w:rPr/>
            </w:pPr>
            <w:r>
              <w:rPr>
                <w:b w:val="false"/>
                <w:sz w:val="12"/>
              </w:rPr>
              <w:t>Fehlende Daten dürfen nicht pauschal als null, ng, oN oder als sonstiger tatsächlicher Wert interpretiert werden. Fehlende SSOT-Stammdaten blockieren die reguläre Verarbeitung. Fehlende tatsächliche Spieltagsdaten werden nicht geschätzt; die Auswertung bleibt vorläufig oder unvollständig. Fehlende ergänzende Prognosedaten dürfen nur mit vorab definierten, dokumentierten neutralen Standardannahmen verarbeitet werden; Datenlücke und reduzierte Prognosesicherheit müssen sichtbar bleiben. Datenlücken sind als kritisch oder nichtkritisch zu klassifizieren.</w:t>
            </w:r>
          </w:p>
        </w:tc>
        <w:tc>
          <w:tcPr>
            <w:tcW w:w="2623" w:type="dxa"/>
            <w:tcBorders/>
          </w:tcPr>
          <w:p w14:paraId="E5C99FA1">
            <w:pPr>
              <w:pStyle w:val="style0"/>
              <w:rPr/>
            </w:pPr>
            <w:r>
              <w:rPr>
                <w:b w:val="false"/>
                <w:sz w:val="12"/>
              </w:rPr>
              <w:t>SSOT; Rohdaten; Monitoring; Decision Engine; Evaluation; Kontrollmechanismen</w:t>
            </w:r>
          </w:p>
        </w:tc>
        <w:tc>
          <w:tcPr>
            <w:tcW w:w="2623" w:type="dxa"/>
            <w:tcBorders/>
          </w:tcPr>
          <w:p w14:paraId="CE5150B7">
            <w:pPr>
              <w:pStyle w:val="style0"/>
              <w:rPr/>
            </w:pPr>
            <w:r>
              <w:rPr>
                <w:b w:val="false"/>
                <w:sz w:val="12"/>
              </w:rPr>
              <w:t>Fach-Chats klassifizieren Datenfelder und Lücken, definieren zulässige Standardannahmen, Warnstufen, Vollständigkeitsstatus und Freigaberegeln.</w:t>
            </w:r>
          </w:p>
        </w:tc>
      </w:tr>
      <w:tr w14:paraId="367610D8">
        <w:tblPrEx/>
        <w:trPr>
          <w:jc w:val="center"/>
        </w:trPr>
        <w:tc>
          <w:tcPr>
            <w:tcW w:w="2623" w:type="dxa"/>
            <w:tcBorders/>
          </w:tcPr>
          <w:p w14:paraId="AE4E1B30">
            <w:pPr>
              <w:pStyle w:val="style0"/>
              <w:rPr/>
            </w:pPr>
            <w:r>
              <w:rPr>
                <w:b w:val="false"/>
                <w:sz w:val="12"/>
              </w:rPr>
              <w:t>DEC-016</w:t>
            </w:r>
          </w:p>
        </w:tc>
        <w:tc>
          <w:tcPr>
            <w:tcW w:w="2623" w:type="dxa"/>
            <w:tcBorders/>
          </w:tcPr>
          <w:p w14:paraId="454C37FC">
            <w:pPr>
              <w:pStyle w:val="style0"/>
              <w:rPr/>
            </w:pPr>
            <w:r>
              <w:rPr>
                <w:b w:val="false"/>
                <w:sz w:val="12"/>
              </w:rPr>
              <w:t>Umgang mit widersprüchlichen Quellen</w:t>
            </w:r>
          </w:p>
        </w:tc>
        <w:tc>
          <w:tcPr>
            <w:tcW w:w="2623" w:type="dxa"/>
            <w:tcBorders/>
          </w:tcPr>
          <w:p w14:paraId="1376F639">
            <w:pPr>
              <w:pStyle w:val="style0"/>
              <w:rPr/>
            </w:pPr>
            <w:r>
              <w:rPr>
                <w:b w:val="false"/>
                <w:sz w:val="12"/>
              </w:rPr>
              <w:t>Beschlossen</w:t>
            </w:r>
          </w:p>
        </w:tc>
        <w:tc>
          <w:tcPr>
            <w:tcW w:w="2623" w:type="dxa"/>
            <w:tcBorders/>
          </w:tcPr>
          <w:p w14:paraId="F612AD35">
            <w:pPr>
              <w:pStyle w:val="style0"/>
              <w:rPr/>
            </w:pPr>
            <w:r>
              <w:rPr>
                <w:b w:val="false"/>
                <w:sz w:val="12"/>
              </w:rPr>
              <w:t>Für verbindliche Stammdaten und tatsächliche Spieltagswerte gelten die festgelegten Quellenhoheiten; andere Quellen dürfen sie nicht überschreiben. Qualitative Prognoseinformationen werden nach Aktualität, Sachnähe, Eindeutigkeit, Verbindlichkeit, Zuverlässigkeit und Unabhängigkeit bewertet. Traineraussagen haben nur Vorrang, wenn sie hinreichend aktuell, konkret und eindeutig sind. Konflikte werden dokumentiert und als bestätigt, wahrscheinlich, widersprüchlich, unbestätigt oder veraltet gekennzeichnet. In Zweifelsfällen ist eine abschließende Manager-Entscheidung als dokumentierter Override einzuholen.</w:t>
            </w:r>
          </w:p>
        </w:tc>
        <w:tc>
          <w:tcPr>
            <w:tcW w:w="2623" w:type="dxa"/>
            <w:tcBorders/>
          </w:tcPr>
          <w:p w14:paraId="41F44E8B">
            <w:pPr>
              <w:pStyle w:val="style0"/>
              <w:rPr/>
            </w:pPr>
            <w:r>
              <w:rPr>
                <w:b w:val="false"/>
                <w:sz w:val="12"/>
              </w:rPr>
              <w:t>Rohdaten; Knowledge Base; Monitoring; Decision Engine; Kontrollmechanismen; Evaluation</w:t>
            </w:r>
          </w:p>
        </w:tc>
        <w:tc>
          <w:tcPr>
            <w:tcW w:w="2623" w:type="dxa"/>
            <w:tcBorders/>
          </w:tcPr>
          <w:p w14:paraId="D52532A1">
            <w:pPr>
              <w:pStyle w:val="style0"/>
              <w:rPr/>
            </w:pPr>
            <w:r>
              <w:rPr>
                <w:b w:val="false"/>
                <w:sz w:val="12"/>
              </w:rPr>
              <w:t>Bewertungsmatrix, Konfliktstatus und Auswirkungen auf die Prognosesicherheit definieren. Manager-Overrides mit Quellenlage, Begründung, Zeitpunkt und erwarteter Auswirkung dokumentieren und evaluieren.</w:t>
            </w:r>
          </w:p>
        </w:tc>
      </w:tr>
      <w:tr w14:paraId="D2BB59C1">
        <w:tblPrEx/>
        <w:trPr>
          <w:jc w:val="center"/>
        </w:trPr>
        <w:tc>
          <w:tcPr>
            <w:tcW w:w="2623" w:type="dxa"/>
            <w:tcBorders/>
          </w:tcPr>
          <w:p w14:paraId="F78C741A">
            <w:pPr>
              <w:pStyle w:val="style0"/>
              <w:rPr/>
            </w:pPr>
            <w:r>
              <w:rPr>
                <w:b w:val="false"/>
                <w:sz w:val="12"/>
              </w:rPr>
              <w:t>DEC-017</w:t>
            </w:r>
          </w:p>
        </w:tc>
        <w:tc>
          <w:tcPr>
            <w:tcW w:w="2623" w:type="dxa"/>
            <w:tcBorders/>
          </w:tcPr>
          <w:p w14:paraId="4873B722">
            <w:pPr>
              <w:pStyle w:val="style0"/>
              <w:rPr/>
            </w:pPr>
            <w:r>
              <w:rPr>
                <w:b w:val="false"/>
                <w:sz w:val="12"/>
              </w:rPr>
              <w:t>Rolle und Zulässigkeit des Manager Override</w:t>
            </w:r>
          </w:p>
        </w:tc>
        <w:tc>
          <w:tcPr>
            <w:tcW w:w="2623" w:type="dxa"/>
            <w:tcBorders/>
          </w:tcPr>
          <w:p w14:paraId="FBCB8C2D">
            <w:pPr>
              <w:pStyle w:val="style0"/>
              <w:rPr/>
            </w:pPr>
            <w:r>
              <w:rPr>
                <w:b w:val="false"/>
                <w:sz w:val="12"/>
              </w:rPr>
              <w:t>Beschlossen</w:t>
            </w:r>
          </w:p>
        </w:tc>
        <w:tc>
          <w:tcPr>
            <w:tcW w:w="2623" w:type="dxa"/>
            <w:tcBorders/>
          </w:tcPr>
          <w:p w14:paraId="83991ACC">
            <w:pPr>
              <w:pStyle w:val="style0"/>
              <w:rPr/>
            </w:pPr>
            <w:r>
              <w:rPr>
                <w:b w:val="false"/>
                <w:sz w:val="12"/>
              </w:rPr>
              <w:t>Das Modell erstellt einen nachvollziehbaren Vorschlag, der gegebenenfalls mit dem Manager diskutiert wird. Die abschließende Entscheidung trifft stets der Manager. Der Manager darf jederzeit vollständig oder teilweise von der Modellempfehlung abweichen. Eine Begründung ist für die Zulässigkeit oder Wirksamkeit des Overrides nicht erforderlich. Das System soll die Gründe erfragen und dokumentierbar machen; zulässig bleiben ausdrücklich auch Bauchgefühl, persönliche Risikoeinschätzung oder keine nähere Begründung. Modellempfehlung, wesentliche Argumente einer gegebenenfalls geführten Diskussion und abschließende Managerentscheidung sind getrennt, versioniert und unveränderbar zu speichern. Der ursprüngliche Modell-Snapshot darf durch den Override nicht überschrieben werden. Vorschlag, Diskussion und Entscheidung werden nach dem Spieltag sowie saisonübergreifend getrennt evaluiert. Modellanpassungen erfolgen nicht aufgrund einzelner erfolgreicher oder erfolgloser Overrides, sondern erst bei nachvollziehbarem systematischem Änderungsbedarf.</w:t>
            </w:r>
          </w:p>
        </w:tc>
        <w:tc>
          <w:tcPr>
            <w:tcW w:w="2623" w:type="dxa"/>
            <w:tcBorders/>
          </w:tcPr>
          <w:p w14:paraId="3665A7A3">
            <w:pPr>
              <w:pStyle w:val="style0"/>
              <w:rPr/>
            </w:pPr>
            <w:r>
              <w:rPr>
                <w:b w:val="false"/>
                <w:sz w:val="12"/>
              </w:rPr>
              <w:t>Decision Engine; Monitoring; Evaluation; Projektdokumentation; Kontrollmechanismen</w:t>
            </w:r>
          </w:p>
        </w:tc>
        <w:tc>
          <w:tcPr>
            <w:tcW w:w="2623" w:type="dxa"/>
            <w:tcBorders/>
          </w:tcPr>
          <w:p w14:paraId="F26AF768">
            <w:pPr>
              <w:pStyle w:val="style0"/>
              <w:rPr/>
            </w:pPr>
            <w:r>
              <w:rPr>
                <w:b w:val="false"/>
                <w:sz w:val="12"/>
              </w:rPr>
              <w:t>Fach-Chats definieren Eingabemaske, freiwillige Begründungskategorien, Diskussionsprotokoll, Snapshot-Struktur und Evaluationslogik. Die Dokumentation muss auch den Status „keine nähere Begründung“ zulassen.</w:t>
            </w:r>
          </w:p>
        </w:tc>
      </w:tr>
      <w:tr w14:paraId="F05BB493">
        <w:tblPrEx/>
        <w:trPr>
          <w:jc w:val="center"/>
        </w:trPr>
        <w:tc>
          <w:tcPr>
            <w:tcW w:w="2623" w:type="dxa"/>
            <w:tcBorders/>
          </w:tcPr>
          <w:p w14:paraId="31E89521">
            <w:pPr>
              <w:pStyle w:val="style0"/>
              <w:rPr/>
            </w:pPr>
            <w:r>
              <w:rPr>
                <w:b w:val="false"/>
                <w:sz w:val="12"/>
              </w:rPr>
              <w:t>DEC-018</w:t>
            </w:r>
          </w:p>
        </w:tc>
        <w:tc>
          <w:tcPr>
            <w:tcW w:w="2623" w:type="dxa"/>
            <w:tcBorders/>
          </w:tcPr>
          <w:p w14:paraId="AB325047">
            <w:pPr>
              <w:pStyle w:val="style0"/>
              <w:rPr/>
            </w:pPr>
            <w:r>
              <w:rPr>
                <w:b w:val="false"/>
                <w:sz w:val="12"/>
              </w:rPr>
              <w:t>Vergleichsmaßstab der Spieltagsevaluation</w:t>
            </w:r>
          </w:p>
        </w:tc>
        <w:tc>
          <w:tcPr>
            <w:tcW w:w="2623" w:type="dxa"/>
            <w:tcBorders/>
          </w:tcPr>
          <w:p w14:paraId="99BBAD32">
            <w:pPr>
              <w:pStyle w:val="style0"/>
              <w:rPr/>
            </w:pPr>
            <w:r>
              <w:rPr>
                <w:b w:val="false"/>
                <w:sz w:val="12"/>
              </w:rPr>
              <w:t>Beschlossen</w:t>
            </w:r>
          </w:p>
        </w:tc>
        <w:tc>
          <w:tcPr>
            <w:tcW w:w="2623" w:type="dxa"/>
            <w:tcBorders/>
          </w:tcPr>
          <w:p w14:paraId="1DA513A2">
            <w:pPr>
              <w:pStyle w:val="style0"/>
              <w:rPr/>
            </w:pPr>
            <w:r>
              <w:rPr>
                <w:b w:val="false"/>
                <w:sz w:val="12"/>
              </w:rPr>
              <w:t>Die Evaluation unterscheidet strikt zwischen Ergebnisqualität, Prognosequalität und Entscheidungsqualität. Modellempfehlung und tatsächliche Manageraufstellung werden anhand ihrer tatsächlich erzielten Kategoriewerte, Kategorienpunkte und Gesamtpunkte verglichen. Zusätzlich wird für jeden Teilnehmer rückblickend die Ex-post-Optimal-XI ermittelt: diejenige Startelf in der Formation 1-4-4-2, die aus dem zum damaligen Entscheidungszeitpunkt verfügbaren Kader unter Verwendung der tatsächlichen Spieltagswerte die höchste Gesamtpunktzahl erzielt hätte. Spieler mit ng werden dabei grundsätzlich nicht berücksichtigt, sofern in der jeweiligen Positionsgruppe genügend tatsächlich eingesetzte Spieler verfügbar waren. Die Ex-post-Optimal-XI wird ohne Ersatzbank berechnet und beschreibt ausschließlich das theoretisch maximal erreichbare Ergebnis der ersten XI bei vollständigem Wissen über den Spieltag. Optional kann getrennt eine Ex-post-optimale vollständige Einreichung aus Startelf und vier positionsgetreuen Ersatzspielern berechnet werden, um Ersatzbankqualität und Absicherung gegen ng zu analysieren. Die Ex-post-Auswertung bewertet nur das Ergebnis, nicht die Qualität der damaligen Begründung. Modellempfehlung und Managerentscheidung sind deshalb zusätzlich anhand des damaligen Informationsstands im Einzelfall zu beurteilen. Dabei ist zwischen gut oder schwach begründeten Entscheidungen mit jeweils gutem oder ungünstigem Ergebnis zu unterscheiden. Eine vollständig automatische Bewertung der Begründungsqualität ist nicht vorgesehen; die Zuordnung wird diskutiert und nachvollziehbar dokumentiert.</w:t>
            </w:r>
          </w:p>
        </w:tc>
        <w:tc>
          <w:tcPr>
            <w:tcW w:w="2623" w:type="dxa"/>
            <w:tcBorders/>
          </w:tcPr>
          <w:p w14:paraId="0AECFED3">
            <w:pPr>
              <w:pStyle w:val="style0"/>
              <w:rPr/>
            </w:pPr>
            <w:r>
              <w:rPr>
                <w:b w:val="false"/>
                <w:sz w:val="12"/>
              </w:rPr>
              <w:t>Evaluation; Decision Engine; Monitoring; Projektdokumentation</w:t>
            </w:r>
          </w:p>
        </w:tc>
        <w:tc>
          <w:tcPr>
            <w:tcW w:w="2623" w:type="dxa"/>
            <w:tcBorders/>
          </w:tcPr>
          <w:p w14:paraId="1C2F6198">
            <w:pPr>
              <w:pStyle w:val="style0"/>
              <w:rPr/>
            </w:pPr>
            <w:r>
              <w:rPr>
                <w:b w:val="false"/>
                <w:sz w:val="12"/>
              </w:rPr>
              <w:t>Fach-Chats definieren Berechnung der Ex-post-Optimal-XI, optionale Berechnung der vollständigen Einreichung, Bewertungsmaßstäbe für Ergebnis-, Prognose- und Entscheidungsqualität sowie das Verfahren der dokumentierten Einzelfalldiskussion.</w:t>
            </w:r>
          </w:p>
        </w:tc>
      </w:tr>
      <w:tr w14:paraId="0088A58B">
        <w:tblPrEx/>
        <w:trPr>
          <w:jc w:val="center"/>
        </w:trPr>
        <w:tc>
          <w:tcPr>
            <w:tcW w:w="2623" w:type="dxa"/>
            <w:tcBorders/>
          </w:tcPr>
          <w:p w14:paraId="C6A5F1F2">
            <w:pPr>
              <w:pStyle w:val="style0"/>
              <w:rPr/>
            </w:pPr>
            <w:r>
              <w:rPr>
                <w:b w:val="false"/>
                <w:sz w:val="12"/>
              </w:rPr>
              <w:t>DEC-019</w:t>
            </w:r>
          </w:p>
        </w:tc>
        <w:tc>
          <w:tcPr>
            <w:tcW w:w="2623" w:type="dxa"/>
            <w:tcBorders/>
          </w:tcPr>
          <w:p w14:paraId="4E9151DE">
            <w:pPr>
              <w:pStyle w:val="style0"/>
              <w:rPr/>
            </w:pPr>
            <w:r>
              <w:rPr>
                <w:b w:val="false"/>
                <w:sz w:val="12"/>
              </w:rPr>
              <w:t>Private Nutzung, Datenspeicherung und Quellenherkunft</w:t>
            </w:r>
          </w:p>
        </w:tc>
        <w:tc>
          <w:tcPr>
            <w:tcW w:w="2623" w:type="dxa"/>
            <w:tcBorders/>
          </w:tcPr>
          <w:p w14:paraId="27BBFB3A">
            <w:pPr>
              <w:pStyle w:val="style0"/>
              <w:rPr/>
            </w:pPr>
            <w:r>
              <w:rPr>
                <w:b w:val="false"/>
                <w:sz w:val="12"/>
              </w:rPr>
              <w:t>Beschlossen</w:t>
            </w:r>
          </w:p>
        </w:tc>
        <w:tc>
          <w:tcPr>
            <w:tcW w:w="2623" w:type="dxa"/>
            <w:tcBorders/>
          </w:tcPr>
          <w:p w14:paraId="30D95801">
            <w:pPr>
              <w:pStyle w:val="style0"/>
              <w:rPr/>
            </w:pPr>
            <w:r>
              <w:rPr>
                <w:b w:val="false"/>
                <w:sz w:val="12"/>
              </w:rPr>
              <w:t>Das Projekt ist ausschließlich für die private Nutzung vorgesehen. Quellenangaben und Quellennachweise dienen allein der internen Nachvollziehbarkeit, Reproduzierbarkeit, Diskussion und späteren Evaluation von Daten, Prognosen, Empfehlungen und Managerentscheidungen. Dauerhaft und versioniert zu speichern sind insbesondere verbindliche Stammdaten, bestätigte strukturierte Spieltagsdaten, eigene Berechnungen und abgeleitete Bewertungen, Aufstellungen und Empfehlungssnapshots, Managerentscheidungen und Overrides sowie Evaluationsergebnisse. Bei externen qualitativen oder redaktionellen Informationen sollen mindestens Quelle und Quellenart, Veröffentlichungs- oder Abrufzeitpunkt, eindeutiger Quellenverweis soweit verfügbar, relevante Aussage oder kurze Zusammenfassung, Informations-, Aktualitäts- und Konfliktstatus sowie die Auswirkung auf Prognose, Diskussion oder Entscheidung gespeichert werden. Der Umfang des Quellennachweises richtet sich danach, was erforderlich ist, um die damalige Bewertung und Entscheidung später nachvollziehen zu können. Vollständige Artikel, komplette Webseiteninhalte oder umfangreiche Textkopien müssen nicht regulär dauerhaft gespeichert werden, sofern eine kürzere strukturierte Dokumentation ausreicht. Ungeprüfte Rohdaten und technische Zwischenstände sind von verbindlichen Projektdaten zu trennen und dürfen nicht ohne Validierung als Tatsachen- oder Entscheidungsgrundlage verwendet werden. Vor der produktiven automatisierten Nutzung einer externen Datenquelle sind insbesondere technische Verfügbarkeit und Stabilität, Datenqualität, Aktualität, Eindeutigkeit der Zuordnung, Kontrollmöglichkeiten und erforderlicher manueller Aufwand zu prüfen und zu dokumentieren.</w:t>
            </w:r>
          </w:p>
        </w:tc>
        <w:tc>
          <w:tcPr>
            <w:tcW w:w="2623" w:type="dxa"/>
            <w:tcBorders/>
          </w:tcPr>
          <w:p w14:paraId="A6169500">
            <w:pPr>
              <w:pStyle w:val="style0"/>
              <w:rPr/>
            </w:pPr>
            <w:r>
              <w:rPr>
                <w:b w:val="false"/>
                <w:sz w:val="12"/>
              </w:rPr>
              <w:t>Gewinnung Rohdaten; SSOT; Monitoring; Projektdokumentation; Kontrollmechanismen</w:t>
            </w:r>
          </w:p>
        </w:tc>
        <w:tc>
          <w:tcPr>
            <w:tcW w:w="2623" w:type="dxa"/>
            <w:tcBorders/>
          </w:tcPr>
          <w:p w14:paraId="D664E47D">
            <w:pPr>
              <w:pStyle w:val="style0"/>
              <w:rPr/>
            </w:pPr>
            <w:r>
              <w:rPr>
                <w:b w:val="false"/>
                <w:sz w:val="12"/>
              </w:rPr>
              <w:t>Die zuständigen Fach-Chats definieren Speicherstruktur, minimale Nachweisdaten, Aufbewahrungsdauer, Importtechnik, Validierungsstatus und Löschlogik. Die Regel betrifft keine Veröffentlichung, sondern ausschließlich die interne Nachvollziehbarkeit.</w:t>
            </w:r>
          </w:p>
        </w:tc>
      </w:tr>
      <w:tr w14:paraId="31FC2957">
        <w:tblPrEx/>
        <w:trPr>
          <w:jc w:val="center"/>
        </w:trPr>
        <w:tc>
          <w:tcPr>
            <w:tcW w:w="2623" w:type="dxa"/>
            <w:tcBorders/>
          </w:tcPr>
          <w:p w14:paraId="80DE5437">
            <w:pPr>
              <w:pStyle w:val="style0"/>
              <w:rPr/>
            </w:pPr>
            <w:r>
              <w:rPr>
                <w:b w:val="false"/>
                <w:sz w:val="12"/>
              </w:rPr>
              <w:t>DEC-020</w:t>
            </w:r>
          </w:p>
        </w:tc>
        <w:tc>
          <w:tcPr>
            <w:tcW w:w="2623" w:type="dxa"/>
            <w:tcBorders/>
          </w:tcPr>
          <w:p w14:paraId="AFF344E5">
            <w:pPr>
              <w:pStyle w:val="style0"/>
              <w:rPr/>
            </w:pPr>
            <w:r>
              <w:rPr>
                <w:b w:val="false"/>
                <w:sz w:val="12"/>
              </w:rPr>
              <w:t>Einfrieren und offizielle Evaluationsreferenz von Empfehlungen</w:t>
            </w:r>
          </w:p>
        </w:tc>
        <w:tc>
          <w:tcPr>
            <w:tcW w:w="2623" w:type="dxa"/>
            <w:tcBorders/>
          </w:tcPr>
          <w:p w14:paraId="A10AAC9F">
            <w:pPr>
              <w:pStyle w:val="style0"/>
              <w:rPr/>
            </w:pPr>
            <w:r>
              <w:rPr>
                <w:b w:val="false"/>
                <w:sz w:val="12"/>
              </w:rPr>
              <w:t>Beschlossen</w:t>
            </w:r>
          </w:p>
        </w:tc>
        <w:tc>
          <w:tcPr>
            <w:tcW w:w="2623" w:type="dxa"/>
            <w:tcBorders/>
          </w:tcPr>
          <w:p w14:paraId="E17BDC5E">
            <w:pPr>
              <w:pStyle w:val="style0"/>
              <w:rPr/>
            </w:pPr>
            <w:r>
              <w:rPr>
                <w:b w:val="false"/>
                <w:sz w:val="12"/>
              </w:rPr>
              <w:t>Jeder gegenüber dem Manager als konkreter Vorschlag ausgegebene Empfehlungsstand wird bei Ausgabe als unveränderlicher, versionierter Empfehlungssnapshot gespeichert. Neue Daten, Bewertungen oder Diskussionsergebnisse erzeugen eine neue Empfehlungsversion und verändern frühere Snapshots nicht. Für die Hauptevaluation gilt je Spieler beziehungsweise je veränderbarem Aufstellungsbestandteil die letzte freigegebene Modellempfehlung vor dessen regelbedingter Sperre. Die Sperre tritt mit Anpfiff des Vereinsspiels des betroffenen Spielers ein. Nach Abschluss aller gestaffelten Sperrzeitpunkte wird aus den jeweils letzten gültigen Teilständen ein konsolidierter finaler Empfehlungssnapshot des Spieltags gebildet. Zusätzlich bleiben erster vollständiger Modellvorschlag, alle freigegebenen Aktualisierungen, Ausgabe- und Datenzeitpunkte, wesentliche Diskussionsargumente, letzte gültige Empfehlung, abschließende Managerentscheidung und tatsächlich wirksame Aufstellung erhalten. Nicht ausdrücklich freigegebene Zwischenberechnungen gelten nicht als offizielle Modellempfehlung.</w:t>
            </w:r>
          </w:p>
        </w:tc>
        <w:tc>
          <w:tcPr>
            <w:tcW w:w="2623" w:type="dxa"/>
            <w:tcBorders/>
          </w:tcPr>
          <w:p w14:paraId="A8907D09">
            <w:pPr>
              <w:pStyle w:val="style0"/>
              <w:rPr/>
            </w:pPr>
            <w:r>
              <w:rPr>
                <w:b w:val="false"/>
                <w:sz w:val="12"/>
              </w:rPr>
              <w:t>Decision Engine; Monitoring; Evaluation; Projektdokumentation; Kontrollmechanismen</w:t>
            </w:r>
          </w:p>
        </w:tc>
        <w:tc>
          <w:tcPr>
            <w:tcW w:w="2623" w:type="dxa"/>
            <w:tcBorders/>
          </w:tcPr>
          <w:p w14:paraId="2DC492B9">
            <w:pPr>
              <w:pStyle w:val="style0"/>
              <w:rPr/>
            </w:pPr>
            <w:r>
              <w:rPr>
                <w:b w:val="false"/>
                <w:sz w:val="12"/>
              </w:rPr>
              <w:t>Fach-Chats definieren Freigabekennzeichnung, Snapshot-Versionierung, Zuordnung zu spielerbezogenen Sperrzeitpunkten und technische Bildung des konsolidierten finalen Empfehlungssnapshots.</w:t>
            </w:r>
          </w:p>
        </w:tc>
      </w:tr>
      <w:tr w14:paraId="347D565B">
        <w:tblPrEx/>
        <w:trPr>
          <w:jc w:val="center"/>
        </w:trPr>
        <w:tc>
          <w:tcPr>
            <w:tcW w:w="2623" w:type="dxa"/>
            <w:tcBorders/>
          </w:tcPr>
          <w:p w14:paraId="B4A68184">
            <w:pPr>
              <w:pStyle w:val="style0"/>
              <w:rPr/>
            </w:pPr>
            <w:r>
              <w:rPr>
                <w:b w:val="false"/>
                <w:sz w:val="12"/>
              </w:rPr>
              <w:t>DEC-021</w:t>
            </w:r>
          </w:p>
        </w:tc>
        <w:tc>
          <w:tcPr>
            <w:tcW w:w="2623" w:type="dxa"/>
            <w:tcBorders/>
          </w:tcPr>
          <w:p w14:paraId="9DA37DA6">
            <w:pPr>
              <w:pStyle w:val="style0"/>
              <w:rPr/>
            </w:pPr>
            <w:r>
              <w:rPr>
                <w:b w:val="false"/>
                <w:sz w:val="12"/>
              </w:rPr>
              <w:t>Umgang mit nicht mehr aufstellbaren Spielern in der Vorwochenaufstellung</w:t>
            </w:r>
          </w:p>
        </w:tc>
        <w:tc>
          <w:tcPr>
            <w:tcW w:w="2623" w:type="dxa"/>
            <w:tcBorders/>
          </w:tcPr>
          <w:p w14:paraId="8F315ED4">
            <w:pPr>
              <w:pStyle w:val="style0"/>
              <w:rPr/>
            </w:pPr>
            <w:r>
              <w:rPr>
                <w:b w:val="false"/>
                <w:sz w:val="12"/>
              </w:rPr>
              <w:t>Beschlossen</w:t>
            </w:r>
          </w:p>
        </w:tc>
        <w:tc>
          <w:tcPr>
            <w:tcW w:w="2623" w:type="dxa"/>
            <w:tcBorders/>
          </w:tcPr>
          <w:p w14:paraId="D8845ED4">
            <w:pPr>
              <w:pStyle w:val="style0"/>
              <w:rPr/>
            </w:pPr>
            <w:r>
              <w:rPr>
                <w:b w:val="false"/>
                <w:sz w:val="12"/>
              </w:rPr>
              <w:t>Eine Vorwochenaufstellung wird nicht unverändert übernommen, wenn sie zum neuen Sperrzeitpunkt einen nicht mehr aufstellbaren Spieler enthält. Ein solcher Spieler verbleibt nicht formal in der Aufstellung und wird auch nicht automatisch ersetzt. Der Fall wird als unvollständige beziehungsweise regelwidrige Aufstellung gekennzeichnet und dem Manager als kritischer Handlungsbedarf angezeigt.</w:t>
            </w:r>
          </w:p>
        </w:tc>
        <w:tc>
          <w:tcPr>
            <w:tcW w:w="2623" w:type="dxa"/>
            <w:tcBorders/>
          </w:tcPr>
          <w:p w14:paraId="6E8A1261">
            <w:pPr>
              <w:pStyle w:val="style0"/>
              <w:rPr/>
            </w:pPr>
            <w:r>
              <w:rPr>
                <w:b w:val="false"/>
                <w:sz w:val="12"/>
              </w:rPr>
              <w:t>Monitoring; Decision Engine; Erinnerungen; Kontrollmechanismen</w:t>
            </w:r>
          </w:p>
        </w:tc>
        <w:tc>
          <w:tcPr>
            <w:tcW w:w="2623" w:type="dxa"/>
            <w:tcBorders/>
          </w:tcPr>
          <w:p w14:paraId="ACB176B2">
            <w:pPr>
              <w:pStyle w:val="style0"/>
              <w:rPr/>
            </w:pPr>
            <w:r>
              <w:rPr>
                <w:b w:val="false"/>
                <w:sz w:val="12"/>
              </w:rPr>
              <w:t>Fach-Chats definieren die technische Erkennung der Nicht-Aufstellbarkeit, die sichtbare Kennzeichnung, den Warnprozess und die Abnahmetests. Keine automatische Ersatzentscheidung ohne Managerentscheidung.</w:t>
            </w:r>
          </w:p>
        </w:tc>
      </w:tr>
      <w:tr w14:paraId="C88D1B60">
        <w:tblPrEx/>
        <w:trPr>
          <w:jc w:val="center"/>
        </w:trPr>
        <w:tc>
          <w:tcPr>
            <w:tcW w:w="2623" w:type="dxa"/>
            <w:tcBorders/>
          </w:tcPr>
          <w:p w14:paraId="4498016E">
            <w:pPr>
              <w:pStyle w:val="style0"/>
              <w:rPr/>
            </w:pPr>
            <w:r>
              <w:rPr>
                <w:b w:val="false"/>
                <w:sz w:val="12"/>
              </w:rPr>
              <w:t>DEC-022</w:t>
            </w:r>
          </w:p>
        </w:tc>
        <w:tc>
          <w:tcPr>
            <w:tcW w:w="2623" w:type="dxa"/>
            <w:tcBorders/>
          </w:tcPr>
          <w:p w14:paraId="18F1DB20">
            <w:pPr>
              <w:pStyle w:val="style0"/>
              <w:rPr/>
            </w:pPr>
            <w:r>
              <w:rPr>
                <w:b w:val="false"/>
                <w:sz w:val="12"/>
              </w:rPr>
              <w:t>Mehrere ng derselben Position</w:t>
            </w:r>
          </w:p>
        </w:tc>
        <w:tc>
          <w:tcPr>
            <w:tcW w:w="2623" w:type="dxa"/>
            <w:tcBorders/>
          </w:tcPr>
          <w:p w14:paraId="02FB4F53">
            <w:pPr>
              <w:pStyle w:val="style0"/>
              <w:rPr/>
            </w:pPr>
            <w:r>
              <w:rPr>
                <w:b w:val="false"/>
                <w:sz w:val="12"/>
              </w:rPr>
              <w:t>Beschlossen</w:t>
            </w:r>
          </w:p>
        </w:tc>
        <w:tc>
          <w:tcPr>
            <w:tcW w:w="2623" w:type="dxa"/>
            <w:tcBorders/>
          </w:tcPr>
          <w:p w14:paraId="A4157A80">
            <w:pPr>
              <w:pStyle w:val="style0"/>
              <w:rPr/>
            </w:pPr>
            <w:r>
              <w:rPr>
                <w:b w:val="false"/>
                <w:sz w:val="12"/>
              </w:rPr>
              <w:t>Bei mehreren Stammspielern mit ng innerhalb derselben Positionsgruppe ersetzt der einzige positionsgebundene Ersatzspieler genau einen Stammspieler. Die Zuordnung erfolgt deterministisch nach einer festen technischen Reihenfolge der Aufstellungsrollen, ist wertungsneutral und darf keine nachträgliche Optimierung enthalten. Weitere ng derselben Position bleiben ohne Ersatzwirkung.</w:t>
            </w:r>
          </w:p>
        </w:tc>
        <w:tc>
          <w:tcPr>
            <w:tcW w:w="2623" w:type="dxa"/>
            <w:tcBorders/>
          </w:tcPr>
          <w:p w14:paraId="2C5C6F43">
            <w:pPr>
              <w:pStyle w:val="style0"/>
              <w:rPr/>
            </w:pPr>
            <w:r>
              <w:rPr>
                <w:b w:val="false"/>
                <w:sz w:val="12"/>
              </w:rPr>
              <w:t>Regelwerk; Monitoring; Kontrollmechanismen; Evaluation</w:t>
            </w:r>
          </w:p>
        </w:tc>
        <w:tc>
          <w:tcPr>
            <w:tcW w:w="2623" w:type="dxa"/>
            <w:tcBorders/>
          </w:tcPr>
          <w:p w14:paraId="9C91D634">
            <w:pPr>
              <w:pStyle w:val="style0"/>
              <w:rPr/>
            </w:pPr>
            <w:r>
              <w:rPr>
                <w:b w:val="false"/>
                <w:sz w:val="12"/>
              </w:rPr>
              <w:t>Technische Rollenreihenfolge festlegen und mit Testfällen für mehrere ng prüfen; Ersatzkapazität je Position bleibt 1.</w:t>
            </w:r>
          </w:p>
        </w:tc>
      </w:tr>
      <w:tr w14:paraId="D7E7C372">
        <w:tblPrEx/>
        <w:trPr>
          <w:jc w:val="center"/>
        </w:trPr>
        <w:tc>
          <w:tcPr>
            <w:tcW w:w="2623" w:type="dxa"/>
            <w:tcBorders/>
          </w:tcPr>
          <w:p w14:paraId="3CB08548">
            <w:pPr>
              <w:pStyle w:val="style0"/>
              <w:rPr/>
            </w:pPr>
            <w:r>
              <w:rPr>
                <w:b w:val="false"/>
                <w:sz w:val="12"/>
              </w:rPr>
              <w:t>DEC-023</w:t>
            </w:r>
          </w:p>
        </w:tc>
        <w:tc>
          <w:tcPr>
            <w:tcW w:w="2623" w:type="dxa"/>
            <w:tcBorders/>
          </w:tcPr>
          <w:p w14:paraId="13A37EA0">
            <w:pPr>
              <w:pStyle w:val="style0"/>
              <w:rPr/>
            </w:pPr>
            <w:r>
              <w:rPr>
                <w:b w:val="false"/>
                <w:sz w:val="12"/>
              </w:rPr>
              <w:t>Vergleichsrichtung, fehlende Kategorienwerte und Nachholspiele</w:t>
            </w:r>
          </w:p>
        </w:tc>
        <w:tc>
          <w:tcPr>
            <w:tcW w:w="2623" w:type="dxa"/>
            <w:tcBorders/>
          </w:tcPr>
          <w:p w14:paraId="1CA03F08">
            <w:pPr>
              <w:pStyle w:val="style0"/>
              <w:rPr/>
            </w:pPr>
            <w:r>
              <w:rPr>
                <w:b w:val="false"/>
                <w:sz w:val="12"/>
              </w:rPr>
              <w:t>Beschlossen</w:t>
            </w:r>
          </w:p>
        </w:tc>
        <w:tc>
          <w:tcPr>
            <w:tcW w:w="2623" w:type="dxa"/>
            <w:tcBorders/>
          </w:tcPr>
          <w:p w14:paraId="29FC2372">
            <w:pPr>
              <w:pStyle w:val="style0"/>
              <w:rPr/>
            </w:pPr>
            <w:r>
              <w:rPr>
                <w:b w:val="false"/>
                <w:sz w:val="12"/>
              </w:rPr>
              <w:t>Die Vergleichsrichtung wird je Kategorie ausdrücklich festgelegt: Tore, Vorlagen und EdT höher = besser; Notendurchschnitt und Gegentordurchschnitt niedriger = besser. Fehlende tatsächliche Werte aus bereits ausgetragenen Spielen dürfen nicht als 0 oder schlechtester Wert behandelt werden und verhindern eine endgültige Freigabe. Bei ausstehenden Nachholspielen ist eine ausdrücklich vorläufige Spieltagsauswertung mit den bereits entstandenen Ist-Werten zulässig; offene Werte bleiben offen und der gesamte betroffene Spieltag wird nach Austragung vollständig neu berechnet.</w:t>
            </w:r>
          </w:p>
        </w:tc>
        <w:tc>
          <w:tcPr>
            <w:tcW w:w="2623" w:type="dxa"/>
            <w:tcBorders/>
          </w:tcPr>
          <w:p w14:paraId="8E2B1D7C">
            <w:pPr>
              <w:pStyle w:val="style0"/>
              <w:rPr/>
            </w:pPr>
            <w:r>
              <w:rPr>
                <w:b w:val="false"/>
                <w:sz w:val="12"/>
              </w:rPr>
              <w:t>Regelwerk; Monitoring; Evaluation; Rohdaten; Kontrollmechanismen</w:t>
            </w:r>
          </w:p>
        </w:tc>
        <w:tc>
          <w:tcPr>
            <w:tcW w:w="2623" w:type="dxa"/>
            <w:tcBorders/>
          </w:tcPr>
          <w:p w14:paraId="9BB60C1C">
            <w:pPr>
              <w:pStyle w:val="style0"/>
              <w:rPr/>
            </w:pPr>
            <w:r>
              <w:rPr>
                <w:b w:val="false"/>
                <w:sz w:val="12"/>
              </w:rPr>
              <w:t>Kategorienmetadaten um Vergleichsrichtung und Freigabestatus ergänzen; vorläufige Auswertung und vollständige Neuberechnung bei Nachholspielen implementieren.</w:t>
            </w:r>
          </w:p>
        </w:tc>
      </w:tr>
      <w:tr w14:paraId="FBDAC8B4">
        <w:tblPrEx/>
        <w:trPr>
          <w:jc w:val="center"/>
        </w:trPr>
        <w:tc>
          <w:tcPr>
            <w:tcW w:w="2623" w:type="dxa"/>
            <w:tcBorders/>
          </w:tcPr>
          <w:p w14:paraId="089EEE02">
            <w:pPr>
              <w:pStyle w:val="style0"/>
              <w:rPr/>
            </w:pPr>
            <w:r>
              <w:rPr>
                <w:b w:val="false"/>
                <w:sz w:val="12"/>
              </w:rPr>
              <w:t>DEC-024</w:t>
            </w:r>
          </w:p>
        </w:tc>
        <w:tc>
          <w:tcPr>
            <w:tcW w:w="2623" w:type="dxa"/>
            <w:tcBorders/>
          </w:tcPr>
          <w:p w14:paraId="BFE51C47">
            <w:pPr>
              <w:pStyle w:val="style0"/>
              <w:rPr/>
            </w:pPr>
            <w:r>
              <w:rPr>
                <w:b w:val="false"/>
                <w:sz w:val="12"/>
              </w:rPr>
              <w:t>Semantik leerer Zellen in manuellen Spieltagsdaten</w:t>
            </w:r>
          </w:p>
        </w:tc>
        <w:tc>
          <w:tcPr>
            <w:tcW w:w="2623" w:type="dxa"/>
            <w:tcBorders/>
          </w:tcPr>
          <w:p w14:paraId="2249259A">
            <w:pPr>
              <w:pStyle w:val="style0"/>
              <w:rPr/>
            </w:pPr>
            <w:r>
              <w:rPr>
                <w:b w:val="false"/>
                <w:sz w:val="12"/>
              </w:rPr>
              <w:t>Beschlossen</w:t>
            </w:r>
          </w:p>
        </w:tc>
        <w:tc>
          <w:tcPr>
            <w:tcW w:w="2623" w:type="dxa"/>
            <w:tcBorders/>
          </w:tcPr>
          <w:p w14:paraId="FC8D693C">
            <w:pPr>
              <w:pStyle w:val="style0"/>
              <w:rPr/>
            </w:pPr>
            <w:r>
              <w:rPr>
                <w:b w:val="false"/>
                <w:sz w:val="12"/>
              </w:rPr>
              <w:t>Leere Zellen in manuellen Auswertungen haben keine einheitliche Bedeutung. Nach abgeschlossener Erfassung bedeuten leere EdT-, Tor- und Vorlagenzellen den bestätigten tatsächlichen Wert 0. Leere Gegentorzellen bei Mittelfeldspielern und Stürmern bedeuten fachlich nicht anwendbar. Vor ausgetragenem Spiel bleibt der Wert offen; bei bereits ausgetragenem, aber unvollständig erfasstem Spiel bleibt er fehlend. Tatsächliche 0, nicht anwendbar, offen und fehlend müssen intern unterscheidbar bleiben, auch wenn die Eingabedatei jeweils leer ist.</w:t>
            </w:r>
          </w:p>
        </w:tc>
        <w:tc>
          <w:tcPr>
            <w:tcW w:w="2623" w:type="dxa"/>
            <w:tcBorders/>
          </w:tcPr>
          <w:p w14:paraId="53177767">
            <w:pPr>
              <w:pStyle w:val="style0"/>
              <w:rPr/>
            </w:pPr>
            <w:r>
              <w:rPr>
                <w:b w:val="false"/>
                <w:sz w:val="12"/>
              </w:rPr>
              <w:t>Rohdaten; SSOT; Monitoring; Kontrollmechanismen; Regelwerk</w:t>
            </w:r>
          </w:p>
        </w:tc>
        <w:tc>
          <w:tcPr>
            <w:tcW w:w="2623" w:type="dxa"/>
            <w:tcBorders/>
          </w:tcPr>
          <w:p w14:paraId="47895D81">
            <w:pPr>
              <w:pStyle w:val="style0"/>
              <w:rPr/>
            </w:pPr>
            <w:r>
              <w:rPr>
                <w:b w:val="false"/>
                <w:sz w:val="12"/>
              </w:rPr>
              <w:t>Importlogik und Statusmodell für ACTUAL_ZERO, NOT_APPLICABLE, PENDING und MISSING definieren; Leerzellen nur nach bestätigtem Erfassungsabschluss in 0 umwandeln.</w:t>
            </w:r>
          </w:p>
        </w:tc>
      </w:tr>
      <w:tr w14:paraId="D3EEEE8B">
        <w:tblPrEx/>
        <w:trPr>
          <w:jc w:val="center"/>
        </w:trPr>
        <w:tc>
          <w:tcPr>
            <w:tcW w:w="2623" w:type="dxa"/>
            <w:tcBorders/>
          </w:tcPr>
          <w:p w14:paraId="70A59FA4">
            <w:pPr>
              <w:pStyle w:val="style0"/>
              <w:rPr/>
            </w:pPr>
            <w:r>
              <w:rPr>
                <w:b w:val="false"/>
                <w:sz w:val="12"/>
              </w:rPr>
              <w:t>DEC-025</w:t>
            </w:r>
          </w:p>
        </w:tc>
        <w:tc>
          <w:tcPr>
            <w:tcW w:w="2623" w:type="dxa"/>
            <w:tcBorders/>
          </w:tcPr>
          <w:p w14:paraId="66843D9F">
            <w:pPr>
              <w:pStyle w:val="style0"/>
              <w:rPr/>
            </w:pPr>
            <w:r>
              <w:rPr>
                <w:b w:val="false"/>
                <w:sz w:val="12"/>
              </w:rPr>
              <w:t>Mehrere Teilnehmer ohne benoteten Spieler</w:t>
            </w:r>
          </w:p>
        </w:tc>
        <w:tc>
          <w:tcPr>
            <w:tcW w:w="2623" w:type="dxa"/>
            <w:tcBorders/>
          </w:tcPr>
          <w:p w14:paraId="4F5CCD2E">
            <w:pPr>
              <w:pStyle w:val="style0"/>
              <w:rPr/>
            </w:pPr>
            <w:r>
              <w:rPr>
                <w:b w:val="false"/>
                <w:sz w:val="12"/>
              </w:rPr>
              <w:t>Beschlossen</w:t>
            </w:r>
          </w:p>
        </w:tc>
        <w:tc>
          <w:tcPr>
            <w:tcW w:w="2623" w:type="dxa"/>
            <w:tcBorders/>
          </w:tcPr>
          <w:p w14:paraId="C214381C">
            <w:pPr>
              <w:pStyle w:val="style0"/>
              <w:rPr/>
            </w:pPr>
            <w:r>
              <w:rPr>
                <w:b w:val="false"/>
                <w:sz w:val="12"/>
              </w:rPr>
              <w:t>Haben mehrere Teilnehmer keinen benoteten Spieler, teilen sie sich gemeinsam die letzten Plätze der Notenkategorie. Bei n betroffenen Teilnehmern erhält jeder den Durchschnitt der letzten n Rangpunkte, also (1 + ... + n) / n. Die Gesamtzahl der in der Kategorie vergebenen Punkte bleibt unverändert; die übrigen Teilnehmer belegen die davorliegenden Ränge.</w:t>
            </w:r>
          </w:p>
        </w:tc>
        <w:tc>
          <w:tcPr>
            <w:tcW w:w="2623" w:type="dxa"/>
            <w:tcBorders/>
          </w:tcPr>
          <w:p w14:paraId="802CE3B8">
            <w:pPr>
              <w:pStyle w:val="style0"/>
              <w:rPr/>
            </w:pPr>
            <w:r>
              <w:rPr>
                <w:b w:val="false"/>
                <w:sz w:val="12"/>
              </w:rPr>
              <w:t>Regelwerk; Monitoring; Evaluation</w:t>
            </w:r>
          </w:p>
        </w:tc>
        <w:tc>
          <w:tcPr>
            <w:tcW w:w="2623" w:type="dxa"/>
            <w:tcBorders/>
          </w:tcPr>
          <w:p w14:paraId="80CAC370">
            <w:pPr>
              <w:pStyle w:val="style0"/>
              <w:rPr/>
            </w:pPr>
            <w:r>
              <w:rPr>
                <w:b w:val="false"/>
                <w:sz w:val="12"/>
              </w:rPr>
              <w:t>Gleichstandslogik am Tabellenende mit Testfällen für n=2 bis Teilnehmerzahl prüfen.</w:t>
            </w:r>
          </w:p>
        </w:tc>
      </w:tr>
      <w:tr w14:paraId="F082C8DF">
        <w:tblPrEx/>
        <w:trPr>
          <w:jc w:val="center"/>
        </w:trPr>
        <w:tc>
          <w:tcPr>
            <w:tcW w:w="2623" w:type="dxa"/>
            <w:tcBorders/>
          </w:tcPr>
          <w:p w14:paraId="3503ED80">
            <w:pPr>
              <w:pStyle w:val="style0"/>
              <w:rPr/>
            </w:pPr>
            <w:r>
              <w:rPr>
                <w:b w:val="false"/>
                <w:sz w:val="12"/>
              </w:rPr>
              <w:t>DEC-026</w:t>
            </w:r>
          </w:p>
        </w:tc>
        <w:tc>
          <w:tcPr>
            <w:tcW w:w="2623" w:type="dxa"/>
            <w:tcBorders/>
          </w:tcPr>
          <w:p w14:paraId="AEBCACBB">
            <w:pPr>
              <w:pStyle w:val="style0"/>
              <w:rPr/>
            </w:pPr>
            <w:r>
              <w:rPr>
                <w:b w:val="false"/>
                <w:sz w:val="12"/>
              </w:rPr>
              <w:t>Rundungsverfahren</w:t>
            </w:r>
          </w:p>
        </w:tc>
        <w:tc>
          <w:tcPr>
            <w:tcW w:w="2623" w:type="dxa"/>
            <w:tcBorders/>
          </w:tcPr>
          <w:p w14:paraId="26B46B81">
            <w:pPr>
              <w:pStyle w:val="style0"/>
              <w:rPr/>
            </w:pPr>
            <w:r>
              <w:rPr>
                <w:b w:val="false"/>
                <w:sz w:val="12"/>
              </w:rPr>
              <w:t>Beschlossen</w:t>
            </w:r>
          </w:p>
        </w:tc>
        <w:tc>
          <w:tcPr>
            <w:tcW w:w="2623" w:type="dxa"/>
            <w:tcBorders/>
          </w:tcPr>
          <w:p w14:paraId="6D3563F5">
            <w:pPr>
              <w:pStyle w:val="style0"/>
              <w:rPr/>
            </w:pPr>
            <w:r>
              <w:rPr>
                <w:b w:val="false"/>
                <w:sz w:val="12"/>
              </w:rPr>
              <w:t>Sämtliche vorgeschriebenen Rundungen erfolgen kaufmännisch nach dem Half-up-Verfahren. Rohwerte bleiben unverändert gespeichert. Jede Vergleichsstufe wird unmittelbar aus dem Rohwert berechnet; bereits gerundete Zwischenwerte dürfen nicht erneut weitergerundet werden. Beim Notendurchschnitt werden Zwei- und Vierstellenvergleich jeweils direkt aus dem Rohwert gebildet.</w:t>
            </w:r>
          </w:p>
        </w:tc>
        <w:tc>
          <w:tcPr>
            <w:tcW w:w="2623" w:type="dxa"/>
            <w:tcBorders/>
          </w:tcPr>
          <w:p w14:paraId="5A8C6987">
            <w:pPr>
              <w:pStyle w:val="style0"/>
              <w:rPr/>
            </w:pPr>
            <w:r>
              <w:rPr>
                <w:b w:val="false"/>
                <w:sz w:val="12"/>
              </w:rPr>
              <w:t>Regelwerk; Monitoring; Evaluation; Kontrollmechanismen</w:t>
            </w:r>
          </w:p>
        </w:tc>
        <w:tc>
          <w:tcPr>
            <w:tcW w:w="2623" w:type="dxa"/>
            <w:tcBorders/>
          </w:tcPr>
          <w:p w14:paraId="751D7048">
            <w:pPr>
              <w:pStyle w:val="style0"/>
              <w:rPr/>
            </w:pPr>
            <w:r>
              <w:rPr>
                <w:b w:val="false"/>
                <w:sz w:val="12"/>
              </w:rPr>
              <w:t>Half-up als verbindliche Rundungsregel implementieren und Grenzfälle mit exakten Halbwerten testen.</w:t>
            </w:r>
          </w:p>
        </w:tc>
      </w:tr>
      <w:tr w14:paraId="EBB4B62B">
        <w:tblPrEx/>
        <w:trPr>
          <w:jc w:val="center"/>
        </w:trPr>
        <w:tc>
          <w:tcPr>
            <w:tcW w:w="2623" w:type="dxa"/>
            <w:tcBorders/>
          </w:tcPr>
          <w:p w14:paraId="AE906EC5">
            <w:pPr>
              <w:pStyle w:val="style0"/>
              <w:rPr/>
            </w:pPr>
            <w:r>
              <w:rPr>
                <w:b w:val="false"/>
                <w:sz w:val="12"/>
              </w:rPr>
              <w:t>DEC-027</w:t>
            </w:r>
          </w:p>
        </w:tc>
        <w:tc>
          <w:tcPr>
            <w:tcW w:w="2623" w:type="dxa"/>
            <w:tcBorders/>
          </w:tcPr>
          <w:p w14:paraId="14723296">
            <w:pPr>
              <w:pStyle w:val="style0"/>
              <w:rPr/>
            </w:pPr>
            <w:r>
              <w:rPr>
                <w:b w:val="false"/>
                <w:sz w:val="12"/>
              </w:rPr>
              <w:t>Modellfreigabe, Managerentscheidung und fehlender freigegebener Vorschlag</w:t>
            </w:r>
          </w:p>
        </w:tc>
        <w:tc>
          <w:tcPr>
            <w:tcW w:w="2623" w:type="dxa"/>
            <w:tcBorders/>
          </w:tcPr>
          <w:p w14:paraId="2B8B9599">
            <w:pPr>
              <w:pStyle w:val="style0"/>
              <w:rPr/>
            </w:pPr>
            <w:r>
              <w:rPr>
                <w:b w:val="false"/>
                <w:sz w:val="12"/>
              </w:rPr>
              <w:t>Beschlossen</w:t>
            </w:r>
          </w:p>
        </w:tc>
        <w:tc>
          <w:tcPr>
            <w:tcW w:w="2623" w:type="dxa"/>
            <w:tcBorders/>
          </w:tcPr>
          <w:p w14:paraId="A046793E">
            <w:pPr>
              <w:pStyle w:val="style0"/>
              <w:rPr/>
            </w:pPr>
            <w:r>
              <w:rPr>
                <w:b w:val="false"/>
                <w:sz w:val="12"/>
              </w:rPr>
              <w:t>Modellfreigabe und Managerentscheidung sind getrennte Ebenen. Eine Modellfreigabe erzeugt einen unveränderlichen offiziellen Empfehlungssnapshot; technische Zwischenstände sind keine Modellempfehlung. Die abschließende Managerentscheidung kann dem Modell folgen, davon abweichen oder ohne vorherige Modellkonsultation erfolgen. Nachträglich vom Manager als tatsächlich wirksam gemeldete Änderungen werden als rechtzeitig behandelt; nicht rechtzeitige Änderungsversuche werden nicht als Managerentscheidung übermittelt. Fehlt vor einer Sperre ein freigegebener Modellvorschlag, gilt für den betroffenen Bestandteil NO_RELEASED_PROPOSAL und es besteht keine reguläre Modellevaluationsreferenz; eine wirksame Manageraufstellung bleibt davon unberührt. Ein bereits freigegebener Vorschlag bleibt Referenz, wenn vor der Sperre kein neuer freigegebener Vorschlag erzeugt wurde. Automatische Modellaktualisierungen und interne Modellfreigaben sind zulässig, sofern definierte Daten-, Qualitäts- und Kontrollvoraussetzungen erfüllt sind. Nicht bekannte Aufstellungen anderer Teilnehmer dürfen nur als Prognose, nicht als bekannte Tatsache behandelt werden.</w:t>
            </w:r>
          </w:p>
        </w:tc>
        <w:tc>
          <w:tcPr>
            <w:tcW w:w="2623" w:type="dxa"/>
            <w:tcBorders/>
          </w:tcPr>
          <w:p w14:paraId="1223B930">
            <w:pPr>
              <w:pStyle w:val="style0"/>
              <w:rPr/>
            </w:pPr>
            <w:r>
              <w:rPr>
                <w:b w:val="false"/>
                <w:sz w:val="12"/>
              </w:rPr>
              <w:t>Decision Engine; Monitoring; Evaluation; Erinnerungen; Rohdaten; Kontrollmechanismen; Projektdokumentation</w:t>
            </w:r>
          </w:p>
        </w:tc>
        <w:tc>
          <w:tcPr>
            <w:tcW w:w="2623" w:type="dxa"/>
            <w:tcBorders/>
          </w:tcPr>
          <w:p w14:paraId="8991C365">
            <w:pPr>
              <w:pStyle w:val="style0"/>
              <w:rPr/>
            </w:pPr>
            <w:r>
              <w:rPr>
                <w:b w:val="false"/>
                <w:sz w:val="12"/>
              </w:rPr>
              <w:t>Fach-Chats definieren Freigabeverfahren, Status NO_RELEASED_PROPOSAL, nachträgliche Managererfassung, automatische Aktualisierungs-/Qualitätsbedingungen, Erinnerungszeitpunkte sowie Prognoselogik für unbekannte Teilnehmeraufstellungen.</w:t>
            </w:r>
          </w:p>
        </w:tc>
      </w:tr>
      <w:tr w14:paraId="E7A755E0">
        <w:tblPrEx/>
        <w:trPr>
          <w:jc w:val="center"/>
        </w:trPr>
        <w:tc>
          <w:tcPr>
            <w:tcW w:w="2623" w:type="dxa"/>
            <w:tcBorders/>
          </w:tcPr>
          <w:p w14:paraId="A97CAF26">
            <w:pPr>
              <w:pStyle w:val="style0"/>
              <w:rPr/>
            </w:pPr>
            <w:r>
              <w:rPr>
                <w:b w:val="false"/>
                <w:sz w:val="12"/>
              </w:rPr>
              <w:t>DEC-028</w:t>
            </w:r>
          </w:p>
        </w:tc>
        <w:tc>
          <w:tcPr>
            <w:tcW w:w="2623" w:type="dxa"/>
            <w:tcBorders/>
          </w:tcPr>
          <w:p w14:paraId="B3456B9F">
            <w:pPr>
              <w:pStyle w:val="style0"/>
              <w:rPr/>
            </w:pPr>
            <w:r>
              <w:rPr>
                <w:b w:val="false"/>
                <w:sz w:val="12"/>
              </w:rPr>
              <w:t>Umfang dauerhafter Spielerinformationen in der SSOT für MS1</w:t>
            </w:r>
          </w:p>
        </w:tc>
        <w:tc>
          <w:tcPr>
            <w:tcW w:w="2623" w:type="dxa"/>
            <w:tcBorders/>
          </w:tcPr>
          <w:p w14:paraId="BE14E5E7">
            <w:pPr>
              <w:pStyle w:val="style0"/>
              <w:rPr/>
            </w:pPr>
            <w:r>
              <w:rPr>
                <w:b w:val="false"/>
                <w:sz w:val="12"/>
              </w:rPr>
              <w:t>Beschlossen</w:t>
            </w:r>
          </w:p>
        </w:tc>
        <w:tc>
          <w:tcPr>
            <w:tcW w:w="2623" w:type="dxa"/>
            <w:tcBorders/>
          </w:tcPr>
          <w:p w14:paraId="C2C38C36">
            <w:pPr>
              <w:pStyle w:val="style0"/>
              <w:rPr/>
            </w:pPr>
            <w:r>
              <w:rPr>
                <w:b w:val="false"/>
                <w:sz w:val="12"/>
              </w:rPr>
              <w:t>Für MS1 umfasst der Begriff „dauerhafte Stammdaten“ nur solche Spielerinformationen, die für eindeutige Identifikation, regelkonforme Zuordnung, Datenmapping oder Reproduzierbarkeit tatsächlich erforderlich sind. Weitere personenbezogene oder sportliche Stammdaten werden nicht vorsorglich in die SSOT aufgenommen. Zusätzliche Stammdaten werden erst ergänzt, wenn ein konkreter fachlicher Bedarf aus Monitoring, Rohdaten oder späteren Modulen entsteht.</w:t>
            </w:r>
          </w:p>
        </w:tc>
        <w:tc>
          <w:tcPr>
            <w:tcW w:w="2623" w:type="dxa"/>
            <w:tcBorders/>
          </w:tcPr>
          <w:p w14:paraId="9FE7AC4A">
            <w:pPr>
              <w:pStyle w:val="style0"/>
              <w:rPr/>
            </w:pPr>
            <w:r>
              <w:rPr>
                <w:b w:val="false"/>
                <w:sz w:val="12"/>
              </w:rPr>
              <w:t>SSOT; Rohdaten; Monitoring; Kontrollmechanismen; spätere Module</w:t>
            </w:r>
          </w:p>
        </w:tc>
        <w:tc>
          <w:tcPr>
            <w:tcW w:w="2623" w:type="dxa"/>
            <w:tcBorders/>
          </w:tcPr>
          <w:p w14:paraId="6DE12AE4">
            <w:pPr>
              <w:pStyle w:val="style0"/>
              <w:rPr/>
            </w:pPr>
            <w:r>
              <w:rPr>
                <w:b w:val="false"/>
                <w:sz w:val="12"/>
              </w:rPr>
              <w:t>Der Fach-Chat „Erstellung SSOT“ definiert daraus die minimalen Pflichtfelder und begründet jedes zusätzliche dauerhafte Spielerfeld mit einem konkreten fachlichen Verwendungszweck. Monitoring und Rohdaten melden nur tatsächlich benötigte Erweiterungen zurück.</w:t>
            </w:r>
          </w:p>
        </w:tc>
      </w:tr>
      <w:tr w14:paraId="1925BA66">
        <w:tblPrEx/>
        <w:trPr>
          <w:jc w:val="center"/>
        </w:trPr>
        <w:tc>
          <w:tcPr>
            <w:tcW w:w="2623" w:type="dxa"/>
            <w:tcBorders/>
          </w:tcPr>
          <w:p w14:paraId="CD516047">
            <w:pPr>
              <w:pStyle w:val="style0"/>
              <w:rPr/>
            </w:pPr>
            <w:r>
              <w:rPr>
                <w:b w:val="false"/>
                <w:sz w:val="12"/>
              </w:rPr>
              <w:t>DEC-029</w:t>
            </w:r>
          </w:p>
        </w:tc>
        <w:tc>
          <w:tcPr>
            <w:tcW w:w="2623" w:type="dxa"/>
            <w:tcBorders/>
          </w:tcPr>
          <w:p w14:paraId="61C6FDA3">
            <w:pPr>
              <w:pStyle w:val="style0"/>
              <w:rPr/>
            </w:pPr>
            <w:r>
              <w:rPr>
                <w:b w:val="false"/>
                <w:sz w:val="12"/>
              </w:rPr>
              <w:t>Vorausschauende Sperr- und Re-Check-Planung</w:t>
            </w:r>
          </w:p>
        </w:tc>
        <w:tc>
          <w:tcPr>
            <w:tcW w:w="2623" w:type="dxa"/>
            <w:tcBorders/>
          </w:tcPr>
          <w:p w14:paraId="002E98DE">
            <w:pPr>
              <w:pStyle w:val="style0"/>
              <w:rPr/>
            </w:pPr>
            <w:r>
              <w:rPr>
                <w:b w:val="false"/>
                <w:sz w:val="12"/>
              </w:rPr>
              <w:t>Beschlossen</w:t>
            </w:r>
          </w:p>
        </w:tc>
        <w:tc>
          <w:tcPr>
            <w:tcW w:w="2623" w:type="dxa"/>
            <w:tcBorders/>
          </w:tcPr>
          <w:p w14:paraId="FB5C0681">
            <w:pPr>
              <w:pStyle w:val="style0"/>
              <w:rPr/>
            </w:pPr>
            <w:r>
              <w:rPr>
                <w:b w:val="false"/>
                <w:sz w:val="12"/>
              </w:rPr>
              <w:t>Das Monitoring muss bereits bei einer Spieltagsempfehlung zukünftige für die aktuelle Aufstellung relevante Sperrzeitpunkte erkennen und fachlich sinnvolle erneute Prüfzeitpunkte ableiten können. Ziel ist eine gezielte, begründete Re-Check-Planung ohne permanente Interaktion während des Spieltagswochenendes. Konkrete numerische Vorläufe, Bündelungsfenster und Prioritätsschwellen sind versionierte Modell-/Policyparameter und keine eigenständigen Managerspiel-Grundsatzregeln.</w:t>
            </w:r>
          </w:p>
        </w:tc>
        <w:tc>
          <w:tcPr>
            <w:tcW w:w="2623" w:type="dxa"/>
            <w:tcBorders/>
          </w:tcPr>
          <w:p w14:paraId="0EC1CBB8">
            <w:pPr>
              <w:pStyle w:val="style0"/>
              <w:rPr/>
            </w:pPr>
            <w:r>
              <w:rPr>
                <w:b w:val="false"/>
                <w:sz w:val="12"/>
              </w:rPr>
              <w:t>Monitoring; Decision Engine; Erinnerungen; Kontrollmechanismen; Evaluation</w:t>
            </w:r>
          </w:p>
        </w:tc>
        <w:tc>
          <w:tcPr>
            <w:tcW w:w="2623" w:type="dxa"/>
            <w:tcBorders/>
          </w:tcPr>
          <w:p w14:paraId="8A26A909">
            <w:pPr>
              <w:pStyle w:val="style0"/>
              <w:rPr/>
            </w:pPr>
            <w:r>
              <w:rPr>
                <w:b w:val="false"/>
                <w:sz w:val="12"/>
              </w:rPr>
              <w:t>Monitoring modelliert objektive Sperrzeitpunkte, betroffene Aufstellungsbestandteile, offene entscheidungsrelevante Informationen, empfohlene Re-Check-Zeitpunkte, Priorität und Begründung. Policyparameter sind versioniert, referenzierbar, evaluierbar und ohne neue Grundsatzentscheidung anpassbar.</w:t>
            </w:r>
          </w:p>
        </w:tc>
      </w:tr>
      <w:tr w14:paraId="8E67148D">
        <w:tblPrEx/>
        <w:trPr>
          <w:jc w:val="center"/>
        </w:trPr>
        <w:tc>
          <w:tcPr>
            <w:tcW w:w="2623" w:type="dxa"/>
            <w:tcBorders/>
          </w:tcPr>
          <w:p w14:paraId="91A28414">
            <w:pPr>
              <w:pStyle w:val="style0"/>
              <w:rPr/>
            </w:pPr>
            <w:r>
              <w:t>DEC-030</w:t>
            </w:r>
          </w:p>
        </w:tc>
        <w:tc>
          <w:tcPr>
            <w:tcW w:w="2623" w:type="dxa"/>
            <w:tcBorders/>
          </w:tcPr>
          <w:p w14:paraId="99E06FFA">
            <w:pPr>
              <w:pStyle w:val="style0"/>
              <w:rPr/>
            </w:pPr>
            <w:r>
              <w:t>Erstlegitimation interner SSOT-Identitäten</w:t>
            </w:r>
          </w:p>
        </w:tc>
        <w:tc>
          <w:tcPr>
            <w:tcW w:w="2623" w:type="dxa"/>
            <w:tcBorders/>
          </w:tcPr>
          <w:p w14:paraId="7E8F08B5">
            <w:pPr>
              <w:pStyle w:val="style0"/>
              <w:rPr/>
            </w:pPr>
            <w:r>
              <w:t>Beschlossen</w:t>
            </w:r>
          </w:p>
        </w:tc>
        <w:tc>
          <w:tcPr>
            <w:tcW w:w="2623" w:type="dxa"/>
            <w:tcBorders/>
          </w:tcPr>
          <w:p w14:paraId="E173A471">
            <w:pPr>
              <w:pStyle w:val="style0"/>
              <w:rPr/>
            </w:pPr>
            <w:r>
              <w:t>Eine stabile interne player_id oder club_id darf erstmals nur aufgrund eines dokumentierten positiven fachlichen Erstlegitimationsentscheids entstehen. Voraussetzung sind die hinreichend eindeutige Feststellung einer eigenständigen realen Entität, der dokumentierte Ausschluss einer zutreffenden bestehenden internen Identität, relevanter Mehrdeutigkeit und eines ungeklärten Dublettenverdachts sowie eine reproduzierbare Evidence-Grundlage. Name, externe ID oder technische ID legitimieren allein keine interne Identität. Die fachlich zuständige SSOT-Prüfung autorisiert den Entscheid; legitimation_ref verknüpft dauerhaft Entscheidungsstatus, Zeitpunkt, Objekttyp, Evidence, Prüfer/Autorisierung und resultierende interne ID. Erst danach oder als technisch atomare Folge darf eine opake stabile ID erzeugt werden; eine UUID ist zulässig, wenn sie keine Fachbedeutung trägt. War eine externe Identität Gegenstand der positiven Prüfung, darf zugleich ein CONFIRMED-Mapping entstehen; ohne externe ID kann die interne Identität mappingfrei entstehen. Spieleridentität und vollständige SSOT-Prozessierbarkeit bleiben getrennt: Verein, saisonale Position und Zeitbezüge dürfen nachgelagert geklärt werden, die betroffene Nutzung bleibt bis dahin blockiert. Bei unzureichender Eindeutigkeit, Mehrdeutigkeit, Dublettenverdacht oder unzureichender Evidence erfolgt keine Neuanlage und der Fall verbleibt REVIEW_REQUIRED.</w:t>
            </w:r>
          </w:p>
        </w:tc>
        <w:tc>
          <w:tcPr>
            <w:tcW w:w="2623" w:type="dxa"/>
            <w:tcBorders/>
          </w:tcPr>
          <w:p w14:paraId="920DD37F">
            <w:pPr>
              <w:pStyle w:val="style0"/>
              <w:rPr/>
            </w:pPr>
            <w:r>
              <w:t>SSOT; Rohdaten/Mapping; Kontrollmechanismen; MS2-W2</w:t>
            </w:r>
          </w:p>
        </w:tc>
        <w:tc>
          <w:tcPr>
            <w:tcW w:w="2623" w:type="dxa"/>
            <w:tcBorders/>
          </w:tcPr>
          <w:p w14:paraId="76B20928">
            <w:pPr>
              <w:pStyle w:val="style0"/>
              <w:rPr/>
            </w:pPr>
            <w:r>
              <w:t>REQ-SSOT-005 und TC6-048 umsetzen; Evidence Bundle, legitimation_ref, Idempotenz und atomare ID-/Mapping-Persistenz technisch konkretisieren; legitimen positiven Seed erst nach Governance-Übernahme fachlich freigeben.</w:t>
            </w:r>
          </w:p>
        </w:tc>
      </w:tr>
      <w:tr w14:paraId="6E26713D">
        <w:tblPrEx/>
        <w:trPr>
          <w:jc w:val="center"/>
        </w:trPr>
        <w:tc>
          <w:tcPr>
            <w:tcW w:w="2623" w:type="dxa"/>
            <w:tcBorders/>
          </w:tcPr>
          <w:p w14:paraId="8F6BB749">
            <w:pPr>
              <w:pStyle w:val="style0"/>
              <w:rPr/>
            </w:pPr>
            <w:r>
              <w:t>DEC-031</w:t>
            </w:r>
          </w:p>
        </w:tc>
        <w:tc>
          <w:tcPr>
            <w:tcW w:w="2623" w:type="dxa"/>
            <w:tcBorders/>
          </w:tcPr>
          <w:p w14:paraId="59D439A8">
            <w:pPr>
              <w:pStyle w:val="style0"/>
              <w:rPr/>
            </w:pPr>
            <w:r>
              <w:t>Dünnes Manager-Interface für den MS2-Pilot</w:t>
            </w:r>
          </w:p>
        </w:tc>
        <w:tc>
          <w:tcPr>
            <w:tcW w:w="2623" w:type="dxa"/>
            <w:tcBorders/>
          </w:tcPr>
          <w:p w14:paraId="35676F13">
            <w:pPr>
              <w:pStyle w:val="style0"/>
              <w:rPr/>
            </w:pPr>
            <w:r>
              <w:t>Beschlossen</w:t>
            </w:r>
          </w:p>
        </w:tc>
        <w:tc>
          <w:tcPr>
            <w:tcW w:w="2623" w:type="dxa"/>
            <w:tcBorders/>
          </w:tcPr>
          <w:p w14:paraId="EE4C2AE8">
            <w:pPr>
              <w:pStyle w:val="style0"/>
              <w:rPr/>
            </w:pPr>
            <w:r>
              <w:t>Für MS2-W3 wird ein minimales Manager-Interface verbindlich vorgesehen, das die bereits beschlossenen fachlichen Funktionen des Empfehlungs- und Entscheidungsprozesses für den operativen Pilotbetrieb zugänglich macht. Das Interface ist ausschließlich eine austauschbare Präsentations-, Eingabe- und Interaktionsschicht und besitzt keine eigene fachliche Datenhoheit. Es darf insbesondere keine Regel-, SSOT-, Mapping-, Monitoring-, Eligibility-, Bewertungs-, Freigabe-, Sperr-, Snapshot- oder Wirksamkeitslogik eigenständig implementieren. Fachliche Zustände und Entscheidungen werden aus den zuständigen Komponenten übernommen bzw. dort persistiert. Minimal umfasst das Interface die Anzeige der aktuellen vollständigen Empfehlung, relevanter Freigabe-/Vollständigkeits-/Blockadestatus, Sperr- und Re-Check-Zeitpunkte sowie des zugrunde liegenden Empfehlungssnapshots; ferner die Erfassung der Managerentscheidung als Modell folgen, teilweise/vollständig abweichen oder ohne freigegebenen Modellbezug entscheiden, die freiwillige Override-Begründung und die Anzeige der tatsächlich wirksamen Aufstellung. Zeit-, Snapshot-, Run-, Daten- und Versionsbezug bleiben erhalten. Eine Managerentscheidung darf den Modellvorschlag oder Empfehlungssnapshot nicht verändern. UI-Technologie, Layout und Framework werden nicht festgelegt; die Fachlogik muss außerhalb der UI testbar bleiben.</w:t>
            </w:r>
          </w:p>
        </w:tc>
        <w:tc>
          <w:tcPr>
            <w:tcW w:w="2623" w:type="dxa"/>
            <w:tcBorders/>
          </w:tcPr>
          <w:p w14:paraId="AA5DE802">
            <w:pPr>
              <w:pStyle w:val="style0"/>
              <w:rPr/>
            </w:pPr>
            <w:r>
              <w:t>MS2-W3; Monitoring; Decision Engine; Managerentscheidung; Kontrollmechanismen; Projektdokumentation</w:t>
            </w:r>
          </w:p>
        </w:tc>
        <w:tc>
          <w:tcPr>
            <w:tcW w:w="2623" w:type="dxa"/>
            <w:tcBorders/>
          </w:tcPr>
          <w:p w14:paraId="0A95BF21">
            <w:pPr>
              <w:pStyle w:val="style0"/>
              <w:rPr/>
            </w:pPr>
            <w:r>
              <w:t>REQ-UI-001 umsetzen und im W3-Pilot nachweisen. Technische Oberfläche frei wählbar, sofern dünn, ersetzbar und ohne eigene Fachlogik. W3.1 bleibt unblocked; vor Implementierung von W3.2/W3.3 muss die Governance-Übernahme durch P&amp;I abgeschlossen sein. Keine neue CON.</w:t>
            </w:r>
          </w:p>
        </w:tc>
      </w:tr>
      <w:tr w14:paraId="BB92C801">
        <w:tblPrEx/>
        <w:trPr>
          <w:jc w:val="center"/>
        </w:trPr>
        <w:tc>
          <w:tcPr>
            <w:tcW w:w="2623" w:type="dxa"/>
            <w:tcBorders/>
          </w:tcPr>
          <w:p w14:paraId="58F53513">
            <w:pPr>
              <w:pStyle w:val="style0"/>
              <w:rPr/>
            </w:pPr>
            <w:r>
              <w:t>DEC-032</w:t>
            </w:r>
          </w:p>
        </w:tc>
        <w:tc>
          <w:tcPr>
            <w:tcW w:w="2623" w:type="dxa"/>
            <w:tcBorders/>
          </w:tcPr>
          <w:p w14:paraId="14459BB5">
            <w:pPr>
              <w:pStyle w:val="style0"/>
              <w:rPr/>
            </w:pPr>
            <w:r>
              <w:t>Stichtagsbezogene Vereinszugehörigkeitsbestätigung</w:t>
            </w:r>
          </w:p>
        </w:tc>
        <w:tc>
          <w:tcPr>
            <w:tcW w:w="2623" w:type="dxa"/>
            <w:tcBorders/>
          </w:tcPr>
          <w:p w14:paraId="E576A9D6">
            <w:pPr>
              <w:pStyle w:val="style0"/>
              <w:rPr/>
            </w:pPr>
            <w:r>
              <w:t>Beschlossen</w:t>
            </w:r>
          </w:p>
        </w:tc>
        <w:tc>
          <w:tcPr>
            <w:tcW w:w="2623" w:type="dxa"/>
            <w:tcBorders/>
          </w:tcPr>
          <w:p w14:paraId="F517A7D3">
            <w:pPr>
              <w:pStyle w:val="style0"/>
              <w:rPr/>
            </w:pPr>
            <w:r>
              <w:t>Historische Spieler–Verein-Intervallzuordnung und stichtagsbezogene aktuelle Zugehörigkeitsbestätigung sind fachlich unterschiedliche Aussagen. Eine belegte Aussage „Spieler X gehört am fachlichen Stichtag T bestätigt zu Verein Y“ darf verbindlich in der SSOT geführt werden, ohne T als Beginn der Vereinszugehörigkeit zu interpretieren. Ein solcher Stichtagsnachweis darf nicht als club_valid_from gespeichert oder daraus abgeleitet werden, solange der tatsächliche historische Beginn nicht belegt ist. Für einen aktuellen fachlichen Kontext am bestätigten Stichtag kann eine geprüfte und freigegebene Current-State-Bestätigung die Vereinsdimension für SSOT_PROCESSABLE erfüllen, sofern alle übrigen kritischen SSOT-Voraussetzungen erfüllt sind. Sie begründet keine Zugehörigkeit vor oder nach T. Später belegte historische valid_from/to-Grenzen werden als neue historisierte Information ergänzt; der frühere Stichtagsnachweis, seine Evidence und der damalige SSOT-Stand bleiben unverändert reproduzierbar.</w:t>
            </w:r>
          </w:p>
        </w:tc>
        <w:tc>
          <w:tcPr>
            <w:tcW w:w="2623" w:type="dxa"/>
            <w:tcBorders/>
          </w:tcPr>
          <w:p w14:paraId="44719E72">
            <w:pPr>
              <w:pStyle w:val="style0"/>
              <w:rPr/>
            </w:pPr>
            <w:r>
              <w:t>SSOT; Rohdaten/Mapping; Kontrollmechanismen; Monitoring/Eligibility; MS2-W3</w:t>
            </w:r>
          </w:p>
        </w:tc>
        <w:tc>
          <w:tcPr>
            <w:tcW w:w="2623" w:type="dxa"/>
            <w:tcBorders/>
          </w:tcPr>
          <w:p w14:paraId="19CC2B86">
            <w:pPr>
              <w:pStyle w:val="style0"/>
              <w:rPr/>
            </w:pPr>
            <w:r>
              <w:t>REQ-SSOT-006 umsetzen; getrenntes SSOT-Objekt für Current-State-Bestätigung vorsehen; Mindest-Evidence, Prüf-/Freigabestatus, G3-/SSOT_PROCESSABLE-Wirkung, Replay und Historisierung technisch konkretisieren. Keine synthetischen club_valid_from erzeugen. DOC-015 fortschreiben; TC6-050 ergänzen.</w:t>
            </w:r>
          </w:p>
        </w:tc>
      </w:tr>
      <w:tr>
        <w:tc>
          <w:tcPr>
            <w:tcW w:w="2623" w:type="dxa"/>
            <w:tcBorders/>
          </w:tcPr>
          <w:p>
            <w:pPr/>
            <w:r>
              <w:rPr/>
              <w:t>DEC-033</w:t>
            </w:r>
          </w:p>
        </w:tc>
        <w:tc>
          <w:tcPr>
            <w:tcW w:w="2623" w:type="dxa"/>
            <w:tcBorders/>
          </w:tcPr>
          <w:p>
            <w:pPr/>
            <w:r>
              <w:rPr/>
              <w:t>Negativer Bundesliga-Stichtagsstatus</w:t>
            </w:r>
          </w:p>
        </w:tc>
        <w:tc>
          <w:tcPr>
            <w:tcW w:w="2623" w:type="dxa"/>
            <w:tcBorders/>
          </w:tcPr>
          <w:p>
            <w:pPr/>
            <w:r>
              <w:rPr/>
              <w:t>Beschlossen</w:t>
            </w:r>
          </w:p>
        </w:tc>
        <w:tc>
          <w:tcPr>
            <w:tcW w:w="2623" w:type="dxa"/>
            <w:tcBorders/>
          </w:tcPr>
          <w:p>
            <w:pPr/>
            <w:r>
              <w:rPr/>
              <w:t>Für einen bereits legitimierten Spieler darf die SSOT für einen fachlichen Stichtag T eine eigenständige, belegte negative Aussage führen, dass der Spieler zu diesem Zeitpunkt keinem aktuellen Bundesligaverein zugeordnet ist. Diese Aussage wird als stichtagsbezogener Bundesliga-Status geführt und ist fachlich von historischer PLAYER_CLUB_ASSIGNMENT, positiver PLAYER_CLUB_STATE_CONFIRMATION sowie einer fehlenden oder ungeklärten Vereinszuordnung getrennt. Der Status OUTSIDE_BUNDESLIGA bedeutet ausschließlich, dass für T positiv bestätigt ist, dass keine aktuelle Bundesliga-Vereinszugehörigkeit besteht; er behauptet weder einen historischen Austrittszeitpunkt noch einen Austrittsgrund. Bei positiver Prüfung/Freigabe und erfüllten übrigen SSOT-Voraussetzungen darf der Spieler für T SSOT_PROCESSABLE bleiben. Monitoring leitet daraus getrennt INELIGIBLE mit dem Reason Code NOT_CURRENTLY_BUNDESLIGA_ASSIGNABLE ab. Ein bestätigter negativer Status darf weder Dummy-club_id noch künstliches club_valid_from noch künstlichen Bundesliga-Spiel-/Lockbezug erzeugen. Fehlende oder widersprüchliche Evidence bleibt SSOT_BLOCKED/REVIEW_REQUIRED. Die stabile Spieleridentität bleibt unabhängig vom aktuellen Bundesliga-Status in der SSOT erhalten, damit Historie sowie spätere fachliche Prozesse, insbesondere Versteigerung/Joker und eine mögliche Rückkehr in die Bundesliga, weiterhin auf dieselbe player_id referenzieren können.</w:t>
            </w:r>
          </w:p>
        </w:tc>
        <w:tc>
          <w:tcPr>
            <w:tcW w:w="2623" w:type="dxa"/>
            <w:tcBorders/>
          </w:tcPr>
          <w:p>
            <w:pPr/>
            <w:r>
              <w:rPr/>
              <w:t>SSOT; Rohdaten/Mapping; Kontrollmechanismen; Monitoring/Eligibility; spätere Versteigerungs-/Jokermodule; MS2-W3</w:t>
            </w:r>
          </w:p>
        </w:tc>
        <w:tc>
          <w:tcPr>
            <w:tcW w:w="2623" w:type="dxa"/>
            <w:tcBorders/>
          </w:tcPr>
          <w:p>
            <w:pPr/>
            <w:r>
              <w:rPr/>
              <w:t>REQ-SSOT-007 umsetzen; PLAYER_BUNDESLIGA_STATE_CONFIRMATION mit OUTSIDE_BUNDESLIGA modellieren; CTL-K2-003/006/008, G3 sowie CTL-K3-006/007 und Eligibility-Semantik präzisieren; Replay/History testen. Keine neue CON.</w:t>
            </w:r>
          </w:p>
        </w:tc>
      </w:tr>
      <w:tr>
        <w:tc>
          <w:tcPr>
            <w:tcW w:w="2623" w:type="dxa"/>
            <w:tcBorders/>
          </w:tcPr>
          <w:p>
            <w:r/>
            <w:r>
              <w:rPr>
                <w:b w:val="0"/>
              </w:rPr>
              <w:t>DEC-034</w:t>
            </w:r>
          </w:p>
        </w:tc>
        <w:tc>
          <w:tcPr>
            <w:tcW w:w="2623" w:type="dxa"/>
            <w:tcBorders/>
          </w:tcPr>
          <w:p>
            <w:r/>
            <w:r>
              <w:rPr>
                <w:b w:val="0"/>
              </w:rPr>
              <w:t>Fortsetzungsstrategie nach datenlimitiertem W3.2-Pilot</w:t>
            </w:r>
          </w:p>
        </w:tc>
        <w:tc>
          <w:tcPr>
            <w:tcW w:w="2623" w:type="dxa"/>
            <w:tcBorders/>
          </w:tcPr>
          <w:p>
            <w:r/>
            <w:r>
              <w:rPr>
                <w:b w:val="0"/>
              </w:rPr>
              <w:t>Beschlossen</w:t>
            </w:r>
          </w:p>
        </w:tc>
        <w:tc>
          <w:tcPr>
            <w:tcW w:w="2623" w:type="dxa"/>
            <w:tcBorders/>
          </w:tcPr>
          <w:p>
            <w:r/>
            <w:r>
              <w:rPr>
                <w:b w:val="0"/>
              </w:rPr>
              <w:t>Der aktuelle Mathias-/GW2-Pilot mit data_as_of 2026-09-05T17:00:00+02:00 wird als CLOSED_DATA_LIMITED historisch abgeschlossen. Sein Ergebnis DATA_LIMITED / RELEASE_BLOCKED ist ein fachlich gültiger negativer Pilotbefund und darf nicht durch nachträgliche Imputation, stille Kandidatenentfernung, rückwirkende G5-Konstruktion oder Änderung des bestehenden Runs in einen positiven Befund umgedeutet werden. Die strategische Fortsetzung folgt verbindlich der Reihenfolge A_CURRENT_RUN → C_BOUNDED_SOURCE_CHECK → B_NEW_PILOT → D_ONLY_BY_NEW_DECISION. Option C ist als einmaliger, eng begrenzter Quellen-Fit-Check für die nachgewiesenen Blockerklassen ASSISTS und GRADE/oN autorisiert; sie ist keine allgemeine Rohdatenkampagne und erlaubt noch keinen Backfill. Option B ist für einen neuen regulären Pilotlauf nach kurzem Readiness-Preflight grundsätzlich autorisiert; der neue Lauf beginnt mit neuem fachlichem Pilotzeitpunkt, neuem data_as_of, neuem W3.1-Stand und neuem G4 und übernimmt keinen Freigabestatus aus GW2. Der Pilotzeitpunkt darf nicht opportunistisch allein aufgrund nachträglich bekannter günstiger Datenlage gewählt werden. Option D, also eine Modell- oder Datenregeländerung, ist nicht autorisiert und darf erst nach einem nicht hinreichenden Quellen-Fit-Check und mindestens einem sachgerecht gewählten neuen Pilotlauf erneut als Grundsatzfrage vorgelegt werden. Bis zu einem regulär freigegebenen W3.2-/G5-Zustand bleiben W3.3 und W3.4 blockiert.</w:t>
            </w:r>
          </w:p>
        </w:tc>
        <w:tc>
          <w:tcPr>
            <w:tcW w:w="2623" w:type="dxa"/>
            <w:tcBorders/>
          </w:tcPr>
          <w:p>
            <w:r/>
            <w:r>
              <w:rPr>
                <w:b w:val="0"/>
              </w:rPr>
              <w:t>MS2-W3; W3.1/W3.2/W3.3/W3.4; Gewinnung Rohdaten; Monitoring; Kontrollmechanismen; Projektsteuerung; G4/G5/G6/IG3</w:t>
            </w:r>
          </w:p>
        </w:tc>
        <w:tc>
          <w:tcPr>
            <w:tcW w:w="2623" w:type="dxa"/>
            <w:tcBorders/>
          </w:tcPr>
          <w:p>
            <w:r/>
            <w:r>
              <w:rPr>
                <w:b w:val="0"/>
              </w:rPr>
              <w:t>CURRENT_GW2 als CLOSED_DATA_LIMITED historisieren; BATCH_16_SAME_PROVIDER_PATH nicht autorisieren; Option-C-Quellen-Fit-Check beauftragen und kontrollseitig prüfen; danach neuen Pilotzeitpunkt per Readiness-Preflight auswählen und Option B mit neuem W3.1/G4 aufsetzen. Option D nur nach neuer Grundsatzvorlage. DOC-016 auf v0.3 fortschreiben; DOC-015 unverändert lassen; keine neue REQ/CON.</w:t>
            </w:r>
          </w:p>
        </w:tc>
      </w:tr>
    </w:tbl>
    <w:p w14:paraId="424A89EB">
      <w:pPr>
        <w:pStyle w:val="style0"/>
        <w:rPr/>
      </w:pPr>
      <w:r>
        <w:rPr>
          <w:i/>
          <w:sz w:val="16"/>
        </w:rPr>
        <w:t>Historischer Quellenanker: DOC-001 – Tabelle 1 der verbindlichen Fassung gemäß DOC-REG-001 Stand 3.2.</w:t>
      </w:r>
    </w:p>
    <w:p w14:paraId="F15B41FA">
      <w:pPr>
        <w:pStyle w:val="style1"/>
        <w:rPr/>
      </w:pPr>
      <w:r>
        <w:t>4. Anforderungsregister – vollständig</w:t>
      </w:r>
    </w:p>
    <w:tbl>
      <w:tblPr>
        <w:tblStyle w:val="style154"/>
        <w:tblW w:w="0" w:type="auto"/>
        <w:jc w:val="center"/>
        <w:tblLook w:val="04A0" w:firstRow="1" w:lastRow="0" w:firstColumn="1" w:lastColumn="0" w:noHBand="0" w:noVBand="1"/>
      </w:tblPr>
      <w:tblGrid>
        <w:gridCol w:w="1967"/>
        <w:gridCol w:w="1967"/>
        <w:gridCol w:w="1967"/>
        <w:gridCol w:w="1967"/>
        <w:gridCol w:w="1967"/>
        <w:gridCol w:w="1967"/>
        <w:gridCol w:w="1967"/>
        <w:gridCol w:w="1967"/>
      </w:tblGrid>
      <w:tr w14:paraId="FAA7BD61">
        <w:trPr>
          <w:tblHeader/>
          <w:jc w:val="center"/>
        </w:trPr>
        <w:tc>
          <w:tcPr>
            <w:tcW w:w="1967" w:type="dxa"/>
            <w:tcBorders/>
            <w:shd w:val="nil" w:color="auto" w:fill="d9eaf7"/>
          </w:tcPr>
          <w:p w14:paraId="4773247E">
            <w:pPr>
              <w:pStyle w:val="style0"/>
              <w:rPr/>
            </w:pPr>
            <w:r>
              <w:rPr>
                <w:b/>
                <w:sz w:val="12"/>
              </w:rPr>
              <w:t>ID</w:t>
            </w:r>
          </w:p>
        </w:tc>
        <w:tc>
          <w:tcPr>
            <w:tcW w:w="1967" w:type="dxa"/>
            <w:tcBorders/>
            <w:shd w:val="nil" w:color="auto" w:fill="d9eaf7"/>
          </w:tcPr>
          <w:p w14:paraId="5B1B3F9E">
            <w:pPr>
              <w:pStyle w:val="style0"/>
              <w:rPr/>
            </w:pPr>
            <w:r>
              <w:rPr>
                <w:b/>
                <w:sz w:val="12"/>
              </w:rPr>
              <w:t>Typ</w:t>
            </w:r>
          </w:p>
        </w:tc>
        <w:tc>
          <w:tcPr>
            <w:tcW w:w="1967" w:type="dxa"/>
            <w:tcBorders/>
            <w:shd w:val="nil" w:color="auto" w:fill="d9eaf7"/>
          </w:tcPr>
          <w:p w14:paraId="464CD936">
            <w:pPr>
              <w:pStyle w:val="style0"/>
              <w:rPr/>
            </w:pPr>
            <w:r>
              <w:rPr>
                <w:b/>
                <w:sz w:val="12"/>
              </w:rPr>
              <w:t>Anforderung</w:t>
            </w:r>
          </w:p>
        </w:tc>
        <w:tc>
          <w:tcPr>
            <w:tcW w:w="1967" w:type="dxa"/>
            <w:tcBorders/>
            <w:shd w:val="nil" w:color="auto" w:fill="d9eaf7"/>
          </w:tcPr>
          <w:p w14:paraId="A7F09CC5">
            <w:pPr>
              <w:pStyle w:val="style0"/>
              <w:rPr/>
            </w:pPr>
            <w:r>
              <w:rPr>
                <w:b/>
                <w:sz w:val="12"/>
              </w:rPr>
              <w:t>Priorität</w:t>
            </w:r>
          </w:p>
        </w:tc>
        <w:tc>
          <w:tcPr>
            <w:tcW w:w="1967" w:type="dxa"/>
            <w:tcBorders/>
            <w:shd w:val="nil" w:color="auto" w:fill="d9eaf7"/>
          </w:tcPr>
          <w:p w14:paraId="54698B65">
            <w:pPr>
              <w:pStyle w:val="style0"/>
              <w:rPr/>
            </w:pPr>
            <w:r>
              <w:rPr>
                <w:b/>
                <w:sz w:val="12"/>
              </w:rPr>
              <w:t>Quelle</w:t>
            </w:r>
          </w:p>
        </w:tc>
        <w:tc>
          <w:tcPr>
            <w:tcW w:w="1967" w:type="dxa"/>
            <w:tcBorders/>
            <w:shd w:val="nil" w:color="auto" w:fill="d9eaf7"/>
          </w:tcPr>
          <w:p w14:paraId="5CFED8E4">
            <w:pPr>
              <w:pStyle w:val="style0"/>
              <w:rPr/>
            </w:pPr>
            <w:r>
              <w:rPr>
                <w:b/>
                <w:sz w:val="12"/>
              </w:rPr>
              <w:t>Zuständig</w:t>
            </w:r>
          </w:p>
        </w:tc>
        <w:tc>
          <w:tcPr>
            <w:tcW w:w="1967" w:type="dxa"/>
            <w:tcBorders/>
            <w:shd w:val="nil" w:color="auto" w:fill="d9eaf7"/>
          </w:tcPr>
          <w:p w14:paraId="70B0C47E">
            <w:pPr>
              <w:pStyle w:val="style0"/>
              <w:rPr/>
            </w:pPr>
            <w:r>
              <w:rPr>
                <w:b/>
                <w:sz w:val="12"/>
              </w:rPr>
              <w:t>Abnahmekriterium</w:t>
            </w:r>
          </w:p>
        </w:tc>
        <w:tc>
          <w:tcPr>
            <w:tcW w:w="1967" w:type="dxa"/>
            <w:tcBorders/>
            <w:shd w:val="nil" w:color="auto" w:fill="d9eaf7"/>
          </w:tcPr>
          <w:p w14:paraId="A3D57D63">
            <w:pPr>
              <w:pStyle w:val="style0"/>
              <w:rPr/>
            </w:pPr>
            <w:r>
              <w:rPr>
                <w:b/>
                <w:sz w:val="12"/>
              </w:rPr>
              <w:t>Status</w:t>
            </w:r>
          </w:p>
        </w:tc>
      </w:tr>
      <w:tr w14:paraId="9D6DBFBC">
        <w:tblPrEx/>
        <w:trPr>
          <w:jc w:val="center"/>
        </w:trPr>
        <w:tc>
          <w:tcPr>
            <w:tcW w:w="1967" w:type="dxa"/>
            <w:tcBorders/>
          </w:tcPr>
          <w:p w14:paraId="6C6C7102">
            <w:pPr>
              <w:pStyle w:val="style0"/>
              <w:rPr/>
            </w:pPr>
            <w:r>
              <w:rPr>
                <w:b w:val="false"/>
                <w:sz w:val="12"/>
              </w:rPr>
              <w:t>REQ-GOV-001</w:t>
            </w:r>
          </w:p>
        </w:tc>
        <w:tc>
          <w:tcPr>
            <w:tcW w:w="1967" w:type="dxa"/>
            <w:tcBorders/>
          </w:tcPr>
          <w:p w14:paraId="C99C85F9">
            <w:pPr>
              <w:pStyle w:val="style0"/>
              <w:rPr/>
            </w:pPr>
            <w:r>
              <w:rPr>
                <w:b w:val="false"/>
                <w:sz w:val="12"/>
              </w:rPr>
              <w:t>Governance</w:t>
            </w:r>
          </w:p>
        </w:tc>
        <w:tc>
          <w:tcPr>
            <w:tcW w:w="1967" w:type="dxa"/>
            <w:tcBorders/>
          </w:tcPr>
          <w:p w14:paraId="BF56C30C">
            <w:pPr>
              <w:pStyle w:val="style0"/>
              <w:rPr/>
            </w:pPr>
            <w:r>
              <w:rPr>
                <w:b w:val="false"/>
                <w:sz w:val="12"/>
              </w:rPr>
              <w:t>Jede verbindliche Regel muss auf eine DEC-ID zurückgeführt werden können.</w:t>
            </w:r>
          </w:p>
        </w:tc>
        <w:tc>
          <w:tcPr>
            <w:tcW w:w="1967" w:type="dxa"/>
            <w:tcBorders/>
          </w:tcPr>
          <w:p w14:paraId="34EFA189">
            <w:pPr>
              <w:pStyle w:val="style0"/>
              <w:rPr/>
            </w:pPr>
            <w:r>
              <w:rPr>
                <w:b w:val="false"/>
                <w:sz w:val="12"/>
              </w:rPr>
              <w:t>Muss</w:t>
            </w:r>
          </w:p>
        </w:tc>
        <w:tc>
          <w:tcPr>
            <w:tcW w:w="1967" w:type="dxa"/>
            <w:tcBorders/>
          </w:tcPr>
          <w:p w14:paraId="DC5560E5">
            <w:pPr>
              <w:pStyle w:val="style0"/>
              <w:rPr/>
            </w:pPr>
            <w:r>
              <w:rPr>
                <w:b w:val="false"/>
                <w:sz w:val="12"/>
              </w:rPr>
              <w:t>DEC-012</w:t>
            </w:r>
          </w:p>
        </w:tc>
        <w:tc>
          <w:tcPr>
            <w:tcW w:w="1967" w:type="dxa"/>
            <w:tcBorders/>
          </w:tcPr>
          <w:p w14:paraId="B61D8095">
            <w:pPr>
              <w:pStyle w:val="style0"/>
              <w:rPr/>
            </w:pPr>
            <w:r>
              <w:rPr>
                <w:b w:val="false"/>
                <w:sz w:val="12"/>
              </w:rPr>
              <w:t>Projektsteuerung</w:t>
            </w:r>
          </w:p>
        </w:tc>
        <w:tc>
          <w:tcPr>
            <w:tcW w:w="1967" w:type="dxa"/>
            <w:tcBorders/>
          </w:tcPr>
          <w:p w14:paraId="FDFDE370">
            <w:pPr>
              <w:pStyle w:val="style0"/>
              <w:rPr/>
            </w:pPr>
            <w:r>
              <w:rPr>
                <w:b w:val="false"/>
                <w:sz w:val="12"/>
              </w:rPr>
              <w:t>Kein produktiver Prozessschritt ohne referenzierte Entscheidung.</w:t>
            </w:r>
          </w:p>
        </w:tc>
        <w:tc>
          <w:tcPr>
            <w:tcW w:w="1967" w:type="dxa"/>
            <w:tcBorders/>
          </w:tcPr>
          <w:p w14:paraId="C258E00F">
            <w:pPr>
              <w:pStyle w:val="style0"/>
              <w:rPr/>
            </w:pPr>
            <w:r>
              <w:rPr>
                <w:b w:val="false"/>
                <w:sz w:val="12"/>
              </w:rPr>
              <w:t>Offen</w:t>
            </w:r>
          </w:p>
        </w:tc>
      </w:tr>
      <w:tr w14:paraId="0D653705">
        <w:tblPrEx/>
        <w:trPr>
          <w:jc w:val="center"/>
        </w:trPr>
        <w:tc>
          <w:tcPr>
            <w:tcW w:w="1967" w:type="dxa"/>
            <w:tcBorders/>
          </w:tcPr>
          <w:p w14:paraId="DC55E9B0">
            <w:pPr>
              <w:pStyle w:val="style0"/>
              <w:rPr/>
            </w:pPr>
            <w:r>
              <w:rPr>
                <w:b w:val="false"/>
                <w:sz w:val="12"/>
              </w:rPr>
              <w:t>REQ-SSOT-001</w:t>
            </w:r>
          </w:p>
        </w:tc>
        <w:tc>
          <w:tcPr>
            <w:tcW w:w="1967" w:type="dxa"/>
            <w:tcBorders/>
          </w:tcPr>
          <w:p w14:paraId="8DD28D14">
            <w:pPr>
              <w:pStyle w:val="style0"/>
              <w:rPr/>
            </w:pPr>
            <w:r>
              <w:rPr>
                <w:b w:val="false"/>
                <w:sz w:val="12"/>
              </w:rPr>
              <w:t>Daten</w:t>
            </w:r>
          </w:p>
        </w:tc>
        <w:tc>
          <w:tcPr>
            <w:tcW w:w="1967" w:type="dxa"/>
            <w:tcBorders/>
          </w:tcPr>
          <w:p w14:paraId="36BFABC1">
            <w:pPr>
              <w:pStyle w:val="style0"/>
              <w:rPr/>
            </w:pPr>
            <w:r>
              <w:rPr>
                <w:b w:val="false"/>
                <w:sz w:val="12"/>
              </w:rPr>
              <w:t>Verein und Position werden ausschließlich aus der SSOT gelesen.</w:t>
            </w:r>
          </w:p>
        </w:tc>
        <w:tc>
          <w:tcPr>
            <w:tcW w:w="1967" w:type="dxa"/>
            <w:tcBorders/>
          </w:tcPr>
          <w:p w14:paraId="D6D48EF2">
            <w:pPr>
              <w:pStyle w:val="style0"/>
              <w:rPr/>
            </w:pPr>
            <w:r>
              <w:rPr>
                <w:b w:val="false"/>
                <w:sz w:val="12"/>
              </w:rPr>
              <w:t>Muss</w:t>
            </w:r>
          </w:p>
        </w:tc>
        <w:tc>
          <w:tcPr>
            <w:tcW w:w="1967" w:type="dxa"/>
            <w:tcBorders/>
          </w:tcPr>
          <w:p w14:paraId="292EE51A">
            <w:pPr>
              <w:pStyle w:val="style0"/>
              <w:rPr/>
            </w:pPr>
            <w:r>
              <w:rPr>
                <w:b w:val="false"/>
                <w:sz w:val="12"/>
              </w:rPr>
              <w:t>DEC-001</w:t>
            </w:r>
          </w:p>
        </w:tc>
        <w:tc>
          <w:tcPr>
            <w:tcW w:w="1967" w:type="dxa"/>
            <w:tcBorders/>
          </w:tcPr>
          <w:p w14:paraId="6FF8373E">
            <w:pPr>
              <w:pStyle w:val="style0"/>
              <w:rPr/>
            </w:pPr>
            <w:r>
              <w:rPr>
                <w:b w:val="false"/>
                <w:sz w:val="12"/>
              </w:rPr>
              <w:t>SSOT</w:t>
            </w:r>
          </w:p>
        </w:tc>
        <w:tc>
          <w:tcPr>
            <w:tcW w:w="1967" w:type="dxa"/>
            <w:tcBorders/>
          </w:tcPr>
          <w:p w14:paraId="75323B0C">
            <w:pPr>
              <w:pStyle w:val="style0"/>
              <w:rPr/>
            </w:pPr>
            <w:r>
              <w:rPr>
                <w:b w:val="false"/>
                <w:sz w:val="12"/>
              </w:rPr>
              <w:t>Importtest kann bestehende Werte nicht ungeprüft überschreiben.</w:t>
            </w:r>
          </w:p>
        </w:tc>
        <w:tc>
          <w:tcPr>
            <w:tcW w:w="1967" w:type="dxa"/>
            <w:tcBorders/>
          </w:tcPr>
          <w:p w14:paraId="6BDA1036">
            <w:pPr>
              <w:pStyle w:val="style0"/>
              <w:rPr/>
            </w:pPr>
            <w:r>
              <w:rPr>
                <w:b w:val="false"/>
                <w:sz w:val="12"/>
              </w:rPr>
              <w:t>Offen</w:t>
            </w:r>
          </w:p>
        </w:tc>
      </w:tr>
      <w:tr w14:paraId="342641A8">
        <w:tblPrEx/>
        <w:trPr>
          <w:jc w:val="center"/>
        </w:trPr>
        <w:tc>
          <w:tcPr>
            <w:tcW w:w="1967" w:type="dxa"/>
            <w:tcBorders/>
          </w:tcPr>
          <w:p w14:paraId="F6568245">
            <w:pPr>
              <w:pStyle w:val="style0"/>
              <w:rPr/>
            </w:pPr>
            <w:r>
              <w:rPr>
                <w:b w:val="false"/>
                <w:sz w:val="12"/>
              </w:rPr>
              <w:t>REQ-SSOT-002</w:t>
            </w:r>
          </w:p>
        </w:tc>
        <w:tc>
          <w:tcPr>
            <w:tcW w:w="1967" w:type="dxa"/>
            <w:tcBorders/>
          </w:tcPr>
          <w:p w14:paraId="4779BB9E">
            <w:pPr>
              <w:pStyle w:val="style0"/>
              <w:rPr/>
            </w:pPr>
            <w:r>
              <w:rPr>
                <w:b w:val="false"/>
                <w:sz w:val="12"/>
              </w:rPr>
              <w:t>Daten</w:t>
            </w:r>
          </w:p>
        </w:tc>
        <w:tc>
          <w:tcPr>
            <w:tcW w:w="1967" w:type="dxa"/>
            <w:tcBorders/>
          </w:tcPr>
          <w:p w14:paraId="D271A87B">
            <w:pPr>
              <w:pStyle w:val="style0"/>
              <w:rPr/>
            </w:pPr>
            <w:r>
              <w:rPr>
                <w:b w:val="false"/>
                <w:sz w:val="12"/>
              </w:rPr>
              <w:t>Die saisonal gültige Positionsklassifizierung wird historisiert.</w:t>
            </w:r>
          </w:p>
        </w:tc>
        <w:tc>
          <w:tcPr>
            <w:tcW w:w="1967" w:type="dxa"/>
            <w:tcBorders/>
          </w:tcPr>
          <w:p w14:paraId="E3FC079B">
            <w:pPr>
              <w:pStyle w:val="style0"/>
              <w:rPr/>
            </w:pPr>
            <w:r>
              <w:rPr>
                <w:b w:val="false"/>
                <w:sz w:val="12"/>
              </w:rPr>
              <w:t>Muss</w:t>
            </w:r>
          </w:p>
        </w:tc>
        <w:tc>
          <w:tcPr>
            <w:tcW w:w="1967" w:type="dxa"/>
            <w:tcBorders/>
          </w:tcPr>
          <w:p w14:paraId="FE63B27C">
            <w:pPr>
              <w:pStyle w:val="style0"/>
              <w:rPr/>
            </w:pPr>
            <w:r>
              <w:rPr>
                <w:b w:val="false"/>
                <w:sz w:val="12"/>
              </w:rPr>
              <w:t>DEC-009</w:t>
            </w:r>
          </w:p>
        </w:tc>
        <w:tc>
          <w:tcPr>
            <w:tcW w:w="1967" w:type="dxa"/>
            <w:tcBorders/>
          </w:tcPr>
          <w:p w14:paraId="DE1463A3">
            <w:pPr>
              <w:pStyle w:val="style0"/>
              <w:rPr/>
            </w:pPr>
            <w:r>
              <w:rPr>
                <w:b w:val="false"/>
                <w:sz w:val="12"/>
              </w:rPr>
              <w:t>SSOT</w:t>
            </w:r>
          </w:p>
        </w:tc>
        <w:tc>
          <w:tcPr>
            <w:tcW w:w="1967" w:type="dxa"/>
            <w:tcBorders/>
          </w:tcPr>
          <w:p w14:paraId="BF68E7A7">
            <w:pPr>
              <w:pStyle w:val="style0"/>
              <w:rPr/>
            </w:pPr>
            <w:r>
              <w:rPr>
                <w:b w:val="false"/>
                <w:sz w:val="12"/>
              </w:rPr>
              <w:t>Historische Spieltage reproduzieren die damals gültige Position.</w:t>
            </w:r>
          </w:p>
        </w:tc>
        <w:tc>
          <w:tcPr>
            <w:tcW w:w="1967" w:type="dxa"/>
            <w:tcBorders/>
          </w:tcPr>
          <w:p w14:paraId="CC0B82CE">
            <w:pPr>
              <w:pStyle w:val="style0"/>
              <w:rPr/>
            </w:pPr>
            <w:r>
              <w:rPr>
                <w:b w:val="false"/>
                <w:sz w:val="12"/>
              </w:rPr>
              <w:t>Offen</w:t>
            </w:r>
          </w:p>
        </w:tc>
      </w:tr>
      <w:tr w14:paraId="44559B87">
        <w:tblPrEx/>
        <w:trPr>
          <w:jc w:val="center"/>
        </w:trPr>
        <w:tc>
          <w:tcPr>
            <w:tcW w:w="1967" w:type="dxa"/>
            <w:tcBorders/>
          </w:tcPr>
          <w:p w14:paraId="20048521">
            <w:pPr>
              <w:pStyle w:val="style0"/>
              <w:rPr/>
            </w:pPr>
            <w:r>
              <w:rPr>
                <w:b w:val="false"/>
                <w:sz w:val="12"/>
              </w:rPr>
              <w:t>REQ-DAT-001</w:t>
            </w:r>
          </w:p>
        </w:tc>
        <w:tc>
          <w:tcPr>
            <w:tcW w:w="1967" w:type="dxa"/>
            <w:tcBorders/>
          </w:tcPr>
          <w:p w14:paraId="EBCA8BD0">
            <w:pPr>
              <w:pStyle w:val="style0"/>
              <w:rPr/>
            </w:pPr>
            <w:r>
              <w:rPr>
                <w:b w:val="false"/>
                <w:sz w:val="12"/>
              </w:rPr>
              <w:t>Import</w:t>
            </w:r>
          </w:p>
        </w:tc>
        <w:tc>
          <w:tcPr>
            <w:tcW w:w="1967" w:type="dxa"/>
            <w:tcBorders/>
          </w:tcPr>
          <w:p w14:paraId="F494664F">
            <w:pPr>
              <w:pStyle w:val="style0"/>
              <w:rPr/>
            </w:pPr>
            <w:r>
              <w:rPr>
                <w:b w:val="false"/>
                <w:sz w:val="12"/>
              </w:rPr>
              <w:t>Neue, geänderte oder unklare Rohdatensätze werden in einer Prüfliste markiert.</w:t>
            </w:r>
          </w:p>
        </w:tc>
        <w:tc>
          <w:tcPr>
            <w:tcW w:w="1967" w:type="dxa"/>
            <w:tcBorders/>
          </w:tcPr>
          <w:p w14:paraId="23104362">
            <w:pPr>
              <w:pStyle w:val="style0"/>
              <w:rPr/>
            </w:pPr>
            <w:r>
              <w:rPr>
                <w:b w:val="false"/>
                <w:sz w:val="12"/>
              </w:rPr>
              <w:t>Muss</w:t>
            </w:r>
          </w:p>
        </w:tc>
        <w:tc>
          <w:tcPr>
            <w:tcW w:w="1967" w:type="dxa"/>
            <w:tcBorders/>
          </w:tcPr>
          <w:p w14:paraId="090638C6">
            <w:pPr>
              <w:pStyle w:val="style0"/>
              <w:rPr/>
            </w:pPr>
            <w:r>
              <w:rPr>
                <w:b w:val="false"/>
                <w:sz w:val="12"/>
              </w:rPr>
              <w:t>DEC-001/011</w:t>
            </w:r>
          </w:p>
        </w:tc>
        <w:tc>
          <w:tcPr>
            <w:tcW w:w="1967" w:type="dxa"/>
            <w:tcBorders/>
          </w:tcPr>
          <w:p w14:paraId="E9AC424E">
            <w:pPr>
              <w:pStyle w:val="style0"/>
              <w:rPr/>
            </w:pPr>
            <w:r>
              <w:rPr>
                <w:b w:val="false"/>
                <w:sz w:val="12"/>
              </w:rPr>
              <w:t>Rohdaten; Kontrollen</w:t>
            </w:r>
          </w:p>
        </w:tc>
        <w:tc>
          <w:tcPr>
            <w:tcW w:w="1967" w:type="dxa"/>
            <w:tcBorders/>
          </w:tcPr>
          <w:p w14:paraId="5653402B">
            <w:pPr>
              <w:pStyle w:val="style0"/>
              <w:rPr/>
            </w:pPr>
            <w:r>
              <w:rPr>
                <w:b w:val="false"/>
                <w:sz w:val="12"/>
              </w:rPr>
              <w:t>Testimport erzeugt Abweichungsliste statt stiller Überschreibung.</w:t>
            </w:r>
          </w:p>
        </w:tc>
        <w:tc>
          <w:tcPr>
            <w:tcW w:w="1967" w:type="dxa"/>
            <w:tcBorders/>
          </w:tcPr>
          <w:p w14:paraId="ADA95E2A">
            <w:pPr>
              <w:pStyle w:val="style0"/>
              <w:rPr/>
            </w:pPr>
            <w:r>
              <w:rPr>
                <w:b w:val="false"/>
                <w:sz w:val="12"/>
              </w:rPr>
              <w:t>Offen</w:t>
            </w:r>
          </w:p>
        </w:tc>
      </w:tr>
      <w:tr w14:paraId="E86D40B7">
        <w:tblPrEx/>
        <w:trPr>
          <w:jc w:val="center"/>
        </w:trPr>
        <w:tc>
          <w:tcPr>
            <w:tcW w:w="1967" w:type="dxa"/>
            <w:tcBorders/>
          </w:tcPr>
          <w:p w14:paraId="37CDFCA0">
            <w:pPr>
              <w:pStyle w:val="style0"/>
              <w:rPr/>
            </w:pPr>
            <w:r>
              <w:rPr>
                <w:b w:val="false"/>
                <w:sz w:val="12"/>
              </w:rPr>
              <w:t>REQ-MON-001</w:t>
            </w:r>
          </w:p>
        </w:tc>
        <w:tc>
          <w:tcPr>
            <w:tcW w:w="1967" w:type="dxa"/>
            <w:tcBorders/>
          </w:tcPr>
          <w:p w14:paraId="3D3E9E1B">
            <w:pPr>
              <w:pStyle w:val="style0"/>
              <w:rPr/>
            </w:pPr>
            <w:r>
              <w:rPr>
                <w:b w:val="false"/>
                <w:sz w:val="12"/>
              </w:rPr>
              <w:t>Funktional</w:t>
            </w:r>
          </w:p>
        </w:tc>
        <w:tc>
          <w:tcPr>
            <w:tcW w:w="1967" w:type="dxa"/>
            <w:tcBorders/>
          </w:tcPr>
          <w:p w14:paraId="ECFDA82A">
            <w:pPr>
              <w:pStyle w:val="style0"/>
              <w:rPr/>
            </w:pPr>
            <w:r>
              <w:rPr>
                <w:b w:val="false"/>
                <w:sz w:val="12"/>
              </w:rPr>
              <w:t>Aufstellungen müssen genau 1 T, 4 A, 4 M, 2 S und je einen positionsgetreuen Ersatz enthalten.</w:t>
            </w:r>
          </w:p>
        </w:tc>
        <w:tc>
          <w:tcPr>
            <w:tcW w:w="1967" w:type="dxa"/>
            <w:tcBorders/>
          </w:tcPr>
          <w:p w14:paraId="7B51BB16">
            <w:pPr>
              <w:pStyle w:val="style0"/>
              <w:rPr/>
            </w:pPr>
            <w:r>
              <w:rPr>
                <w:b w:val="false"/>
                <w:sz w:val="12"/>
              </w:rPr>
              <w:t>Muss</w:t>
            </w:r>
          </w:p>
        </w:tc>
        <w:tc>
          <w:tcPr>
            <w:tcW w:w="1967" w:type="dxa"/>
            <w:tcBorders/>
          </w:tcPr>
          <w:p w14:paraId="40201C52">
            <w:pPr>
              <w:pStyle w:val="style0"/>
              <w:rPr/>
            </w:pPr>
            <w:r>
              <w:rPr>
                <w:b w:val="false"/>
                <w:sz w:val="12"/>
              </w:rPr>
              <w:t>DEC-002</w:t>
            </w:r>
          </w:p>
        </w:tc>
        <w:tc>
          <w:tcPr>
            <w:tcW w:w="1967" w:type="dxa"/>
            <w:tcBorders/>
          </w:tcPr>
          <w:p w14:paraId="9D86C4E3">
            <w:pPr>
              <w:pStyle w:val="style0"/>
              <w:rPr/>
            </w:pPr>
            <w:r>
              <w:rPr>
                <w:b w:val="false"/>
                <w:sz w:val="12"/>
              </w:rPr>
              <w:t>Monitoring</w:t>
            </w:r>
          </w:p>
        </w:tc>
        <w:tc>
          <w:tcPr>
            <w:tcW w:w="1967" w:type="dxa"/>
            <w:tcBorders/>
          </w:tcPr>
          <w:p w14:paraId="EA20B287">
            <w:pPr>
              <w:pStyle w:val="style0"/>
              <w:rPr/>
            </w:pPr>
            <w:r>
              <w:rPr>
                <w:b w:val="false"/>
                <w:sz w:val="12"/>
              </w:rPr>
              <w:t>Ungültige Formation wird blockiert oder klar gemeldet.</w:t>
            </w:r>
          </w:p>
        </w:tc>
        <w:tc>
          <w:tcPr>
            <w:tcW w:w="1967" w:type="dxa"/>
            <w:tcBorders/>
          </w:tcPr>
          <w:p w14:paraId="EBFF6586">
            <w:pPr>
              <w:pStyle w:val="style0"/>
              <w:rPr/>
            </w:pPr>
            <w:r>
              <w:rPr>
                <w:b w:val="false"/>
                <w:sz w:val="12"/>
              </w:rPr>
              <w:t>Offen</w:t>
            </w:r>
          </w:p>
        </w:tc>
      </w:tr>
      <w:tr w14:paraId="B4F0E4CF">
        <w:tblPrEx/>
        <w:trPr>
          <w:jc w:val="center"/>
        </w:trPr>
        <w:tc>
          <w:tcPr>
            <w:tcW w:w="1967" w:type="dxa"/>
            <w:tcBorders/>
          </w:tcPr>
          <w:p w14:paraId="62A03F61">
            <w:pPr>
              <w:pStyle w:val="style0"/>
              <w:rPr/>
            </w:pPr>
            <w:r>
              <w:rPr>
                <w:b w:val="false"/>
                <w:sz w:val="12"/>
              </w:rPr>
              <w:t>REQ-MON-002</w:t>
            </w:r>
          </w:p>
        </w:tc>
        <w:tc>
          <w:tcPr>
            <w:tcW w:w="1967" w:type="dxa"/>
            <w:tcBorders/>
          </w:tcPr>
          <w:p w14:paraId="FB3025C1">
            <w:pPr>
              <w:pStyle w:val="style0"/>
              <w:rPr/>
            </w:pPr>
            <w:r>
              <w:rPr>
                <w:b w:val="false"/>
                <w:sz w:val="12"/>
              </w:rPr>
              <w:t>Funktional</w:t>
            </w:r>
          </w:p>
        </w:tc>
        <w:tc>
          <w:tcPr>
            <w:tcW w:w="1967" w:type="dxa"/>
            <w:tcBorders/>
          </w:tcPr>
          <w:p w14:paraId="9F7035DF">
            <w:pPr>
              <w:pStyle w:val="style0"/>
              <w:rPr/>
            </w:pPr>
            <w:r>
              <w:rPr>
                <w:b w:val="false"/>
                <w:sz w:val="12"/>
              </w:rPr>
              <w:t>Ein Ersatzspieler rückt nur bei ng eines Stammspielers derselben Position nach.</w:t>
            </w:r>
          </w:p>
        </w:tc>
        <w:tc>
          <w:tcPr>
            <w:tcW w:w="1967" w:type="dxa"/>
            <w:tcBorders/>
          </w:tcPr>
          <w:p w14:paraId="0A6CA154">
            <w:pPr>
              <w:pStyle w:val="style0"/>
              <w:rPr/>
            </w:pPr>
            <w:r>
              <w:rPr>
                <w:b w:val="false"/>
                <w:sz w:val="12"/>
              </w:rPr>
              <w:t>Muss</w:t>
            </w:r>
          </w:p>
        </w:tc>
        <w:tc>
          <w:tcPr>
            <w:tcW w:w="1967" w:type="dxa"/>
            <w:tcBorders/>
          </w:tcPr>
          <w:p w14:paraId="6209263D">
            <w:pPr>
              <w:pStyle w:val="style0"/>
              <w:rPr/>
            </w:pPr>
            <w:r>
              <w:rPr>
                <w:b w:val="false"/>
                <w:sz w:val="12"/>
              </w:rPr>
              <w:t>DEC-002</w:t>
            </w:r>
          </w:p>
        </w:tc>
        <w:tc>
          <w:tcPr>
            <w:tcW w:w="1967" w:type="dxa"/>
            <w:tcBorders/>
          </w:tcPr>
          <w:p w14:paraId="09DAFCB8">
            <w:pPr>
              <w:pStyle w:val="style0"/>
              <w:rPr/>
            </w:pPr>
            <w:r>
              <w:rPr>
                <w:b w:val="false"/>
                <w:sz w:val="12"/>
              </w:rPr>
              <w:t>Monitoring</w:t>
            </w:r>
          </w:p>
        </w:tc>
        <w:tc>
          <w:tcPr>
            <w:tcW w:w="1967" w:type="dxa"/>
            <w:tcBorders/>
          </w:tcPr>
          <w:p w14:paraId="0DB17B40">
            <w:pPr>
              <w:pStyle w:val="style0"/>
              <w:rPr/>
            </w:pPr>
            <w:r>
              <w:rPr>
                <w:b w:val="false"/>
                <w:sz w:val="12"/>
              </w:rPr>
              <w:t>Testfälle ng/oN/mehrere ng liefern erwartete Wertung.</w:t>
            </w:r>
          </w:p>
        </w:tc>
        <w:tc>
          <w:tcPr>
            <w:tcW w:w="1967" w:type="dxa"/>
            <w:tcBorders/>
          </w:tcPr>
          <w:p w14:paraId="B1EC7F4B">
            <w:pPr>
              <w:pStyle w:val="style0"/>
              <w:rPr/>
            </w:pPr>
            <w:r>
              <w:rPr>
                <w:b w:val="false"/>
                <w:sz w:val="12"/>
              </w:rPr>
              <w:t>Offen</w:t>
            </w:r>
          </w:p>
        </w:tc>
      </w:tr>
      <w:tr w14:paraId="30EA1EB0">
        <w:tblPrEx/>
        <w:trPr>
          <w:jc w:val="center"/>
        </w:trPr>
        <w:tc>
          <w:tcPr>
            <w:tcW w:w="1967" w:type="dxa"/>
            <w:tcBorders/>
          </w:tcPr>
          <w:p w14:paraId="BE20DB7E">
            <w:pPr>
              <w:pStyle w:val="style0"/>
              <w:rPr/>
            </w:pPr>
            <w:r>
              <w:rPr>
                <w:b w:val="false"/>
                <w:sz w:val="12"/>
              </w:rPr>
              <w:t>REQ-MON-003</w:t>
            </w:r>
          </w:p>
        </w:tc>
        <w:tc>
          <w:tcPr>
            <w:tcW w:w="1967" w:type="dxa"/>
            <w:tcBorders/>
          </w:tcPr>
          <w:p w14:paraId="50BF6B93">
            <w:pPr>
              <w:pStyle w:val="style0"/>
              <w:rPr/>
            </w:pPr>
            <w:r>
              <w:rPr>
                <w:b w:val="false"/>
                <w:sz w:val="12"/>
              </w:rPr>
              <w:t>Berechnung</w:t>
            </w:r>
          </w:p>
        </w:tc>
        <w:tc>
          <w:tcPr>
            <w:tcW w:w="1967" w:type="dxa"/>
            <w:tcBorders/>
          </w:tcPr>
          <w:p w14:paraId="C1605F9D">
            <w:pPr>
              <w:pStyle w:val="style0"/>
              <w:rPr/>
            </w:pPr>
            <w:r>
              <w:rPr>
                <w:b w:val="false"/>
                <w:sz w:val="12"/>
              </w:rPr>
              <w:t>Kategorienpunkte werden relativ zur Teilnehmerzahl und mit Durchschnittsrängen bei Gleichstand berechnet.</w:t>
            </w:r>
          </w:p>
        </w:tc>
        <w:tc>
          <w:tcPr>
            <w:tcW w:w="1967" w:type="dxa"/>
            <w:tcBorders/>
          </w:tcPr>
          <w:p w14:paraId="2941B5CC">
            <w:pPr>
              <w:pStyle w:val="style0"/>
              <w:rPr/>
            </w:pPr>
            <w:r>
              <w:rPr>
                <w:b w:val="false"/>
                <w:sz w:val="12"/>
              </w:rPr>
              <w:t>Muss</w:t>
            </w:r>
          </w:p>
        </w:tc>
        <w:tc>
          <w:tcPr>
            <w:tcW w:w="1967" w:type="dxa"/>
            <w:tcBorders/>
          </w:tcPr>
          <w:p w14:paraId="28E0CFAD">
            <w:pPr>
              <w:pStyle w:val="style0"/>
              <w:rPr/>
            </w:pPr>
            <w:r>
              <w:rPr>
                <w:b w:val="false"/>
                <w:sz w:val="12"/>
              </w:rPr>
              <w:t>DEC-005</w:t>
            </w:r>
          </w:p>
        </w:tc>
        <w:tc>
          <w:tcPr>
            <w:tcW w:w="1967" w:type="dxa"/>
            <w:tcBorders/>
          </w:tcPr>
          <w:p w14:paraId="83769E88">
            <w:pPr>
              <w:pStyle w:val="style0"/>
              <w:rPr/>
            </w:pPr>
            <w:r>
              <w:rPr>
                <w:b w:val="false"/>
                <w:sz w:val="12"/>
              </w:rPr>
              <w:t>Monitoring</w:t>
            </w:r>
          </w:p>
        </w:tc>
        <w:tc>
          <w:tcPr>
            <w:tcW w:w="1967" w:type="dxa"/>
            <w:tcBorders/>
          </w:tcPr>
          <w:p w14:paraId="C8D4E4AB">
            <w:pPr>
              <w:pStyle w:val="style0"/>
              <w:rPr/>
            </w:pPr>
            <w:r>
              <w:rPr>
                <w:b w:val="false"/>
                <w:sz w:val="12"/>
              </w:rPr>
              <w:t>Beispiel 5/5/3/0/0 ergibt 4,5/4,5/3/1,5/1,5.</w:t>
            </w:r>
          </w:p>
        </w:tc>
        <w:tc>
          <w:tcPr>
            <w:tcW w:w="1967" w:type="dxa"/>
            <w:tcBorders/>
          </w:tcPr>
          <w:p w14:paraId="2FCF5CAF">
            <w:pPr>
              <w:pStyle w:val="style0"/>
              <w:rPr/>
            </w:pPr>
            <w:r>
              <w:rPr>
                <w:b w:val="false"/>
                <w:sz w:val="12"/>
              </w:rPr>
              <w:t>Offen</w:t>
            </w:r>
          </w:p>
        </w:tc>
      </w:tr>
      <w:tr w14:paraId="EEADB024">
        <w:tblPrEx/>
        <w:trPr>
          <w:jc w:val="center"/>
        </w:trPr>
        <w:tc>
          <w:tcPr>
            <w:tcW w:w="1967" w:type="dxa"/>
            <w:tcBorders/>
          </w:tcPr>
          <w:p w14:paraId="290F9C9D">
            <w:pPr>
              <w:pStyle w:val="style0"/>
              <w:rPr/>
            </w:pPr>
            <w:r>
              <w:rPr>
                <w:b w:val="false"/>
                <w:sz w:val="12"/>
              </w:rPr>
              <w:t>REQ-MON-004</w:t>
            </w:r>
          </w:p>
        </w:tc>
        <w:tc>
          <w:tcPr>
            <w:tcW w:w="1967" w:type="dxa"/>
            <w:tcBorders/>
          </w:tcPr>
          <w:p w14:paraId="D07148C1">
            <w:pPr>
              <w:pStyle w:val="style0"/>
              <w:rPr/>
            </w:pPr>
            <w:r>
              <w:rPr>
                <w:b w:val="false"/>
                <w:sz w:val="12"/>
              </w:rPr>
              <w:t>Berechnung</w:t>
            </w:r>
          </w:p>
        </w:tc>
        <w:tc>
          <w:tcPr>
            <w:tcW w:w="1967" w:type="dxa"/>
            <w:tcBorders/>
          </w:tcPr>
          <w:p w14:paraId="2C780A50">
            <w:pPr>
              <w:pStyle w:val="style0"/>
              <w:rPr/>
            </w:pPr>
            <w:r>
              <w:rPr>
                <w:b w:val="false"/>
                <w:sz w:val="12"/>
              </w:rPr>
              <w:t>Notendurchschnitt berücksichtigt nur benotete Spieler; leere Menge belegt letzten Platz.</w:t>
            </w:r>
          </w:p>
        </w:tc>
        <w:tc>
          <w:tcPr>
            <w:tcW w:w="1967" w:type="dxa"/>
            <w:tcBorders/>
          </w:tcPr>
          <w:p w14:paraId="8B170E64">
            <w:pPr>
              <w:pStyle w:val="style0"/>
              <w:rPr/>
            </w:pPr>
            <w:r>
              <w:rPr>
                <w:b w:val="false"/>
                <w:sz w:val="12"/>
              </w:rPr>
              <w:t>Muss</w:t>
            </w:r>
          </w:p>
        </w:tc>
        <w:tc>
          <w:tcPr>
            <w:tcW w:w="1967" w:type="dxa"/>
            <w:tcBorders/>
          </w:tcPr>
          <w:p w14:paraId="F02602BF">
            <w:pPr>
              <w:pStyle w:val="style0"/>
              <w:rPr/>
            </w:pPr>
            <w:r>
              <w:rPr>
                <w:b w:val="false"/>
                <w:sz w:val="12"/>
              </w:rPr>
              <w:t>DEC-006</w:t>
            </w:r>
          </w:p>
        </w:tc>
        <w:tc>
          <w:tcPr>
            <w:tcW w:w="1967" w:type="dxa"/>
            <w:tcBorders/>
          </w:tcPr>
          <w:p w14:paraId="555BF198">
            <w:pPr>
              <w:pStyle w:val="style0"/>
              <w:rPr/>
            </w:pPr>
            <w:r>
              <w:rPr>
                <w:b w:val="false"/>
                <w:sz w:val="12"/>
              </w:rPr>
              <w:t>Monitoring</w:t>
            </w:r>
          </w:p>
        </w:tc>
        <w:tc>
          <w:tcPr>
            <w:tcW w:w="1967" w:type="dxa"/>
            <w:tcBorders/>
          </w:tcPr>
          <w:p w14:paraId="AAA2C214">
            <w:pPr>
              <w:pStyle w:val="style0"/>
              <w:rPr/>
            </w:pPr>
            <w:r>
              <w:rPr>
                <w:b w:val="false"/>
                <w:sz w:val="12"/>
              </w:rPr>
              <w:t>Definierte Leer- und Gleichstandsfälle bestehen.</w:t>
            </w:r>
          </w:p>
        </w:tc>
        <w:tc>
          <w:tcPr>
            <w:tcW w:w="1967" w:type="dxa"/>
            <w:tcBorders/>
          </w:tcPr>
          <w:p w14:paraId="109EBC64">
            <w:pPr>
              <w:pStyle w:val="style0"/>
              <w:rPr/>
            </w:pPr>
            <w:r>
              <w:rPr>
                <w:b w:val="false"/>
                <w:sz w:val="12"/>
              </w:rPr>
              <w:t>Offen</w:t>
            </w:r>
          </w:p>
        </w:tc>
      </w:tr>
      <w:tr w14:paraId="6C58D414">
        <w:tblPrEx/>
        <w:trPr>
          <w:jc w:val="center"/>
        </w:trPr>
        <w:tc>
          <w:tcPr>
            <w:tcW w:w="1967" w:type="dxa"/>
            <w:tcBorders/>
          </w:tcPr>
          <w:p w14:paraId="D18FAB4D">
            <w:pPr>
              <w:pStyle w:val="style0"/>
              <w:rPr/>
            </w:pPr>
            <w:r>
              <w:rPr>
                <w:b w:val="false"/>
                <w:sz w:val="12"/>
              </w:rPr>
              <w:t>REQ-MON-005</w:t>
            </w:r>
          </w:p>
        </w:tc>
        <w:tc>
          <w:tcPr>
            <w:tcW w:w="1967" w:type="dxa"/>
            <w:tcBorders/>
          </w:tcPr>
          <w:p w14:paraId="CDC0F673">
            <w:pPr>
              <w:pStyle w:val="style0"/>
              <w:rPr/>
            </w:pPr>
            <w:r>
              <w:rPr>
                <w:b w:val="false"/>
                <w:sz w:val="12"/>
              </w:rPr>
              <w:t>Berechnung</w:t>
            </w:r>
          </w:p>
        </w:tc>
        <w:tc>
          <w:tcPr>
            <w:tcW w:w="1967" w:type="dxa"/>
            <w:tcBorders/>
          </w:tcPr>
          <w:p w14:paraId="9CED5AC4">
            <w:pPr>
              <w:pStyle w:val="style0"/>
              <w:rPr/>
            </w:pPr>
            <w:r>
              <w:rPr>
                <w:b w:val="false"/>
                <w:sz w:val="12"/>
              </w:rPr>
              <w:t>Gegentordurchschnitt nutzt alle Teamgegentore jedes eingesetzten T/A; leere Menge ist 0,0.</w:t>
            </w:r>
          </w:p>
        </w:tc>
        <w:tc>
          <w:tcPr>
            <w:tcW w:w="1967" w:type="dxa"/>
            <w:tcBorders/>
          </w:tcPr>
          <w:p w14:paraId="1ADAC9BD">
            <w:pPr>
              <w:pStyle w:val="style0"/>
              <w:rPr/>
            </w:pPr>
            <w:r>
              <w:rPr>
                <w:b w:val="false"/>
                <w:sz w:val="12"/>
              </w:rPr>
              <w:t>Muss</w:t>
            </w:r>
          </w:p>
        </w:tc>
        <w:tc>
          <w:tcPr>
            <w:tcW w:w="1967" w:type="dxa"/>
            <w:tcBorders/>
          </w:tcPr>
          <w:p w14:paraId="0DD43C86">
            <w:pPr>
              <w:pStyle w:val="style0"/>
              <w:rPr/>
            </w:pPr>
            <w:r>
              <w:rPr>
                <w:b w:val="false"/>
                <w:sz w:val="12"/>
              </w:rPr>
              <w:t>DEC-007</w:t>
            </w:r>
          </w:p>
        </w:tc>
        <w:tc>
          <w:tcPr>
            <w:tcW w:w="1967" w:type="dxa"/>
            <w:tcBorders/>
          </w:tcPr>
          <w:p w14:paraId="EE4F43E9">
            <w:pPr>
              <w:pStyle w:val="style0"/>
              <w:rPr/>
            </w:pPr>
            <w:r>
              <w:rPr>
                <w:b w:val="false"/>
                <w:sz w:val="12"/>
              </w:rPr>
              <w:t>Monitoring</w:t>
            </w:r>
          </w:p>
        </w:tc>
        <w:tc>
          <w:tcPr>
            <w:tcW w:w="1967" w:type="dxa"/>
            <w:tcBorders/>
          </w:tcPr>
          <w:p w14:paraId="4619C084">
            <w:pPr>
              <w:pStyle w:val="style0"/>
              <w:rPr/>
            </w:pPr>
            <w:r>
              <w:rPr>
                <w:b w:val="false"/>
                <w:sz w:val="12"/>
              </w:rPr>
              <w:t>Einwechslung in Minute 89 erhält sämtliche Teamgegentore.</w:t>
            </w:r>
          </w:p>
        </w:tc>
        <w:tc>
          <w:tcPr>
            <w:tcW w:w="1967" w:type="dxa"/>
            <w:tcBorders/>
          </w:tcPr>
          <w:p w14:paraId="0A713927">
            <w:pPr>
              <w:pStyle w:val="style0"/>
              <w:rPr/>
            </w:pPr>
            <w:r>
              <w:rPr>
                <w:b w:val="false"/>
                <w:sz w:val="12"/>
              </w:rPr>
              <w:t>Offen</w:t>
            </w:r>
          </w:p>
        </w:tc>
      </w:tr>
      <w:tr w14:paraId="5098BD42">
        <w:tblPrEx/>
        <w:trPr>
          <w:jc w:val="center"/>
        </w:trPr>
        <w:tc>
          <w:tcPr>
            <w:tcW w:w="1967" w:type="dxa"/>
            <w:tcBorders/>
          </w:tcPr>
          <w:p w14:paraId="D251B9DC">
            <w:pPr>
              <w:pStyle w:val="style0"/>
              <w:rPr/>
            </w:pPr>
            <w:r>
              <w:rPr>
                <w:b w:val="false"/>
                <w:sz w:val="12"/>
              </w:rPr>
              <w:t>REQ-MON-006</w:t>
            </w:r>
          </w:p>
        </w:tc>
        <w:tc>
          <w:tcPr>
            <w:tcW w:w="1967" w:type="dxa"/>
            <w:tcBorders/>
          </w:tcPr>
          <w:p w14:paraId="9CB618A6">
            <w:pPr>
              <w:pStyle w:val="style0"/>
              <w:rPr/>
            </w:pPr>
            <w:r>
              <w:rPr>
                <w:b w:val="false"/>
                <w:sz w:val="12"/>
              </w:rPr>
              <w:t>Frist</w:t>
            </w:r>
          </w:p>
        </w:tc>
        <w:tc>
          <w:tcPr>
            <w:tcW w:w="1967" w:type="dxa"/>
            <w:tcBorders/>
          </w:tcPr>
          <w:p w14:paraId="00DC0416">
            <w:pPr>
              <w:pStyle w:val="style0"/>
              <w:rPr/>
            </w:pPr>
            <w:r>
              <w:rPr>
                <w:b w:val="false"/>
                <w:sz w:val="12"/>
              </w:rPr>
              <w:t>Vorwochenaufstellung wird übernommen, wenn keine neue vollständige Aufstellung vorliegt.</w:t>
            </w:r>
          </w:p>
        </w:tc>
        <w:tc>
          <w:tcPr>
            <w:tcW w:w="1967" w:type="dxa"/>
            <w:tcBorders/>
          </w:tcPr>
          <w:p w14:paraId="594C1F36">
            <w:pPr>
              <w:pStyle w:val="style0"/>
              <w:rPr/>
            </w:pPr>
            <w:r>
              <w:rPr>
                <w:b w:val="false"/>
                <w:sz w:val="12"/>
              </w:rPr>
              <w:t>Muss</w:t>
            </w:r>
          </w:p>
        </w:tc>
        <w:tc>
          <w:tcPr>
            <w:tcW w:w="1967" w:type="dxa"/>
            <w:tcBorders/>
          </w:tcPr>
          <w:p w14:paraId="9BEAD6BA">
            <w:pPr>
              <w:pStyle w:val="style0"/>
              <w:rPr/>
            </w:pPr>
            <w:r>
              <w:rPr>
                <w:b w:val="false"/>
                <w:sz w:val="12"/>
              </w:rPr>
              <w:t>DEC-010</w:t>
            </w:r>
          </w:p>
        </w:tc>
        <w:tc>
          <w:tcPr>
            <w:tcW w:w="1967" w:type="dxa"/>
            <w:tcBorders/>
          </w:tcPr>
          <w:p w14:paraId="C6D34644">
            <w:pPr>
              <w:pStyle w:val="style0"/>
              <w:rPr/>
            </w:pPr>
            <w:r>
              <w:rPr>
                <w:b w:val="false"/>
                <w:sz w:val="12"/>
              </w:rPr>
              <w:t>Monitoring</w:t>
            </w:r>
          </w:p>
        </w:tc>
        <w:tc>
          <w:tcPr>
            <w:tcW w:w="1967" w:type="dxa"/>
            <w:tcBorders/>
          </w:tcPr>
          <w:p w14:paraId="CA0A1569">
            <w:pPr>
              <w:pStyle w:val="style0"/>
              <w:rPr/>
            </w:pPr>
            <w:r>
              <w:rPr>
                <w:b w:val="false"/>
                <w:sz w:val="12"/>
              </w:rPr>
              <w:t>Simulation ohne Abgabe übernimmt Snapshot des vorherigen Spieltags.</w:t>
            </w:r>
          </w:p>
        </w:tc>
        <w:tc>
          <w:tcPr>
            <w:tcW w:w="1967" w:type="dxa"/>
            <w:tcBorders/>
          </w:tcPr>
          <w:p w14:paraId="E7CCF2F7">
            <w:pPr>
              <w:pStyle w:val="style0"/>
              <w:rPr/>
            </w:pPr>
            <w:r>
              <w:rPr>
                <w:b w:val="false"/>
                <w:sz w:val="12"/>
              </w:rPr>
              <w:t>Offen</w:t>
            </w:r>
          </w:p>
        </w:tc>
      </w:tr>
      <w:tr w14:paraId="0614A2FC">
        <w:tblPrEx/>
        <w:trPr>
          <w:jc w:val="center"/>
        </w:trPr>
        <w:tc>
          <w:tcPr>
            <w:tcW w:w="1967" w:type="dxa"/>
            <w:tcBorders/>
          </w:tcPr>
          <w:p w14:paraId="FB572154">
            <w:pPr>
              <w:pStyle w:val="style0"/>
              <w:rPr/>
            </w:pPr>
            <w:r>
              <w:rPr>
                <w:b w:val="false"/>
                <w:sz w:val="12"/>
              </w:rPr>
              <w:t>REQ-MON-007</w:t>
            </w:r>
          </w:p>
        </w:tc>
        <w:tc>
          <w:tcPr>
            <w:tcW w:w="1967" w:type="dxa"/>
            <w:tcBorders/>
          </w:tcPr>
          <w:p w14:paraId="C3DB5648">
            <w:pPr>
              <w:pStyle w:val="style0"/>
              <w:rPr/>
            </w:pPr>
            <w:r>
              <w:rPr>
                <w:b w:val="false"/>
                <w:sz w:val="12"/>
              </w:rPr>
              <w:t>Frist</w:t>
            </w:r>
          </w:p>
        </w:tc>
        <w:tc>
          <w:tcPr>
            <w:tcW w:w="1967" w:type="dxa"/>
            <w:tcBorders/>
          </w:tcPr>
          <w:p w14:paraId="9514F50F">
            <w:pPr>
              <w:pStyle w:val="style0"/>
              <w:rPr/>
            </w:pPr>
            <w:r>
              <w:rPr>
                <w:b w:val="false"/>
                <w:sz w:val="12"/>
              </w:rPr>
              <w:t>Spieler werden mit Anpfiff ihres Vereins-Spiels für Änderungen gesperrt.</w:t>
            </w:r>
          </w:p>
        </w:tc>
        <w:tc>
          <w:tcPr>
            <w:tcW w:w="1967" w:type="dxa"/>
            <w:tcBorders/>
          </w:tcPr>
          <w:p w14:paraId="6FEB8721">
            <w:pPr>
              <w:pStyle w:val="style0"/>
              <w:rPr/>
            </w:pPr>
            <w:r>
              <w:rPr>
                <w:b w:val="false"/>
                <w:sz w:val="12"/>
              </w:rPr>
              <w:t>Muss</w:t>
            </w:r>
          </w:p>
        </w:tc>
        <w:tc>
          <w:tcPr>
            <w:tcW w:w="1967" w:type="dxa"/>
            <w:tcBorders/>
          </w:tcPr>
          <w:p w14:paraId="89FFA112">
            <w:pPr>
              <w:pStyle w:val="style0"/>
              <w:rPr/>
            </w:pPr>
            <w:r>
              <w:rPr>
                <w:b w:val="false"/>
                <w:sz w:val="12"/>
              </w:rPr>
              <w:t>DEC-010</w:t>
            </w:r>
          </w:p>
        </w:tc>
        <w:tc>
          <w:tcPr>
            <w:tcW w:w="1967" w:type="dxa"/>
            <w:tcBorders/>
          </w:tcPr>
          <w:p w14:paraId="C8752343">
            <w:pPr>
              <w:pStyle w:val="style0"/>
              <w:rPr/>
            </w:pPr>
            <w:r>
              <w:rPr>
                <w:b w:val="false"/>
                <w:sz w:val="12"/>
              </w:rPr>
              <w:t>Monitoring</w:t>
            </w:r>
          </w:p>
        </w:tc>
        <w:tc>
          <w:tcPr>
            <w:tcW w:w="1967" w:type="dxa"/>
            <w:tcBorders/>
          </w:tcPr>
          <w:p w14:paraId="9A5AD466">
            <w:pPr>
              <w:pStyle w:val="style0"/>
              <w:rPr/>
            </w:pPr>
            <w:r>
              <w:rPr>
                <w:b w:val="false"/>
                <w:sz w:val="12"/>
              </w:rPr>
              <w:t>Änderung vor Anpfiff möglich, danach abgewiesen.</w:t>
            </w:r>
          </w:p>
        </w:tc>
        <w:tc>
          <w:tcPr>
            <w:tcW w:w="1967" w:type="dxa"/>
            <w:tcBorders/>
          </w:tcPr>
          <w:p w14:paraId="3AABC464">
            <w:pPr>
              <w:pStyle w:val="style0"/>
              <w:rPr/>
            </w:pPr>
            <w:r>
              <w:rPr>
                <w:b w:val="false"/>
                <w:sz w:val="12"/>
              </w:rPr>
              <w:t>Offen</w:t>
            </w:r>
          </w:p>
        </w:tc>
      </w:tr>
      <w:tr w14:paraId="50878539">
        <w:tblPrEx/>
        <w:trPr>
          <w:jc w:val="center"/>
        </w:trPr>
        <w:tc>
          <w:tcPr>
            <w:tcW w:w="1967" w:type="dxa"/>
            <w:tcBorders/>
          </w:tcPr>
          <w:p w14:paraId="61177A70">
            <w:pPr>
              <w:pStyle w:val="style0"/>
              <w:rPr/>
            </w:pPr>
            <w:r>
              <w:rPr>
                <w:b w:val="false"/>
                <w:sz w:val="12"/>
              </w:rPr>
              <w:t>REQ-KB-001</w:t>
            </w:r>
          </w:p>
        </w:tc>
        <w:tc>
          <w:tcPr>
            <w:tcW w:w="1967" w:type="dxa"/>
            <w:tcBorders/>
          </w:tcPr>
          <w:p w14:paraId="7EF89228">
            <w:pPr>
              <w:pStyle w:val="style0"/>
              <w:rPr/>
            </w:pPr>
            <w:r>
              <w:rPr>
                <w:b w:val="false"/>
                <w:sz w:val="12"/>
              </w:rPr>
              <w:t>Qualitativ</w:t>
            </w:r>
          </w:p>
        </w:tc>
        <w:tc>
          <w:tcPr>
            <w:tcW w:w="1967" w:type="dxa"/>
            <w:tcBorders/>
          </w:tcPr>
          <w:p w14:paraId="169C37D2">
            <w:pPr>
              <w:pStyle w:val="style0"/>
              <w:rPr/>
            </w:pPr>
            <w:r>
              <w:rPr>
                <w:b w:val="false"/>
                <w:sz w:val="12"/>
              </w:rPr>
              <w:t>Qualitative Informationen müssen Quelle, Zeitpunkt, Aussage, Verlässlichkeit und Modellwirkung getrennt speichern.</w:t>
            </w:r>
          </w:p>
        </w:tc>
        <w:tc>
          <w:tcPr>
            <w:tcW w:w="1967" w:type="dxa"/>
            <w:tcBorders/>
          </w:tcPr>
          <w:p w14:paraId="C2F30C84">
            <w:pPr>
              <w:pStyle w:val="style0"/>
              <w:rPr/>
            </w:pPr>
            <w:r>
              <w:rPr>
                <w:b w:val="false"/>
                <w:sz w:val="12"/>
              </w:rPr>
              <w:t>Soll</w:t>
            </w:r>
          </w:p>
        </w:tc>
        <w:tc>
          <w:tcPr>
            <w:tcW w:w="1967" w:type="dxa"/>
            <w:tcBorders/>
          </w:tcPr>
          <w:p w14:paraId="E9BAA17A">
            <w:pPr>
              <w:pStyle w:val="style0"/>
              <w:rPr/>
            </w:pPr>
            <w:r>
              <w:rPr>
                <w:b w:val="false"/>
                <w:sz w:val="12"/>
              </w:rPr>
              <w:t>Projekt-Abstract</w:t>
            </w:r>
          </w:p>
        </w:tc>
        <w:tc>
          <w:tcPr>
            <w:tcW w:w="1967" w:type="dxa"/>
            <w:tcBorders/>
          </w:tcPr>
          <w:p w14:paraId="D66F0EF4">
            <w:pPr>
              <w:pStyle w:val="style0"/>
              <w:rPr/>
            </w:pPr>
            <w:r>
              <w:rPr>
                <w:b w:val="false"/>
                <w:sz w:val="12"/>
              </w:rPr>
              <w:t>Knowledge Base</w:t>
            </w:r>
          </w:p>
        </w:tc>
        <w:tc>
          <w:tcPr>
            <w:tcW w:w="1967" w:type="dxa"/>
            <w:tcBorders/>
          </w:tcPr>
          <w:p w14:paraId="DEC76865">
            <w:pPr>
              <w:pStyle w:val="style0"/>
              <w:rPr/>
            </w:pPr>
            <w:r>
              <w:rPr>
                <w:b w:val="false"/>
                <w:sz w:val="12"/>
              </w:rPr>
              <w:t>Jeder qualitative Einfluss ist nachvollziehbar und bewertbar.</w:t>
            </w:r>
          </w:p>
        </w:tc>
        <w:tc>
          <w:tcPr>
            <w:tcW w:w="1967" w:type="dxa"/>
            <w:tcBorders/>
          </w:tcPr>
          <w:p w14:paraId="3B938D74">
            <w:pPr>
              <w:pStyle w:val="style0"/>
              <w:rPr/>
            </w:pPr>
            <w:r>
              <w:rPr>
                <w:b w:val="false"/>
                <w:sz w:val="12"/>
              </w:rPr>
              <w:t>Offen</w:t>
            </w:r>
          </w:p>
        </w:tc>
      </w:tr>
      <w:tr w14:paraId="D5A5BB00">
        <w:tblPrEx/>
        <w:trPr>
          <w:jc w:val="center"/>
        </w:trPr>
        <w:tc>
          <w:tcPr>
            <w:tcW w:w="1967" w:type="dxa"/>
            <w:tcBorders/>
          </w:tcPr>
          <w:p w14:paraId="7FAEFCB6">
            <w:pPr>
              <w:pStyle w:val="style0"/>
              <w:rPr/>
            </w:pPr>
            <w:r>
              <w:rPr>
                <w:b w:val="false"/>
                <w:sz w:val="12"/>
              </w:rPr>
              <w:t>REQ-DEC-001</w:t>
            </w:r>
          </w:p>
        </w:tc>
        <w:tc>
          <w:tcPr>
            <w:tcW w:w="1967" w:type="dxa"/>
            <w:tcBorders/>
          </w:tcPr>
          <w:p w14:paraId="1BBBA519">
            <w:pPr>
              <w:pStyle w:val="style0"/>
              <w:rPr/>
            </w:pPr>
            <w:r>
              <w:rPr>
                <w:b w:val="false"/>
                <w:sz w:val="12"/>
              </w:rPr>
              <w:t>Modell</w:t>
            </w:r>
          </w:p>
        </w:tc>
        <w:tc>
          <w:tcPr>
            <w:tcW w:w="1967" w:type="dxa"/>
            <w:tcBorders/>
          </w:tcPr>
          <w:p w14:paraId="A6579AE0">
            <w:pPr>
              <w:pStyle w:val="style0"/>
              <w:rPr/>
            </w:pPr>
            <w:r>
              <w:rPr>
                <w:b w:val="false"/>
                <w:sz w:val="12"/>
              </w:rPr>
              <w:t>Decision Engine bewertet erwartete Kategorienpunkte, ng-Risiko und Ersatzqualität.</w:t>
            </w:r>
          </w:p>
        </w:tc>
        <w:tc>
          <w:tcPr>
            <w:tcW w:w="1967" w:type="dxa"/>
            <w:tcBorders/>
          </w:tcPr>
          <w:p w14:paraId="F309DD7D">
            <w:pPr>
              <w:pStyle w:val="style0"/>
              <w:rPr/>
            </w:pPr>
            <w:r>
              <w:rPr>
                <w:b w:val="false"/>
                <w:sz w:val="12"/>
              </w:rPr>
              <w:t>Muss</w:t>
            </w:r>
          </w:p>
        </w:tc>
        <w:tc>
          <w:tcPr>
            <w:tcW w:w="1967" w:type="dxa"/>
            <w:tcBorders/>
          </w:tcPr>
          <w:p w14:paraId="F77B1F66">
            <w:pPr>
              <w:pStyle w:val="style0"/>
              <w:rPr/>
            </w:pPr>
            <w:r>
              <w:rPr>
                <w:b w:val="false"/>
                <w:sz w:val="12"/>
              </w:rPr>
              <w:t>DEC-002/005/011</w:t>
            </w:r>
          </w:p>
        </w:tc>
        <w:tc>
          <w:tcPr>
            <w:tcW w:w="1967" w:type="dxa"/>
            <w:tcBorders/>
          </w:tcPr>
          <w:p w14:paraId="6AA03AF1">
            <w:pPr>
              <w:pStyle w:val="style0"/>
              <w:rPr/>
            </w:pPr>
            <w:r>
              <w:rPr>
                <w:b w:val="false"/>
                <w:sz w:val="12"/>
              </w:rPr>
              <w:t>Decision Engine</w:t>
            </w:r>
          </w:p>
        </w:tc>
        <w:tc>
          <w:tcPr>
            <w:tcW w:w="1967" w:type="dxa"/>
            <w:tcBorders/>
          </w:tcPr>
          <w:p w14:paraId="40B310A9">
            <w:pPr>
              <w:pStyle w:val="style0"/>
              <w:rPr/>
            </w:pPr>
            <w:r>
              <w:rPr>
                <w:b w:val="false"/>
                <w:sz w:val="12"/>
              </w:rPr>
              <w:t>Empfehlung enthält Teilbeiträge und Alternativen.</w:t>
            </w:r>
          </w:p>
        </w:tc>
        <w:tc>
          <w:tcPr>
            <w:tcW w:w="1967" w:type="dxa"/>
            <w:tcBorders/>
          </w:tcPr>
          <w:p w14:paraId="180C9513">
            <w:pPr>
              <w:pStyle w:val="style0"/>
              <w:rPr/>
            </w:pPr>
            <w:r>
              <w:rPr>
                <w:b w:val="false"/>
                <w:sz w:val="12"/>
              </w:rPr>
              <w:t>Offen</w:t>
            </w:r>
          </w:p>
        </w:tc>
      </w:tr>
      <w:tr w14:paraId="49EA423F">
        <w:tblPrEx/>
        <w:trPr>
          <w:jc w:val="center"/>
        </w:trPr>
        <w:tc>
          <w:tcPr>
            <w:tcW w:w="1967" w:type="dxa"/>
            <w:tcBorders/>
          </w:tcPr>
          <w:p w14:paraId="96ABB8DC">
            <w:pPr>
              <w:pStyle w:val="style0"/>
              <w:rPr/>
            </w:pPr>
            <w:r>
              <w:rPr>
                <w:b w:val="false"/>
                <w:sz w:val="12"/>
              </w:rPr>
              <w:t>REQ-EVA-001</w:t>
            </w:r>
          </w:p>
        </w:tc>
        <w:tc>
          <w:tcPr>
            <w:tcW w:w="1967" w:type="dxa"/>
            <w:tcBorders/>
          </w:tcPr>
          <w:p w14:paraId="62C92E78">
            <w:pPr>
              <w:pStyle w:val="style0"/>
              <w:rPr/>
            </w:pPr>
            <w:r>
              <w:rPr>
                <w:b w:val="false"/>
                <w:sz w:val="12"/>
              </w:rPr>
              <w:t>Evaluation</w:t>
            </w:r>
          </w:p>
        </w:tc>
        <w:tc>
          <w:tcPr>
            <w:tcW w:w="1967" w:type="dxa"/>
            <w:tcBorders/>
          </w:tcPr>
          <w:p w14:paraId="CE8BA140">
            <w:pPr>
              <w:pStyle w:val="style0"/>
              <w:rPr/>
            </w:pPr>
            <w:r>
              <w:rPr>
                <w:b w:val="false"/>
                <w:sz w:val="12"/>
              </w:rPr>
              <w:t>Empfehlung, tatsächliche Aufstellung und Ergebnis werden pro Spieltag verglichen.</w:t>
            </w:r>
          </w:p>
        </w:tc>
        <w:tc>
          <w:tcPr>
            <w:tcW w:w="1967" w:type="dxa"/>
            <w:tcBorders/>
          </w:tcPr>
          <w:p w14:paraId="C6249734">
            <w:pPr>
              <w:pStyle w:val="style0"/>
              <w:rPr/>
            </w:pPr>
            <w:r>
              <w:rPr>
                <w:b w:val="false"/>
                <w:sz w:val="12"/>
              </w:rPr>
              <w:t>Muss</w:t>
            </w:r>
          </w:p>
        </w:tc>
        <w:tc>
          <w:tcPr>
            <w:tcW w:w="1967" w:type="dxa"/>
            <w:tcBorders/>
          </w:tcPr>
          <w:p w14:paraId="848855DC">
            <w:pPr>
              <w:pStyle w:val="style0"/>
              <w:rPr/>
            </w:pPr>
            <w:r>
              <w:rPr>
                <w:b w:val="false"/>
                <w:sz w:val="12"/>
              </w:rPr>
              <w:t>Projekt-Abstract</w:t>
            </w:r>
          </w:p>
        </w:tc>
        <w:tc>
          <w:tcPr>
            <w:tcW w:w="1967" w:type="dxa"/>
            <w:tcBorders/>
          </w:tcPr>
          <w:p w14:paraId="F7A990D1">
            <w:pPr>
              <w:pStyle w:val="style0"/>
              <w:rPr/>
            </w:pPr>
            <w:r>
              <w:rPr>
                <w:b w:val="false"/>
                <w:sz w:val="12"/>
              </w:rPr>
              <w:t>Evaluation</w:t>
            </w:r>
          </w:p>
        </w:tc>
        <w:tc>
          <w:tcPr>
            <w:tcW w:w="1967" w:type="dxa"/>
            <w:tcBorders/>
          </w:tcPr>
          <w:p w14:paraId="D4BF0118">
            <w:pPr>
              <w:pStyle w:val="style0"/>
              <w:rPr/>
            </w:pPr>
            <w:r>
              <w:rPr>
                <w:b w:val="false"/>
                <w:sz w:val="12"/>
              </w:rPr>
              <w:t>Automatischer Soll-Ist-Bericht je Spieltag.</w:t>
            </w:r>
          </w:p>
        </w:tc>
        <w:tc>
          <w:tcPr>
            <w:tcW w:w="1967" w:type="dxa"/>
            <w:tcBorders/>
          </w:tcPr>
          <w:p w14:paraId="BA2E3EB5">
            <w:pPr>
              <w:pStyle w:val="style0"/>
              <w:rPr/>
            </w:pPr>
            <w:r>
              <w:rPr>
                <w:b w:val="false"/>
                <w:sz w:val="12"/>
              </w:rPr>
              <w:t>Offen</w:t>
            </w:r>
          </w:p>
        </w:tc>
      </w:tr>
      <w:tr w14:paraId="68AA516E">
        <w:tblPrEx/>
        <w:trPr>
          <w:jc w:val="center"/>
        </w:trPr>
        <w:tc>
          <w:tcPr>
            <w:tcW w:w="1967" w:type="dxa"/>
            <w:tcBorders/>
          </w:tcPr>
          <w:p w14:paraId="C2ED2B1E">
            <w:pPr>
              <w:pStyle w:val="style0"/>
              <w:rPr/>
            </w:pPr>
            <w:r>
              <w:rPr>
                <w:b w:val="false"/>
                <w:sz w:val="12"/>
              </w:rPr>
              <w:t>REQ-NFR-001</w:t>
            </w:r>
          </w:p>
        </w:tc>
        <w:tc>
          <w:tcPr>
            <w:tcW w:w="1967" w:type="dxa"/>
            <w:tcBorders/>
          </w:tcPr>
          <w:p w14:paraId="8FD5144B">
            <w:pPr>
              <w:pStyle w:val="style0"/>
              <w:rPr/>
            </w:pPr>
            <w:r>
              <w:rPr>
                <w:b w:val="false"/>
                <w:sz w:val="12"/>
              </w:rPr>
              <w:t>Nichtfunktional</w:t>
            </w:r>
          </w:p>
        </w:tc>
        <w:tc>
          <w:tcPr>
            <w:tcW w:w="1967" w:type="dxa"/>
            <w:tcBorders/>
          </w:tcPr>
          <w:p w14:paraId="3A9AF4BF">
            <w:pPr>
              <w:pStyle w:val="style0"/>
              <w:rPr/>
            </w:pPr>
            <w:r>
              <w:rPr>
                <w:b w:val="false"/>
                <w:sz w:val="12"/>
              </w:rPr>
              <w:t>Berechnung und Empfehlung müssen reproduzierbar sein.</w:t>
            </w:r>
          </w:p>
        </w:tc>
        <w:tc>
          <w:tcPr>
            <w:tcW w:w="1967" w:type="dxa"/>
            <w:tcBorders/>
          </w:tcPr>
          <w:p w14:paraId="14491A52">
            <w:pPr>
              <w:pStyle w:val="style0"/>
              <w:rPr/>
            </w:pPr>
            <w:r>
              <w:rPr>
                <w:b w:val="false"/>
                <w:sz w:val="12"/>
              </w:rPr>
              <w:t>Muss</w:t>
            </w:r>
          </w:p>
        </w:tc>
        <w:tc>
          <w:tcPr>
            <w:tcW w:w="1967" w:type="dxa"/>
            <w:tcBorders/>
          </w:tcPr>
          <w:p w14:paraId="DA8D1366">
            <w:pPr>
              <w:pStyle w:val="style0"/>
              <w:rPr/>
            </w:pPr>
            <w:r>
              <w:rPr>
                <w:b w:val="false"/>
                <w:sz w:val="12"/>
              </w:rPr>
              <w:t>DEC-012</w:t>
            </w:r>
          </w:p>
        </w:tc>
        <w:tc>
          <w:tcPr>
            <w:tcW w:w="1967" w:type="dxa"/>
            <w:tcBorders/>
          </w:tcPr>
          <w:p w14:paraId="E0C6CE69">
            <w:pPr>
              <w:pStyle w:val="style0"/>
              <w:rPr/>
            </w:pPr>
            <w:r>
              <w:rPr>
                <w:b w:val="false"/>
                <w:sz w:val="12"/>
              </w:rPr>
              <w:t>Alle Module</w:t>
            </w:r>
          </w:p>
        </w:tc>
        <w:tc>
          <w:tcPr>
            <w:tcW w:w="1967" w:type="dxa"/>
            <w:tcBorders/>
          </w:tcPr>
          <w:p w14:paraId="A1172173">
            <w:pPr>
              <w:pStyle w:val="style0"/>
              <w:rPr/>
            </w:pPr>
            <w:r>
              <w:rPr>
                <w:b w:val="false"/>
                <w:sz w:val="12"/>
              </w:rPr>
              <w:t>Gleicher Snapshot erzeugt identisches Ergebnis.</w:t>
            </w:r>
          </w:p>
        </w:tc>
        <w:tc>
          <w:tcPr>
            <w:tcW w:w="1967" w:type="dxa"/>
            <w:tcBorders/>
          </w:tcPr>
          <w:p w14:paraId="2725DF4D">
            <w:pPr>
              <w:pStyle w:val="style0"/>
              <w:rPr/>
            </w:pPr>
            <w:r>
              <w:rPr>
                <w:b w:val="false"/>
                <w:sz w:val="12"/>
              </w:rPr>
              <w:t>Offen</w:t>
            </w:r>
          </w:p>
        </w:tc>
      </w:tr>
      <w:tr w14:paraId="1CB096B6">
        <w:tblPrEx/>
        <w:trPr>
          <w:jc w:val="center"/>
        </w:trPr>
        <w:tc>
          <w:tcPr>
            <w:tcW w:w="1967" w:type="dxa"/>
            <w:tcBorders/>
          </w:tcPr>
          <w:p w14:paraId="81F1F7A5">
            <w:pPr>
              <w:pStyle w:val="style0"/>
              <w:rPr/>
            </w:pPr>
            <w:r>
              <w:rPr>
                <w:b w:val="false"/>
                <w:sz w:val="12"/>
              </w:rPr>
              <w:t>REQ-NFR-002</w:t>
            </w:r>
          </w:p>
        </w:tc>
        <w:tc>
          <w:tcPr>
            <w:tcW w:w="1967" w:type="dxa"/>
            <w:tcBorders/>
          </w:tcPr>
          <w:p w14:paraId="60FC271B">
            <w:pPr>
              <w:pStyle w:val="style0"/>
              <w:rPr/>
            </w:pPr>
            <w:r>
              <w:rPr>
                <w:b w:val="false"/>
                <w:sz w:val="12"/>
              </w:rPr>
              <w:t>Nichtfunktional</w:t>
            </w:r>
          </w:p>
        </w:tc>
        <w:tc>
          <w:tcPr>
            <w:tcW w:w="1967" w:type="dxa"/>
            <w:tcBorders/>
          </w:tcPr>
          <w:p w14:paraId="29C9493E">
            <w:pPr>
              <w:pStyle w:val="style0"/>
              <w:rPr/>
            </w:pPr>
            <w:r>
              <w:rPr>
                <w:b w:val="false"/>
                <w:sz w:val="12"/>
              </w:rPr>
              <w:t>Regulärer manueller Aufwand soll im Pilot gemessen und möglichst unter zwei Stunden je Spieltag gehalten werden.</w:t>
            </w:r>
          </w:p>
        </w:tc>
        <w:tc>
          <w:tcPr>
            <w:tcW w:w="1967" w:type="dxa"/>
            <w:tcBorders/>
          </w:tcPr>
          <w:p w14:paraId="BD47DD17">
            <w:pPr>
              <w:pStyle w:val="style0"/>
              <w:rPr/>
            </w:pPr>
            <w:r>
              <w:rPr>
                <w:b w:val="false"/>
                <w:sz w:val="12"/>
              </w:rPr>
              <w:t>Soll</w:t>
            </w:r>
          </w:p>
        </w:tc>
        <w:tc>
          <w:tcPr>
            <w:tcW w:w="1967" w:type="dxa"/>
            <w:tcBorders/>
          </w:tcPr>
          <w:p w14:paraId="F51A94D1">
            <w:pPr>
              <w:pStyle w:val="style0"/>
              <w:rPr/>
            </w:pPr>
            <w:r>
              <w:rPr>
                <w:b w:val="false"/>
                <w:sz w:val="12"/>
              </w:rPr>
              <w:t>DEC-011</w:t>
            </w:r>
          </w:p>
        </w:tc>
        <w:tc>
          <w:tcPr>
            <w:tcW w:w="1967" w:type="dxa"/>
            <w:tcBorders/>
          </w:tcPr>
          <w:p w14:paraId="4AB0C6D1">
            <w:pPr>
              <w:pStyle w:val="style0"/>
              <w:rPr/>
            </w:pPr>
            <w:r>
              <w:rPr>
                <w:b w:val="false"/>
                <w:sz w:val="12"/>
              </w:rPr>
              <w:t>Projektsteuerung</w:t>
            </w:r>
          </w:p>
        </w:tc>
        <w:tc>
          <w:tcPr>
            <w:tcW w:w="1967" w:type="dxa"/>
            <w:tcBorders/>
          </w:tcPr>
          <w:p w14:paraId="04C2AE86">
            <w:pPr>
              <w:pStyle w:val="style0"/>
              <w:rPr/>
            </w:pPr>
            <w:r>
              <w:rPr>
                <w:b w:val="false"/>
                <w:sz w:val="12"/>
              </w:rPr>
              <w:t>Zeitprotokoll über mehrere Testspieltage.</w:t>
            </w:r>
          </w:p>
        </w:tc>
        <w:tc>
          <w:tcPr>
            <w:tcW w:w="1967" w:type="dxa"/>
            <w:tcBorders/>
          </w:tcPr>
          <w:p w14:paraId="6BAF0523">
            <w:pPr>
              <w:pStyle w:val="style0"/>
              <w:rPr/>
            </w:pPr>
            <w:r>
              <w:rPr>
                <w:b w:val="false"/>
                <w:sz w:val="12"/>
              </w:rPr>
              <w:t>Offen</w:t>
            </w:r>
          </w:p>
        </w:tc>
      </w:tr>
      <w:tr w14:paraId="323CD5F3">
        <w:tblPrEx/>
        <w:trPr>
          <w:jc w:val="center"/>
        </w:trPr>
        <w:tc>
          <w:tcPr>
            <w:tcW w:w="1967" w:type="dxa"/>
            <w:tcBorders/>
          </w:tcPr>
          <w:p w14:paraId="7973BA9F">
            <w:pPr>
              <w:pStyle w:val="style0"/>
              <w:rPr/>
            </w:pPr>
            <w:r>
              <w:rPr>
                <w:b w:val="false"/>
                <w:sz w:val="12"/>
              </w:rPr>
              <w:t>REQ-MOD-001</w:t>
            </w:r>
          </w:p>
        </w:tc>
        <w:tc>
          <w:tcPr>
            <w:tcW w:w="1967" w:type="dxa"/>
            <w:tcBorders/>
          </w:tcPr>
          <w:p w14:paraId="D1F566B6">
            <w:pPr>
              <w:pStyle w:val="style0"/>
              <w:rPr/>
            </w:pPr>
            <w:r>
              <w:rPr>
                <w:b w:val="false"/>
                <w:sz w:val="12"/>
              </w:rPr>
              <w:t>Modell</w:t>
            </w:r>
          </w:p>
        </w:tc>
        <w:tc>
          <w:tcPr>
            <w:tcW w:w="1967" w:type="dxa"/>
            <w:tcBorders/>
          </w:tcPr>
          <w:p w14:paraId="E5719DB6">
            <w:pPr>
              <w:pStyle w:val="style0"/>
              <w:rPr/>
            </w:pPr>
            <w:r>
              <w:rPr>
                <w:b w:val="false"/>
                <w:sz w:val="12"/>
              </w:rPr>
              <w:t>Historische Leistung, Spieltagskontext und aufstellungsabhängiger Nutzen müssen getrennt erkennbar, nachvollziehbar und reproduzierbar abgebildet werden. Der Fach-Chat prüft, ob dafür mehrere Score-Ebenen erforderlich sind.</w:t>
            </w:r>
          </w:p>
        </w:tc>
        <w:tc>
          <w:tcPr>
            <w:tcW w:w="1967" w:type="dxa"/>
            <w:tcBorders/>
          </w:tcPr>
          <w:p w14:paraId="EB7380FE">
            <w:pPr>
              <w:pStyle w:val="style0"/>
              <w:rPr/>
            </w:pPr>
            <w:r>
              <w:rPr>
                <w:b w:val="false"/>
                <w:sz w:val="12"/>
              </w:rPr>
              <w:t>Muss</w:t>
            </w:r>
          </w:p>
        </w:tc>
        <w:tc>
          <w:tcPr>
            <w:tcW w:w="1967" w:type="dxa"/>
            <w:tcBorders/>
          </w:tcPr>
          <w:p w14:paraId="659011F1">
            <w:pPr>
              <w:pStyle w:val="style0"/>
              <w:rPr/>
            </w:pPr>
            <w:r>
              <w:rPr>
                <w:b w:val="false"/>
                <w:sz w:val="12"/>
              </w:rPr>
              <w:t>DEC-013</w:t>
            </w:r>
          </w:p>
        </w:tc>
        <w:tc>
          <w:tcPr>
            <w:tcW w:w="1967" w:type="dxa"/>
            <w:tcBorders/>
          </w:tcPr>
          <w:p w14:paraId="A157587B">
            <w:pPr>
              <w:pStyle w:val="style0"/>
              <w:rPr/>
            </w:pPr>
            <w:r>
              <w:rPr>
                <w:b w:val="false"/>
                <w:sz w:val="12"/>
              </w:rPr>
              <w:t>Monitoring; Decision Engine</w:t>
            </w:r>
          </w:p>
        </w:tc>
        <w:tc>
          <w:tcPr>
            <w:tcW w:w="1967" w:type="dxa"/>
            <w:tcBorders/>
          </w:tcPr>
          <w:p w14:paraId="69429D88">
            <w:pPr>
              <w:pStyle w:val="style0"/>
              <w:rPr/>
            </w:pPr>
            <w:r>
              <w:rPr>
                <w:b w:val="false"/>
                <w:sz w:val="12"/>
              </w:rPr>
              <w:t>Das fachliche Konzept weist für jede Bewertungsdimension Datenbasis, Berechnungsschritt und Einfluss auf die Empfehlung aus und begründet, ob getrennte Score-Ebenen verwendet werden.</w:t>
            </w:r>
          </w:p>
        </w:tc>
        <w:tc>
          <w:tcPr>
            <w:tcW w:w="1967" w:type="dxa"/>
            <w:tcBorders/>
          </w:tcPr>
          <w:p w14:paraId="406A18E3">
            <w:pPr>
              <w:pStyle w:val="style0"/>
              <w:rPr/>
            </w:pPr>
            <w:r>
              <w:rPr>
                <w:b w:val="false"/>
                <w:sz w:val="12"/>
              </w:rPr>
              <w:t>Offen</w:t>
            </w:r>
          </w:p>
        </w:tc>
      </w:tr>
      <w:tr w14:paraId="A1CAEE6B">
        <w:tblPrEx/>
        <w:trPr>
          <w:jc w:val="center"/>
        </w:trPr>
        <w:tc>
          <w:tcPr>
            <w:tcW w:w="1967" w:type="dxa"/>
            <w:tcBorders/>
          </w:tcPr>
          <w:p w14:paraId="5AF60531">
            <w:pPr>
              <w:pStyle w:val="style0"/>
              <w:rPr/>
            </w:pPr>
            <w:r>
              <w:rPr>
                <w:b w:val="false"/>
                <w:sz w:val="12"/>
              </w:rPr>
              <w:t>REQ-MOD-002</w:t>
            </w:r>
          </w:p>
        </w:tc>
        <w:tc>
          <w:tcPr>
            <w:tcW w:w="1967" w:type="dxa"/>
            <w:tcBorders/>
          </w:tcPr>
          <w:p w14:paraId="EE098FD7">
            <w:pPr>
              <w:pStyle w:val="style0"/>
              <w:rPr/>
            </w:pPr>
            <w:r>
              <w:rPr>
                <w:b w:val="false"/>
                <w:sz w:val="12"/>
              </w:rPr>
              <w:t>Modell</w:t>
            </w:r>
          </w:p>
        </w:tc>
        <w:tc>
          <w:tcPr>
            <w:tcW w:w="1967" w:type="dxa"/>
            <w:tcBorders/>
          </w:tcPr>
          <w:p w14:paraId="0A831728">
            <w:pPr>
              <w:pStyle w:val="style0"/>
              <w:rPr/>
            </w:pPr>
            <w:r>
              <w:rPr>
                <w:b w:val="false"/>
                <w:sz w:val="12"/>
              </w:rPr>
              <w:t>Die fachlich abschließende Aufstellungsempfehlung muss vollständige, regelkonforme Varianten aus elf Stammspielern und vier positionsgetreuen Ersatzspielern bewerten.</w:t>
            </w:r>
          </w:p>
        </w:tc>
        <w:tc>
          <w:tcPr>
            <w:tcW w:w="1967" w:type="dxa"/>
            <w:tcBorders/>
          </w:tcPr>
          <w:p w14:paraId="3400F0D6">
            <w:pPr>
              <w:pStyle w:val="style0"/>
              <w:rPr/>
            </w:pPr>
            <w:r>
              <w:rPr>
                <w:b w:val="false"/>
                <w:sz w:val="12"/>
              </w:rPr>
              <w:t>Muss</w:t>
            </w:r>
          </w:p>
        </w:tc>
        <w:tc>
          <w:tcPr>
            <w:tcW w:w="1967" w:type="dxa"/>
            <w:tcBorders/>
          </w:tcPr>
          <w:p w14:paraId="A0C64560">
            <w:pPr>
              <w:pStyle w:val="style0"/>
              <w:rPr/>
            </w:pPr>
            <w:r>
              <w:rPr>
                <w:b w:val="false"/>
                <w:sz w:val="12"/>
              </w:rPr>
              <w:t>DEC-014</w:t>
            </w:r>
          </w:p>
        </w:tc>
        <w:tc>
          <w:tcPr>
            <w:tcW w:w="1967" w:type="dxa"/>
            <w:tcBorders/>
          </w:tcPr>
          <w:p w14:paraId="C919DAAD">
            <w:pPr>
              <w:pStyle w:val="style0"/>
              <w:rPr/>
            </w:pPr>
            <w:r>
              <w:rPr>
                <w:b w:val="false"/>
                <w:sz w:val="12"/>
              </w:rPr>
              <w:t>Monitoring; Decision Engine</w:t>
            </w:r>
          </w:p>
        </w:tc>
        <w:tc>
          <w:tcPr>
            <w:tcW w:w="1967" w:type="dxa"/>
            <w:tcBorders/>
          </w:tcPr>
          <w:p w14:paraId="71712791">
            <w:pPr>
              <w:pStyle w:val="style0"/>
              <w:rPr/>
            </w:pPr>
            <w:r>
              <w:rPr>
                <w:b w:val="false"/>
                <w:sz w:val="12"/>
              </w:rPr>
              <w:t>Die Berechnung kann zulässige vollständige Aufstellungen einschließlich Ersatzbank erzeugen, bewerten und nach dem definierten Zielwert ordnen.</w:t>
            </w:r>
          </w:p>
        </w:tc>
        <w:tc>
          <w:tcPr>
            <w:tcW w:w="1967" w:type="dxa"/>
            <w:tcBorders/>
          </w:tcPr>
          <w:p w14:paraId="5E9F9FE0">
            <w:pPr>
              <w:pStyle w:val="style0"/>
              <w:rPr/>
            </w:pPr>
            <w:r>
              <w:rPr>
                <w:b w:val="false"/>
                <w:sz w:val="12"/>
              </w:rPr>
              <w:t>Offen</w:t>
            </w:r>
          </w:p>
        </w:tc>
      </w:tr>
      <w:tr w14:paraId="8E551583">
        <w:tblPrEx/>
        <w:trPr>
          <w:jc w:val="center"/>
        </w:trPr>
        <w:tc>
          <w:tcPr>
            <w:tcW w:w="1967" w:type="dxa"/>
            <w:tcBorders/>
          </w:tcPr>
          <w:p w14:paraId="0D652E78">
            <w:pPr>
              <w:pStyle w:val="style0"/>
              <w:rPr/>
            </w:pPr>
            <w:r>
              <w:rPr>
                <w:b w:val="false"/>
                <w:sz w:val="12"/>
              </w:rPr>
              <w:t>REQ-MOD-003</w:t>
            </w:r>
          </w:p>
        </w:tc>
        <w:tc>
          <w:tcPr>
            <w:tcW w:w="1967" w:type="dxa"/>
            <w:tcBorders/>
          </w:tcPr>
          <w:p w14:paraId="F74ED674">
            <w:pPr>
              <w:pStyle w:val="style0"/>
              <w:rPr/>
            </w:pPr>
            <w:r>
              <w:rPr>
                <w:b w:val="false"/>
                <w:sz w:val="12"/>
              </w:rPr>
              <w:t>Modell</w:t>
            </w:r>
          </w:p>
        </w:tc>
        <w:tc>
          <w:tcPr>
            <w:tcW w:w="1967" w:type="dxa"/>
            <w:tcBorders/>
          </w:tcPr>
          <w:p w14:paraId="0133BBEA">
            <w:pPr>
              <w:pStyle w:val="style0"/>
              <w:rPr/>
            </w:pPr>
            <w:r>
              <w:rPr>
                <w:b w:val="false"/>
                <w:sz w:val="12"/>
              </w:rPr>
              <w:t>Zusätzlich muss ein positionsweises Ranking der individuellen Spieltagsprognosen als Baseline, Kontrollansicht und technische Rückfalllösung verfügbar sein.</w:t>
            </w:r>
          </w:p>
        </w:tc>
        <w:tc>
          <w:tcPr>
            <w:tcW w:w="1967" w:type="dxa"/>
            <w:tcBorders/>
          </w:tcPr>
          <w:p w14:paraId="45149204">
            <w:pPr>
              <w:pStyle w:val="style0"/>
              <w:rPr/>
            </w:pPr>
            <w:r>
              <w:rPr>
                <w:b w:val="false"/>
                <w:sz w:val="12"/>
              </w:rPr>
              <w:t>Muss</w:t>
            </w:r>
          </w:p>
        </w:tc>
        <w:tc>
          <w:tcPr>
            <w:tcW w:w="1967" w:type="dxa"/>
            <w:tcBorders/>
          </w:tcPr>
          <w:p w14:paraId="A8E6F5E3">
            <w:pPr>
              <w:pStyle w:val="style0"/>
              <w:rPr/>
            </w:pPr>
            <w:r>
              <w:rPr>
                <w:b w:val="false"/>
                <w:sz w:val="12"/>
              </w:rPr>
              <w:t>DEC-014</w:t>
            </w:r>
          </w:p>
        </w:tc>
        <w:tc>
          <w:tcPr>
            <w:tcW w:w="1967" w:type="dxa"/>
            <w:tcBorders/>
          </w:tcPr>
          <w:p w14:paraId="5D38FD54">
            <w:pPr>
              <w:pStyle w:val="style0"/>
              <w:rPr/>
            </w:pPr>
            <w:r>
              <w:rPr>
                <w:b w:val="false"/>
                <w:sz w:val="12"/>
              </w:rPr>
              <w:t>Monitoring; Decision Engine; Kontrollen</w:t>
            </w:r>
          </w:p>
        </w:tc>
        <w:tc>
          <w:tcPr>
            <w:tcW w:w="1967" w:type="dxa"/>
            <w:tcBorders/>
          </w:tcPr>
          <w:p w14:paraId="13CC57DC">
            <w:pPr>
              <w:pStyle w:val="style0"/>
              <w:rPr/>
            </w:pPr>
            <w:r>
              <w:rPr>
                <w:b w:val="false"/>
                <w:sz w:val="12"/>
              </w:rPr>
              <w:t>Für jede Position ist ein nachvollziehbares Ranking verfügbar; daraus kann eine regelkonforme Baseline-Aufstellung abgeleitet und mit dem Ergebnis der Variantenoptimierung verglichen werden.</w:t>
            </w:r>
          </w:p>
        </w:tc>
        <w:tc>
          <w:tcPr>
            <w:tcW w:w="1967" w:type="dxa"/>
            <w:tcBorders/>
          </w:tcPr>
          <w:p w14:paraId="F2EA4BAA">
            <w:pPr>
              <w:pStyle w:val="style0"/>
              <w:rPr/>
            </w:pPr>
            <w:r>
              <w:rPr>
                <w:b w:val="false"/>
                <w:sz w:val="12"/>
              </w:rPr>
              <w:t>Offen</w:t>
            </w:r>
          </w:p>
        </w:tc>
      </w:tr>
      <w:tr w14:paraId="3C6A1685">
        <w:tblPrEx/>
        <w:trPr>
          <w:jc w:val="center"/>
        </w:trPr>
        <w:tc>
          <w:tcPr>
            <w:tcW w:w="1967" w:type="dxa"/>
            <w:tcBorders/>
          </w:tcPr>
          <w:p w14:paraId="AD2E8245">
            <w:pPr>
              <w:pStyle w:val="style0"/>
              <w:rPr/>
            </w:pPr>
            <w:r>
              <w:rPr>
                <w:b w:val="false"/>
                <w:sz w:val="12"/>
              </w:rPr>
              <w:t>REQ-EVA-008</w:t>
            </w:r>
          </w:p>
        </w:tc>
        <w:tc>
          <w:tcPr>
            <w:tcW w:w="1967" w:type="dxa"/>
            <w:tcBorders/>
          </w:tcPr>
          <w:p w14:paraId="CF3E544A">
            <w:pPr>
              <w:pStyle w:val="style0"/>
              <w:rPr/>
            </w:pPr>
            <w:r>
              <w:rPr>
                <w:b w:val="false"/>
                <w:sz w:val="12"/>
              </w:rPr>
              <w:t>Evaluation</w:t>
            </w:r>
          </w:p>
        </w:tc>
        <w:tc>
          <w:tcPr>
            <w:tcW w:w="1967" w:type="dxa"/>
            <w:tcBorders/>
          </w:tcPr>
          <w:p w14:paraId="F4E0BA91">
            <w:pPr>
              <w:pStyle w:val="style0"/>
              <w:rPr/>
            </w:pPr>
            <w:r>
              <w:rPr>
                <w:b w:val="false"/>
                <w:sz w:val="12"/>
              </w:rPr>
              <w:t>Der Mehrwert der vollständigen Variantenoptimierung gegenüber der Ranking-Baseline muss im Betrieb messbar evaluiert werden.</w:t>
            </w:r>
          </w:p>
        </w:tc>
        <w:tc>
          <w:tcPr>
            <w:tcW w:w="1967" w:type="dxa"/>
            <w:tcBorders/>
          </w:tcPr>
          <w:p w14:paraId="EDC697D9">
            <w:pPr>
              <w:pStyle w:val="style0"/>
              <w:rPr/>
            </w:pPr>
            <w:r>
              <w:rPr>
                <w:b w:val="false"/>
                <w:sz w:val="12"/>
              </w:rPr>
              <w:t>Soll</w:t>
            </w:r>
          </w:p>
        </w:tc>
        <w:tc>
          <w:tcPr>
            <w:tcW w:w="1967" w:type="dxa"/>
            <w:tcBorders/>
          </w:tcPr>
          <w:p w14:paraId="D9523F18">
            <w:pPr>
              <w:pStyle w:val="style0"/>
              <w:rPr/>
            </w:pPr>
            <w:r>
              <w:rPr>
                <w:b w:val="false"/>
                <w:sz w:val="12"/>
              </w:rPr>
              <w:t>DEC-014</w:t>
            </w:r>
          </w:p>
        </w:tc>
        <w:tc>
          <w:tcPr>
            <w:tcW w:w="1967" w:type="dxa"/>
            <w:tcBorders/>
          </w:tcPr>
          <w:p w14:paraId="E3EEF71C">
            <w:pPr>
              <w:pStyle w:val="style0"/>
              <w:rPr/>
            </w:pPr>
            <w:r>
              <w:rPr>
                <w:b w:val="false"/>
                <w:sz w:val="12"/>
              </w:rPr>
              <w:t>Evaluation; Monitoring</w:t>
            </w:r>
          </w:p>
        </w:tc>
        <w:tc>
          <w:tcPr>
            <w:tcW w:w="1967" w:type="dxa"/>
            <w:tcBorders/>
          </w:tcPr>
          <w:p w14:paraId="772F6F23">
            <w:pPr>
              <w:pStyle w:val="style0"/>
              <w:rPr/>
            </w:pPr>
            <w:r>
              <w:rPr>
                <w:b w:val="false"/>
                <w:sz w:val="12"/>
              </w:rPr>
              <w:t>Für gespeicherte Spieltage werden Baseline- und Variantenempfehlung sowie deren erwartete und tatsächliche Ergebnisse vergleichbar dokumentiert.</w:t>
            </w:r>
          </w:p>
        </w:tc>
        <w:tc>
          <w:tcPr>
            <w:tcW w:w="1967" w:type="dxa"/>
            <w:tcBorders/>
          </w:tcPr>
          <w:p w14:paraId="396C161A">
            <w:pPr>
              <w:pStyle w:val="style0"/>
              <w:rPr/>
            </w:pPr>
            <w:r>
              <w:rPr>
                <w:b w:val="false"/>
                <w:sz w:val="12"/>
              </w:rPr>
              <w:t>Offen</w:t>
            </w:r>
          </w:p>
        </w:tc>
      </w:tr>
      <w:tr w14:paraId="79AD11FC">
        <w:tblPrEx/>
        <w:trPr>
          <w:jc w:val="center"/>
        </w:trPr>
        <w:tc>
          <w:tcPr>
            <w:tcW w:w="1967" w:type="dxa"/>
            <w:tcBorders/>
          </w:tcPr>
          <w:p w14:paraId="19D20786">
            <w:pPr>
              <w:pStyle w:val="style0"/>
              <w:rPr/>
            </w:pPr>
            <w:r>
              <w:rPr>
                <w:b w:val="false"/>
                <w:sz w:val="12"/>
              </w:rPr>
              <w:t>REQ-DAT-003</w:t>
            </w:r>
          </w:p>
        </w:tc>
        <w:tc>
          <w:tcPr>
            <w:tcW w:w="1967" w:type="dxa"/>
            <w:tcBorders/>
          </w:tcPr>
          <w:p w14:paraId="C7FB700C">
            <w:pPr>
              <w:pStyle w:val="style0"/>
              <w:rPr/>
            </w:pPr>
            <w:r>
              <w:rPr>
                <w:b w:val="false"/>
                <w:sz w:val="12"/>
              </w:rPr>
              <w:t>Daten</w:t>
            </w:r>
          </w:p>
        </w:tc>
        <w:tc>
          <w:tcPr>
            <w:tcW w:w="1967" w:type="dxa"/>
            <w:tcBorders/>
          </w:tcPr>
          <w:p w14:paraId="C3CFC07D">
            <w:pPr>
              <w:pStyle w:val="style0"/>
              <w:rPr/>
            </w:pPr>
            <w:r>
              <w:rPr>
                <w:b w:val="false"/>
                <w:sz w:val="12"/>
              </w:rPr>
              <w:t>Für jedes relevante Datenfeld muss zwischen einem tatsächlichen Wert und dem Status „nicht verfügbar“ unterschieden werden; fehlende Werte dürfen nicht pauschal als 0, ng oder oN interpretiert werden.</w:t>
            </w:r>
          </w:p>
        </w:tc>
        <w:tc>
          <w:tcPr>
            <w:tcW w:w="1967" w:type="dxa"/>
            <w:tcBorders/>
          </w:tcPr>
          <w:p w14:paraId="A80E0D23">
            <w:pPr>
              <w:pStyle w:val="style0"/>
              <w:rPr/>
            </w:pPr>
            <w:r>
              <w:rPr>
                <w:b w:val="false"/>
                <w:sz w:val="12"/>
              </w:rPr>
              <w:t>Muss</w:t>
            </w:r>
          </w:p>
        </w:tc>
        <w:tc>
          <w:tcPr>
            <w:tcW w:w="1967" w:type="dxa"/>
            <w:tcBorders/>
          </w:tcPr>
          <w:p w14:paraId="33695556">
            <w:pPr>
              <w:pStyle w:val="style0"/>
              <w:rPr/>
            </w:pPr>
            <w:r>
              <w:rPr>
                <w:b w:val="false"/>
                <w:sz w:val="12"/>
              </w:rPr>
              <w:t>DEC-015</w:t>
            </w:r>
          </w:p>
        </w:tc>
        <w:tc>
          <w:tcPr>
            <w:tcW w:w="1967" w:type="dxa"/>
            <w:tcBorders/>
          </w:tcPr>
          <w:p w14:paraId="7ECE4811">
            <w:pPr>
              <w:pStyle w:val="style0"/>
              <w:rPr/>
            </w:pPr>
            <w:r>
              <w:rPr>
                <w:b w:val="false"/>
                <w:sz w:val="12"/>
              </w:rPr>
              <w:t>SSOT; Rohdaten; Monitoring</w:t>
            </w:r>
          </w:p>
        </w:tc>
        <w:tc>
          <w:tcPr>
            <w:tcW w:w="1967" w:type="dxa"/>
            <w:tcBorders/>
          </w:tcPr>
          <w:p w14:paraId="06266094">
            <w:pPr>
              <w:pStyle w:val="style0"/>
              <w:rPr/>
            </w:pPr>
            <w:r>
              <w:rPr>
                <w:b w:val="false"/>
                <w:sz w:val="12"/>
              </w:rPr>
              <w:t>Datenmodell und Importtests weisen für relevante Felder einen eigenen Fehlstatus aus; fehlende Werte erzeugen keinen tatsächlichen Wert.</w:t>
            </w:r>
          </w:p>
        </w:tc>
        <w:tc>
          <w:tcPr>
            <w:tcW w:w="1967" w:type="dxa"/>
            <w:tcBorders/>
          </w:tcPr>
          <w:p w14:paraId="94C92EEF">
            <w:pPr>
              <w:pStyle w:val="style0"/>
              <w:rPr/>
            </w:pPr>
            <w:r>
              <w:rPr>
                <w:b w:val="false"/>
                <w:sz w:val="12"/>
              </w:rPr>
              <w:t>Offen</w:t>
            </w:r>
          </w:p>
        </w:tc>
      </w:tr>
      <w:tr w14:paraId="C2C70AF6">
        <w:tblPrEx/>
        <w:trPr>
          <w:jc w:val="center"/>
        </w:trPr>
        <w:tc>
          <w:tcPr>
            <w:tcW w:w="1967" w:type="dxa"/>
            <w:tcBorders/>
          </w:tcPr>
          <w:p w14:paraId="92C656D4">
            <w:pPr>
              <w:pStyle w:val="style0"/>
              <w:rPr/>
            </w:pPr>
            <w:r>
              <w:rPr>
                <w:b w:val="false"/>
                <w:sz w:val="12"/>
              </w:rPr>
              <w:t>REQ-SSOT-003</w:t>
            </w:r>
          </w:p>
        </w:tc>
        <w:tc>
          <w:tcPr>
            <w:tcW w:w="1967" w:type="dxa"/>
            <w:tcBorders/>
          </w:tcPr>
          <w:p w14:paraId="68DE8097">
            <w:pPr>
              <w:pStyle w:val="style0"/>
              <w:rPr/>
            </w:pPr>
            <w:r>
              <w:rPr>
                <w:b w:val="false"/>
                <w:sz w:val="12"/>
              </w:rPr>
              <w:t>Daten</w:t>
            </w:r>
          </w:p>
        </w:tc>
        <w:tc>
          <w:tcPr>
            <w:tcW w:w="1967" w:type="dxa"/>
            <w:tcBorders/>
          </w:tcPr>
          <w:p w14:paraId="0E37A38E">
            <w:pPr>
              <w:pStyle w:val="style0"/>
              <w:rPr/>
            </w:pPr>
            <w:r>
              <w:rPr>
                <w:b w:val="false"/>
                <w:sz w:val="12"/>
              </w:rPr>
              <w:t>Fehlende verbindliche SSOT-Stammdaten müssen die reguläre Verarbeitung und Aufstellung des betroffenen Spielers bis zur Klärung blockieren.</w:t>
            </w:r>
          </w:p>
        </w:tc>
        <w:tc>
          <w:tcPr>
            <w:tcW w:w="1967" w:type="dxa"/>
            <w:tcBorders/>
          </w:tcPr>
          <w:p w14:paraId="1C8B1809">
            <w:pPr>
              <w:pStyle w:val="style0"/>
              <w:rPr/>
            </w:pPr>
            <w:r>
              <w:rPr>
                <w:b w:val="false"/>
                <w:sz w:val="12"/>
              </w:rPr>
              <w:t>Muss</w:t>
            </w:r>
          </w:p>
        </w:tc>
        <w:tc>
          <w:tcPr>
            <w:tcW w:w="1967" w:type="dxa"/>
            <w:tcBorders/>
          </w:tcPr>
          <w:p w14:paraId="35FC8882">
            <w:pPr>
              <w:pStyle w:val="style0"/>
              <w:rPr/>
            </w:pPr>
            <w:r>
              <w:rPr>
                <w:b w:val="false"/>
                <w:sz w:val="12"/>
              </w:rPr>
              <w:t>DEC-015</w:t>
            </w:r>
          </w:p>
        </w:tc>
        <w:tc>
          <w:tcPr>
            <w:tcW w:w="1967" w:type="dxa"/>
            <w:tcBorders/>
          </w:tcPr>
          <w:p w14:paraId="1460E164">
            <w:pPr>
              <w:pStyle w:val="style0"/>
              <w:rPr/>
            </w:pPr>
            <w:r>
              <w:rPr>
                <w:b w:val="false"/>
                <w:sz w:val="12"/>
              </w:rPr>
              <w:t>SSOT; Kontrollmechanismen</w:t>
            </w:r>
          </w:p>
        </w:tc>
        <w:tc>
          <w:tcPr>
            <w:tcW w:w="1967" w:type="dxa"/>
            <w:tcBorders/>
          </w:tcPr>
          <w:p w14:paraId="26096A78">
            <w:pPr>
              <w:pStyle w:val="style0"/>
              <w:rPr/>
            </w:pPr>
            <w:r>
              <w:rPr>
                <w:b w:val="false"/>
                <w:sz w:val="12"/>
              </w:rPr>
              <w:t>Ein Spieler ohne validierte Pflichtstammdaten wird als ungeklärt markiert und kann nicht regulär in Berechnung oder Empfehlung eingehen.</w:t>
            </w:r>
          </w:p>
        </w:tc>
        <w:tc>
          <w:tcPr>
            <w:tcW w:w="1967" w:type="dxa"/>
            <w:tcBorders/>
          </w:tcPr>
          <w:p w14:paraId="7F971668">
            <w:pPr>
              <w:pStyle w:val="style0"/>
              <w:rPr/>
            </w:pPr>
            <w:r>
              <w:rPr>
                <w:b w:val="false"/>
                <w:sz w:val="12"/>
              </w:rPr>
              <w:t>Offen</w:t>
            </w:r>
          </w:p>
        </w:tc>
      </w:tr>
      <w:tr w14:paraId="DE1C9183">
        <w:tblPrEx/>
        <w:trPr>
          <w:jc w:val="center"/>
        </w:trPr>
        <w:tc>
          <w:tcPr>
            <w:tcW w:w="1967" w:type="dxa"/>
            <w:tcBorders/>
          </w:tcPr>
          <w:p w14:paraId="058455EA">
            <w:pPr>
              <w:pStyle w:val="style0"/>
              <w:rPr/>
            </w:pPr>
            <w:r>
              <w:rPr>
                <w:b w:val="false"/>
                <w:sz w:val="12"/>
              </w:rPr>
              <w:t>REQ-DAT-002</w:t>
            </w:r>
          </w:p>
        </w:tc>
        <w:tc>
          <w:tcPr>
            <w:tcW w:w="1967" w:type="dxa"/>
            <w:tcBorders/>
          </w:tcPr>
          <w:p w14:paraId="58335E43">
            <w:pPr>
              <w:pStyle w:val="style0"/>
              <w:rPr/>
            </w:pPr>
            <w:r>
              <w:rPr>
                <w:b w:val="false"/>
                <w:sz w:val="12"/>
              </w:rPr>
              <w:t>Daten</w:t>
            </w:r>
          </w:p>
        </w:tc>
        <w:tc>
          <w:tcPr>
            <w:tcW w:w="1967" w:type="dxa"/>
            <w:tcBorders/>
          </w:tcPr>
          <w:p w14:paraId="523C2463">
            <w:pPr>
              <w:pStyle w:val="style0"/>
              <w:rPr/>
            </w:pPr>
            <w:r>
              <w:rPr>
                <w:b w:val="false"/>
                <w:sz w:val="12"/>
              </w:rPr>
              <w:t>Fehlende tatsächliche Spieltagsdaten dürfen nicht geschätzt oder neutral ersetzt werden; betroffene Auswertungen müssen als vorläufig oder unvollständig gekennzeichnet werden.</w:t>
            </w:r>
          </w:p>
        </w:tc>
        <w:tc>
          <w:tcPr>
            <w:tcW w:w="1967" w:type="dxa"/>
            <w:tcBorders/>
          </w:tcPr>
          <w:p w14:paraId="B57B6C4D">
            <w:pPr>
              <w:pStyle w:val="style0"/>
              <w:rPr/>
            </w:pPr>
            <w:r>
              <w:rPr>
                <w:b w:val="false"/>
                <w:sz w:val="12"/>
              </w:rPr>
              <w:t>Muss</w:t>
            </w:r>
          </w:p>
        </w:tc>
        <w:tc>
          <w:tcPr>
            <w:tcW w:w="1967" w:type="dxa"/>
            <w:tcBorders/>
          </w:tcPr>
          <w:p w14:paraId="5D5047C9">
            <w:pPr>
              <w:pStyle w:val="style0"/>
              <w:rPr/>
            </w:pPr>
            <w:r>
              <w:rPr>
                <w:b w:val="false"/>
                <w:sz w:val="12"/>
              </w:rPr>
              <w:t>DEC-015</w:t>
            </w:r>
          </w:p>
        </w:tc>
        <w:tc>
          <w:tcPr>
            <w:tcW w:w="1967" w:type="dxa"/>
            <w:tcBorders/>
          </w:tcPr>
          <w:p w14:paraId="DD7D6EB1">
            <w:pPr>
              <w:pStyle w:val="style0"/>
              <w:rPr/>
            </w:pPr>
            <w:r>
              <w:rPr>
                <w:b w:val="false"/>
                <w:sz w:val="12"/>
              </w:rPr>
              <w:t>Rohdaten; Monitoring; Evaluation</w:t>
            </w:r>
          </w:p>
        </w:tc>
        <w:tc>
          <w:tcPr>
            <w:tcW w:w="1967" w:type="dxa"/>
            <w:tcBorders/>
          </w:tcPr>
          <w:p w14:paraId="C84EF69C">
            <w:pPr>
              <w:pStyle w:val="style0"/>
              <w:rPr/>
            </w:pPr>
            <w:r>
              <w:rPr>
                <w:b w:val="false"/>
                <w:sz w:val="12"/>
              </w:rPr>
              <w:t>Ein Test mit fehlender Note, Einsatzstatus oder Ereignisangabe erzeugt keinen Ersatzwert und verhindert den Status „vollständig/freigegeben“.</w:t>
            </w:r>
          </w:p>
        </w:tc>
        <w:tc>
          <w:tcPr>
            <w:tcW w:w="1967" w:type="dxa"/>
            <w:tcBorders/>
          </w:tcPr>
          <w:p w14:paraId="2B9964C5">
            <w:pPr>
              <w:pStyle w:val="style0"/>
              <w:rPr/>
            </w:pPr>
            <w:r>
              <w:rPr>
                <w:b w:val="false"/>
                <w:sz w:val="12"/>
              </w:rPr>
              <w:t>Offen</w:t>
            </w:r>
          </w:p>
        </w:tc>
      </w:tr>
      <w:tr w14:paraId="42CD6ACE">
        <w:tblPrEx/>
        <w:trPr>
          <w:jc w:val="center"/>
        </w:trPr>
        <w:tc>
          <w:tcPr>
            <w:tcW w:w="1967" w:type="dxa"/>
            <w:tcBorders/>
          </w:tcPr>
          <w:p w14:paraId="0D2AEB9A">
            <w:pPr>
              <w:pStyle w:val="style0"/>
              <w:rPr/>
            </w:pPr>
            <w:r>
              <w:rPr>
                <w:b w:val="false"/>
                <w:sz w:val="12"/>
              </w:rPr>
              <w:t>REQ-MOD-004</w:t>
            </w:r>
          </w:p>
        </w:tc>
        <w:tc>
          <w:tcPr>
            <w:tcW w:w="1967" w:type="dxa"/>
            <w:tcBorders/>
          </w:tcPr>
          <w:p w14:paraId="1B1C346C">
            <w:pPr>
              <w:pStyle w:val="style0"/>
              <w:rPr/>
            </w:pPr>
            <w:r>
              <w:rPr>
                <w:b w:val="false"/>
                <w:sz w:val="12"/>
              </w:rPr>
              <w:t>Modell</w:t>
            </w:r>
          </w:p>
        </w:tc>
        <w:tc>
          <w:tcPr>
            <w:tcW w:w="1967" w:type="dxa"/>
            <w:tcBorders/>
          </w:tcPr>
          <w:p w14:paraId="4D7319C8">
            <w:pPr>
              <w:pStyle w:val="style0"/>
              <w:rPr/>
            </w:pPr>
            <w:r>
              <w:rPr>
                <w:b w:val="false"/>
                <w:sz w:val="12"/>
              </w:rPr>
              <w:t>Fehlende ergänzende Prognosedaten dürfen nur durch vorab definierte neutrale Standardannahmen ersetzt werden; Annahme, Datenlücke und reduzierte Prognosesicherheit müssen dokumentiert und angezeigt werden.</w:t>
            </w:r>
          </w:p>
        </w:tc>
        <w:tc>
          <w:tcPr>
            <w:tcW w:w="1967" w:type="dxa"/>
            <w:tcBorders/>
          </w:tcPr>
          <w:p w14:paraId="6BE6B711">
            <w:pPr>
              <w:pStyle w:val="style0"/>
              <w:rPr/>
            </w:pPr>
            <w:r>
              <w:rPr>
                <w:b w:val="false"/>
                <w:sz w:val="12"/>
              </w:rPr>
              <w:t>Muss</w:t>
            </w:r>
          </w:p>
        </w:tc>
        <w:tc>
          <w:tcPr>
            <w:tcW w:w="1967" w:type="dxa"/>
            <w:tcBorders/>
          </w:tcPr>
          <w:p w14:paraId="C001DAAB">
            <w:pPr>
              <w:pStyle w:val="style0"/>
              <w:rPr/>
            </w:pPr>
            <w:r>
              <w:rPr>
                <w:b w:val="false"/>
                <w:sz w:val="12"/>
              </w:rPr>
              <w:t>DEC-015</w:t>
            </w:r>
          </w:p>
        </w:tc>
        <w:tc>
          <w:tcPr>
            <w:tcW w:w="1967" w:type="dxa"/>
            <w:tcBorders/>
          </w:tcPr>
          <w:p w14:paraId="CE562B64">
            <w:pPr>
              <w:pStyle w:val="style0"/>
              <w:rPr/>
            </w:pPr>
            <w:r>
              <w:rPr>
                <w:b w:val="false"/>
                <w:sz w:val="12"/>
              </w:rPr>
              <w:t>Monitoring; Decision Engine</w:t>
            </w:r>
          </w:p>
        </w:tc>
        <w:tc>
          <w:tcPr>
            <w:tcW w:w="1967" w:type="dxa"/>
            <w:tcBorders/>
          </w:tcPr>
          <w:p w14:paraId="F3BA8E72">
            <w:pPr>
              <w:pStyle w:val="style0"/>
              <w:rPr/>
            </w:pPr>
            <w:r>
              <w:rPr>
                <w:b w:val="false"/>
                <w:sz w:val="12"/>
              </w:rPr>
              <w:t>Jede verwendete Standardannahme ist versioniert nachvollziehbar; die Empfehlung zeigt die betroffene Lücke und einen reduzierten Sicherheitsstatus.</w:t>
            </w:r>
          </w:p>
        </w:tc>
        <w:tc>
          <w:tcPr>
            <w:tcW w:w="1967" w:type="dxa"/>
            <w:tcBorders/>
          </w:tcPr>
          <w:p w14:paraId="A8907094">
            <w:pPr>
              <w:pStyle w:val="style0"/>
              <w:rPr/>
            </w:pPr>
            <w:r>
              <w:rPr>
                <w:b w:val="false"/>
                <w:sz w:val="12"/>
              </w:rPr>
              <w:t>Offen</w:t>
            </w:r>
          </w:p>
        </w:tc>
      </w:tr>
      <w:tr w14:paraId="2DD9A6F6">
        <w:tblPrEx/>
        <w:trPr>
          <w:jc w:val="center"/>
        </w:trPr>
        <w:tc>
          <w:tcPr>
            <w:tcW w:w="1967" w:type="dxa"/>
            <w:tcBorders/>
          </w:tcPr>
          <w:p w14:paraId="C7CDFA61">
            <w:pPr>
              <w:pStyle w:val="style0"/>
              <w:rPr/>
            </w:pPr>
            <w:r>
              <w:rPr>
                <w:b w:val="false"/>
                <w:sz w:val="12"/>
              </w:rPr>
              <w:t>REQ-CTL-001</w:t>
            </w:r>
          </w:p>
        </w:tc>
        <w:tc>
          <w:tcPr>
            <w:tcW w:w="1967" w:type="dxa"/>
            <w:tcBorders/>
          </w:tcPr>
          <w:p w14:paraId="202745F0">
            <w:pPr>
              <w:pStyle w:val="style0"/>
              <w:rPr/>
            </w:pPr>
            <w:r>
              <w:rPr>
                <w:b w:val="false"/>
                <w:sz w:val="12"/>
              </w:rPr>
              <w:t>Kontrolle</w:t>
            </w:r>
          </w:p>
        </w:tc>
        <w:tc>
          <w:tcPr>
            <w:tcW w:w="1967" w:type="dxa"/>
            <w:tcBorders/>
          </w:tcPr>
          <w:p w14:paraId="D42186D8">
            <w:pPr>
              <w:pStyle w:val="style0"/>
              <w:rPr/>
            </w:pPr>
            <w:r>
              <w:rPr>
                <w:b w:val="false"/>
                <w:sz w:val="12"/>
              </w:rPr>
              <w:t>Alle relevanten Datenlücken müssen als kritisch oder nichtkritisch klassifiziert werden. Kritische Lücken verhindern eine freigegebene Empfehlung oder Auswertung; nichtkritische Lücken erlauben nur eine gekennzeichnete Berechnung mit zulässiger Standardannahme.</w:t>
            </w:r>
          </w:p>
        </w:tc>
        <w:tc>
          <w:tcPr>
            <w:tcW w:w="1967" w:type="dxa"/>
            <w:tcBorders/>
          </w:tcPr>
          <w:p w14:paraId="7A206A7F">
            <w:pPr>
              <w:pStyle w:val="style0"/>
              <w:rPr/>
            </w:pPr>
            <w:r>
              <w:rPr>
                <w:b w:val="false"/>
                <w:sz w:val="12"/>
              </w:rPr>
              <w:t>Muss</w:t>
            </w:r>
          </w:p>
        </w:tc>
        <w:tc>
          <w:tcPr>
            <w:tcW w:w="1967" w:type="dxa"/>
            <w:tcBorders/>
          </w:tcPr>
          <w:p w14:paraId="09B626A0">
            <w:pPr>
              <w:pStyle w:val="style0"/>
              <w:rPr/>
            </w:pPr>
            <w:r>
              <w:rPr>
                <w:b w:val="false"/>
                <w:sz w:val="12"/>
              </w:rPr>
              <w:t>DEC-015</w:t>
            </w:r>
          </w:p>
        </w:tc>
        <w:tc>
          <w:tcPr>
            <w:tcW w:w="1967" w:type="dxa"/>
            <w:tcBorders/>
          </w:tcPr>
          <w:p w14:paraId="985D9818">
            <w:pPr>
              <w:pStyle w:val="style0"/>
              <w:rPr/>
            </w:pPr>
            <w:r>
              <w:rPr>
                <w:b w:val="false"/>
                <w:sz w:val="12"/>
              </w:rPr>
              <w:t>Kontrollmechanismen; Projektsteuerung</w:t>
            </w:r>
          </w:p>
        </w:tc>
        <w:tc>
          <w:tcPr>
            <w:tcW w:w="1967" w:type="dxa"/>
            <w:tcBorders/>
          </w:tcPr>
          <w:p w14:paraId="EA37C838">
            <w:pPr>
              <w:pStyle w:val="style0"/>
              <w:rPr/>
            </w:pPr>
            <w:r>
              <w:rPr>
                <w:b w:val="false"/>
                <w:sz w:val="12"/>
              </w:rPr>
              <w:t>Für alle Pflichtfelder existiert eine freigegebene Kritikalitätsmatrix mit definierter Systemreaktion und Warnstufe.</w:t>
            </w:r>
          </w:p>
        </w:tc>
        <w:tc>
          <w:tcPr>
            <w:tcW w:w="1967" w:type="dxa"/>
            <w:tcBorders/>
          </w:tcPr>
          <w:p w14:paraId="AF684855">
            <w:pPr>
              <w:pStyle w:val="style0"/>
              <w:rPr/>
            </w:pPr>
            <w:r>
              <w:rPr>
                <w:b w:val="false"/>
                <w:sz w:val="12"/>
              </w:rPr>
              <w:t>Offen</w:t>
            </w:r>
          </w:p>
        </w:tc>
      </w:tr>
      <w:tr w14:paraId="FC1D2248">
        <w:tblPrEx/>
        <w:trPr>
          <w:jc w:val="center"/>
        </w:trPr>
        <w:tc>
          <w:tcPr>
            <w:tcW w:w="1967" w:type="dxa"/>
            <w:tcBorders/>
          </w:tcPr>
          <w:p w14:paraId="7489287B">
            <w:pPr>
              <w:pStyle w:val="style0"/>
              <w:rPr/>
            </w:pPr>
            <w:r>
              <w:rPr>
                <w:b w:val="false"/>
                <w:sz w:val="12"/>
              </w:rPr>
              <w:t>REQ-NFR-003</w:t>
            </w:r>
          </w:p>
        </w:tc>
        <w:tc>
          <w:tcPr>
            <w:tcW w:w="1967" w:type="dxa"/>
            <w:tcBorders/>
          </w:tcPr>
          <w:p w14:paraId="E4F748CE">
            <w:pPr>
              <w:pStyle w:val="style0"/>
              <w:rPr/>
            </w:pPr>
            <w:r>
              <w:rPr>
                <w:b w:val="false"/>
                <w:sz w:val="12"/>
              </w:rPr>
              <w:t>Nichtfunktional</w:t>
            </w:r>
          </w:p>
        </w:tc>
        <w:tc>
          <w:tcPr>
            <w:tcW w:w="1967" w:type="dxa"/>
            <w:tcBorders/>
          </w:tcPr>
          <w:p w14:paraId="03899358">
            <w:pPr>
              <w:pStyle w:val="style0"/>
              <w:rPr/>
            </w:pPr>
            <w:r>
              <w:rPr>
                <w:b w:val="false"/>
                <w:sz w:val="12"/>
              </w:rPr>
              <w:t>Jede Empfehlung und Auswertung muss Vollständigkeitsstatus, vorhandene Datenlücken und verwendete Ersatzannahmen ausweisen.</w:t>
            </w:r>
          </w:p>
        </w:tc>
        <w:tc>
          <w:tcPr>
            <w:tcW w:w="1967" w:type="dxa"/>
            <w:tcBorders/>
          </w:tcPr>
          <w:p w14:paraId="15411065">
            <w:pPr>
              <w:pStyle w:val="style0"/>
              <w:rPr/>
            </w:pPr>
            <w:r>
              <w:rPr>
                <w:b w:val="false"/>
                <w:sz w:val="12"/>
              </w:rPr>
              <w:t>Muss</w:t>
            </w:r>
          </w:p>
        </w:tc>
        <w:tc>
          <w:tcPr>
            <w:tcW w:w="1967" w:type="dxa"/>
            <w:tcBorders/>
          </w:tcPr>
          <w:p w14:paraId="E940701D">
            <w:pPr>
              <w:pStyle w:val="style0"/>
              <w:rPr/>
            </w:pPr>
            <w:r>
              <w:rPr>
                <w:b w:val="false"/>
                <w:sz w:val="12"/>
              </w:rPr>
              <w:t>DEC-015</w:t>
            </w:r>
          </w:p>
        </w:tc>
        <w:tc>
          <w:tcPr>
            <w:tcW w:w="1967" w:type="dxa"/>
            <w:tcBorders/>
          </w:tcPr>
          <w:p w14:paraId="9351D9C6">
            <w:pPr>
              <w:pStyle w:val="style0"/>
              <w:rPr/>
            </w:pPr>
            <w:r>
              <w:rPr>
                <w:b w:val="false"/>
                <w:sz w:val="12"/>
              </w:rPr>
              <w:t>Monitoring; Evaluation</w:t>
            </w:r>
          </w:p>
        </w:tc>
        <w:tc>
          <w:tcPr>
            <w:tcW w:w="1967" w:type="dxa"/>
            <w:tcBorders/>
          </w:tcPr>
          <w:p w14:paraId="92450FC3">
            <w:pPr>
              <w:pStyle w:val="style0"/>
              <w:rPr/>
            </w:pPr>
            <w:r>
              <w:rPr>
                <w:b w:val="false"/>
                <w:sz w:val="12"/>
              </w:rPr>
              <w:t>Snapshot und Ausgabe enthalten maschinenlesbaren Vollständigkeitsstatus sowie eine Liste aller relevanten Lücken und Annahmen.</w:t>
            </w:r>
          </w:p>
        </w:tc>
        <w:tc>
          <w:tcPr>
            <w:tcW w:w="1967" w:type="dxa"/>
            <w:tcBorders/>
          </w:tcPr>
          <w:p w14:paraId="CFB38C40">
            <w:pPr>
              <w:pStyle w:val="style0"/>
              <w:rPr/>
            </w:pPr>
            <w:r>
              <w:rPr>
                <w:b w:val="false"/>
                <w:sz w:val="12"/>
              </w:rPr>
              <w:t>Offen</w:t>
            </w:r>
          </w:p>
        </w:tc>
      </w:tr>
      <w:tr w14:paraId="24ED5E31">
        <w:tblPrEx/>
        <w:trPr>
          <w:jc w:val="center"/>
        </w:trPr>
        <w:tc>
          <w:tcPr>
            <w:tcW w:w="1967" w:type="dxa"/>
            <w:tcBorders/>
          </w:tcPr>
          <w:p w14:paraId="001F0585">
            <w:pPr>
              <w:pStyle w:val="style0"/>
              <w:rPr/>
            </w:pPr>
            <w:r>
              <w:rPr>
                <w:b w:val="false"/>
                <w:sz w:val="12"/>
              </w:rPr>
              <w:t>REQ-DEC-002</w:t>
            </w:r>
          </w:p>
        </w:tc>
        <w:tc>
          <w:tcPr>
            <w:tcW w:w="1967" w:type="dxa"/>
            <w:tcBorders/>
          </w:tcPr>
          <w:p w14:paraId="94A6BA50">
            <w:pPr>
              <w:pStyle w:val="style0"/>
              <w:rPr/>
            </w:pPr>
            <w:r>
              <w:rPr>
                <w:b w:val="false"/>
                <w:sz w:val="12"/>
              </w:rPr>
              <w:t>Entscheidung</w:t>
            </w:r>
          </w:p>
        </w:tc>
        <w:tc>
          <w:tcPr>
            <w:tcW w:w="1967" w:type="dxa"/>
            <w:tcBorders/>
          </w:tcPr>
          <w:p w14:paraId="A3CA83E0">
            <w:pPr>
              <w:pStyle w:val="style0"/>
              <w:rPr/>
            </w:pPr>
            <w:r>
              <w:rPr>
                <w:b w:val="false"/>
                <w:sz w:val="12"/>
              </w:rPr>
              <w:t>Der Manager muss jede Modellempfehlung vollständig oder teilweise übersteuern können; eine Begründung darf keine technische oder fachliche Zulässigkeitsvoraussetzung sein.</w:t>
            </w:r>
          </w:p>
        </w:tc>
        <w:tc>
          <w:tcPr>
            <w:tcW w:w="1967" w:type="dxa"/>
            <w:tcBorders/>
          </w:tcPr>
          <w:p w14:paraId="BA77C788">
            <w:pPr>
              <w:pStyle w:val="style0"/>
              <w:rPr/>
            </w:pPr>
            <w:r>
              <w:rPr>
                <w:b w:val="false"/>
                <w:sz w:val="12"/>
              </w:rPr>
              <w:t>Muss</w:t>
            </w:r>
          </w:p>
        </w:tc>
        <w:tc>
          <w:tcPr>
            <w:tcW w:w="1967" w:type="dxa"/>
            <w:tcBorders/>
          </w:tcPr>
          <w:p w14:paraId="1C4421E9">
            <w:pPr>
              <w:pStyle w:val="style0"/>
              <w:rPr/>
            </w:pPr>
            <w:r>
              <w:rPr>
                <w:b w:val="false"/>
                <w:sz w:val="12"/>
              </w:rPr>
              <w:t>DEC-017</w:t>
            </w:r>
          </w:p>
        </w:tc>
        <w:tc>
          <w:tcPr>
            <w:tcW w:w="1967" w:type="dxa"/>
            <w:tcBorders/>
          </w:tcPr>
          <w:p w14:paraId="5E74CD15">
            <w:pPr>
              <w:pStyle w:val="style0"/>
              <w:rPr/>
            </w:pPr>
            <w:r>
              <w:rPr>
                <w:b w:val="false"/>
                <w:sz w:val="12"/>
              </w:rPr>
              <w:t>Decision Engine; Monitoring</w:t>
            </w:r>
          </w:p>
        </w:tc>
        <w:tc>
          <w:tcPr>
            <w:tcW w:w="1967" w:type="dxa"/>
            <w:tcBorders/>
          </w:tcPr>
          <w:p w14:paraId="FA312DA9">
            <w:pPr>
              <w:pStyle w:val="style0"/>
              <w:rPr/>
            </w:pPr>
            <w:r>
              <w:rPr>
                <w:b w:val="false"/>
                <w:sz w:val="12"/>
              </w:rPr>
              <w:t>Ein Override kann ohne Sachbegründung gespeichert und wirksam abgeschlossen werden; das System kennzeichnet diesen Fall eindeutig.</w:t>
            </w:r>
          </w:p>
        </w:tc>
        <w:tc>
          <w:tcPr>
            <w:tcW w:w="1967" w:type="dxa"/>
            <w:tcBorders/>
          </w:tcPr>
          <w:p w14:paraId="73454B9F">
            <w:pPr>
              <w:pStyle w:val="style0"/>
              <w:rPr/>
            </w:pPr>
            <w:r>
              <w:rPr>
                <w:b w:val="false"/>
                <w:sz w:val="12"/>
              </w:rPr>
              <w:t>Offen</w:t>
            </w:r>
          </w:p>
        </w:tc>
      </w:tr>
      <w:tr w14:paraId="18EDED24">
        <w:tblPrEx/>
        <w:trPr>
          <w:jc w:val="center"/>
        </w:trPr>
        <w:tc>
          <w:tcPr>
            <w:tcW w:w="1967" w:type="dxa"/>
            <w:tcBorders/>
          </w:tcPr>
          <w:p w14:paraId="6340E172">
            <w:pPr>
              <w:pStyle w:val="style0"/>
              <w:rPr/>
            </w:pPr>
            <w:r>
              <w:rPr>
                <w:b w:val="false"/>
                <w:sz w:val="12"/>
              </w:rPr>
              <w:t>REQ-DEC-003</w:t>
            </w:r>
          </w:p>
        </w:tc>
        <w:tc>
          <w:tcPr>
            <w:tcW w:w="1967" w:type="dxa"/>
            <w:tcBorders/>
          </w:tcPr>
          <w:p w14:paraId="E594BC93">
            <w:pPr>
              <w:pStyle w:val="style0"/>
              <w:rPr/>
            </w:pPr>
            <w:r>
              <w:rPr>
                <w:b w:val="false"/>
                <w:sz w:val="12"/>
              </w:rPr>
              <w:t>Entscheidung</w:t>
            </w:r>
          </w:p>
        </w:tc>
        <w:tc>
          <w:tcPr>
            <w:tcW w:w="1967" w:type="dxa"/>
            <w:tcBorders/>
          </w:tcPr>
          <w:p w14:paraId="D7089ECF">
            <w:pPr>
              <w:pStyle w:val="style0"/>
              <w:rPr/>
            </w:pPr>
            <w:r>
              <w:rPr>
                <w:b w:val="false"/>
                <w:sz w:val="12"/>
              </w:rPr>
              <w:t>Modellempfehlung, wesentliche Argumente einer gegebenenfalls geführten Diskussion und abschließende Managerentscheidung müssen getrennt und versioniert gespeichert werden.</w:t>
            </w:r>
          </w:p>
        </w:tc>
        <w:tc>
          <w:tcPr>
            <w:tcW w:w="1967" w:type="dxa"/>
            <w:tcBorders/>
          </w:tcPr>
          <w:p w14:paraId="530C72CD">
            <w:pPr>
              <w:pStyle w:val="style0"/>
              <w:rPr/>
            </w:pPr>
            <w:r>
              <w:rPr>
                <w:b w:val="false"/>
                <w:sz w:val="12"/>
              </w:rPr>
              <w:t>Muss</w:t>
            </w:r>
          </w:p>
        </w:tc>
        <w:tc>
          <w:tcPr>
            <w:tcW w:w="1967" w:type="dxa"/>
            <w:tcBorders/>
          </w:tcPr>
          <w:p w14:paraId="6AC6B931">
            <w:pPr>
              <w:pStyle w:val="style0"/>
              <w:rPr/>
            </w:pPr>
            <w:r>
              <w:rPr>
                <w:b w:val="false"/>
                <w:sz w:val="12"/>
              </w:rPr>
              <w:t>DEC-017</w:t>
            </w:r>
          </w:p>
        </w:tc>
        <w:tc>
          <w:tcPr>
            <w:tcW w:w="1967" w:type="dxa"/>
            <w:tcBorders/>
          </w:tcPr>
          <w:p w14:paraId="0913B09E">
            <w:pPr>
              <w:pStyle w:val="style0"/>
              <w:rPr/>
            </w:pPr>
            <w:r>
              <w:rPr>
                <w:b w:val="false"/>
                <w:sz w:val="12"/>
              </w:rPr>
              <w:t>Decision Engine; Projektdokumentation</w:t>
            </w:r>
          </w:p>
        </w:tc>
        <w:tc>
          <w:tcPr>
            <w:tcW w:w="1967" w:type="dxa"/>
            <w:tcBorders/>
          </w:tcPr>
          <w:p w14:paraId="FA95149C">
            <w:pPr>
              <w:pStyle w:val="style0"/>
              <w:rPr/>
            </w:pPr>
            <w:r>
              <w:rPr>
                <w:b w:val="false"/>
                <w:sz w:val="12"/>
              </w:rPr>
              <w:t>Für jeden Entscheidungsfall sind drei getrennte Ebenen mit Zeitstempel und unveränderlichem Bezug auf denselben Empfehlungssnapshot abrufbar.</w:t>
            </w:r>
          </w:p>
        </w:tc>
        <w:tc>
          <w:tcPr>
            <w:tcW w:w="1967" w:type="dxa"/>
            <w:tcBorders/>
          </w:tcPr>
          <w:p w14:paraId="49085747">
            <w:pPr>
              <w:pStyle w:val="style0"/>
              <w:rPr/>
            </w:pPr>
            <w:r>
              <w:rPr>
                <w:b w:val="false"/>
                <w:sz w:val="12"/>
              </w:rPr>
              <w:t>Offen</w:t>
            </w:r>
          </w:p>
        </w:tc>
      </w:tr>
      <w:tr w14:paraId="DB0C72B4">
        <w:tblPrEx/>
        <w:trPr>
          <w:jc w:val="center"/>
        </w:trPr>
        <w:tc>
          <w:tcPr>
            <w:tcW w:w="1967" w:type="dxa"/>
            <w:tcBorders/>
          </w:tcPr>
          <w:p w14:paraId="A35CE933">
            <w:pPr>
              <w:pStyle w:val="style0"/>
              <w:rPr/>
            </w:pPr>
            <w:r>
              <w:rPr>
                <w:b w:val="false"/>
                <w:sz w:val="12"/>
              </w:rPr>
              <w:t>REQ-NFR-004</w:t>
            </w:r>
          </w:p>
        </w:tc>
        <w:tc>
          <w:tcPr>
            <w:tcW w:w="1967" w:type="dxa"/>
            <w:tcBorders/>
          </w:tcPr>
          <w:p w14:paraId="143C028C">
            <w:pPr>
              <w:pStyle w:val="style0"/>
              <w:rPr/>
            </w:pPr>
            <w:r>
              <w:rPr>
                <w:b w:val="false"/>
                <w:sz w:val="12"/>
              </w:rPr>
              <w:t>Nichtfunktional</w:t>
            </w:r>
          </w:p>
        </w:tc>
        <w:tc>
          <w:tcPr>
            <w:tcW w:w="1967" w:type="dxa"/>
            <w:tcBorders/>
          </w:tcPr>
          <w:p w14:paraId="C97CF40D">
            <w:pPr>
              <w:pStyle w:val="style0"/>
              <w:rPr/>
            </w:pPr>
            <w:r>
              <w:rPr>
                <w:b w:val="false"/>
                <w:sz w:val="12"/>
              </w:rPr>
              <w:t>Ein Manager Override darf den ursprünglichen Modellscore, die Berechnungsgrundlage oder den ursprünglichen Empfehlungssnapshot nicht überschreiben.</w:t>
            </w:r>
          </w:p>
        </w:tc>
        <w:tc>
          <w:tcPr>
            <w:tcW w:w="1967" w:type="dxa"/>
            <w:tcBorders/>
          </w:tcPr>
          <w:p w14:paraId="D507D67D">
            <w:pPr>
              <w:pStyle w:val="style0"/>
              <w:rPr/>
            </w:pPr>
            <w:r>
              <w:rPr>
                <w:b w:val="false"/>
                <w:sz w:val="12"/>
              </w:rPr>
              <w:t>Muss</w:t>
            </w:r>
          </w:p>
        </w:tc>
        <w:tc>
          <w:tcPr>
            <w:tcW w:w="1967" w:type="dxa"/>
            <w:tcBorders/>
          </w:tcPr>
          <w:p w14:paraId="02626D05">
            <w:pPr>
              <w:pStyle w:val="style0"/>
              <w:rPr/>
            </w:pPr>
            <w:r>
              <w:rPr>
                <w:b w:val="false"/>
                <w:sz w:val="12"/>
              </w:rPr>
              <w:t>DEC-017</w:t>
            </w:r>
          </w:p>
        </w:tc>
        <w:tc>
          <w:tcPr>
            <w:tcW w:w="1967" w:type="dxa"/>
            <w:tcBorders/>
          </w:tcPr>
          <w:p w14:paraId="E38EAD6B">
            <w:pPr>
              <w:pStyle w:val="style0"/>
              <w:rPr/>
            </w:pPr>
            <w:r>
              <w:rPr>
                <w:b w:val="false"/>
                <w:sz w:val="12"/>
              </w:rPr>
              <w:t>Monitoring; Kontrollmechanismen</w:t>
            </w:r>
          </w:p>
        </w:tc>
        <w:tc>
          <w:tcPr>
            <w:tcW w:w="1967" w:type="dxa"/>
            <w:tcBorders/>
          </w:tcPr>
          <w:p w14:paraId="99C35BC3">
            <w:pPr>
              <w:pStyle w:val="style0"/>
              <w:rPr/>
            </w:pPr>
            <w:r>
              <w:rPr>
                <w:b w:val="false"/>
                <w:sz w:val="12"/>
              </w:rPr>
              <w:t>Nach einem Override bleibt der vollständige ursprüngliche Snapshot unverändert reproduzierbar; Änderungen erzeugen ausschließlich neue Datensätze.</w:t>
            </w:r>
          </w:p>
        </w:tc>
        <w:tc>
          <w:tcPr>
            <w:tcW w:w="1967" w:type="dxa"/>
            <w:tcBorders/>
          </w:tcPr>
          <w:p w14:paraId="D6F04784">
            <w:pPr>
              <w:pStyle w:val="style0"/>
              <w:rPr/>
            </w:pPr>
            <w:r>
              <w:rPr>
                <w:b w:val="false"/>
                <w:sz w:val="12"/>
              </w:rPr>
              <w:t>Offen</w:t>
            </w:r>
          </w:p>
        </w:tc>
      </w:tr>
      <w:tr w14:paraId="A04B2662">
        <w:tblPrEx/>
        <w:trPr>
          <w:jc w:val="center"/>
        </w:trPr>
        <w:tc>
          <w:tcPr>
            <w:tcW w:w="1967" w:type="dxa"/>
            <w:tcBorders/>
          </w:tcPr>
          <w:p w14:paraId="695091A6">
            <w:pPr>
              <w:pStyle w:val="style0"/>
              <w:rPr/>
            </w:pPr>
            <w:r>
              <w:rPr>
                <w:b w:val="false"/>
                <w:sz w:val="12"/>
              </w:rPr>
              <w:t>REQ-EVA-002</w:t>
            </w:r>
          </w:p>
        </w:tc>
        <w:tc>
          <w:tcPr>
            <w:tcW w:w="1967" w:type="dxa"/>
            <w:tcBorders/>
          </w:tcPr>
          <w:p w14:paraId="E997A5F7">
            <w:pPr>
              <w:pStyle w:val="style0"/>
              <w:rPr/>
            </w:pPr>
            <w:r>
              <w:rPr>
                <w:b w:val="false"/>
                <w:sz w:val="12"/>
              </w:rPr>
              <w:t>Evaluation</w:t>
            </w:r>
          </w:p>
        </w:tc>
        <w:tc>
          <w:tcPr>
            <w:tcW w:w="1967" w:type="dxa"/>
            <w:tcBorders/>
          </w:tcPr>
          <w:p w14:paraId="03FC6D9E">
            <w:pPr>
              <w:pStyle w:val="style0"/>
              <w:rPr/>
            </w:pPr>
            <w:r>
              <w:rPr>
                <w:b w:val="false"/>
                <w:sz w:val="12"/>
              </w:rPr>
              <w:t>Vorschlag, Diskussion und abschließende Managerentscheidung sind getrennt zu evaluieren; einzelne Ergebnisse dürfen nicht automatisch zu einer Modellanpassung führen.</w:t>
            </w:r>
          </w:p>
        </w:tc>
        <w:tc>
          <w:tcPr>
            <w:tcW w:w="1967" w:type="dxa"/>
            <w:tcBorders/>
          </w:tcPr>
          <w:p w14:paraId="A4EB4626">
            <w:pPr>
              <w:pStyle w:val="style0"/>
              <w:rPr/>
            </w:pPr>
            <w:r>
              <w:rPr>
                <w:b w:val="false"/>
                <w:sz w:val="12"/>
              </w:rPr>
              <w:t>Muss</w:t>
            </w:r>
          </w:p>
        </w:tc>
        <w:tc>
          <w:tcPr>
            <w:tcW w:w="1967" w:type="dxa"/>
            <w:tcBorders/>
          </w:tcPr>
          <w:p w14:paraId="9FD59F6A">
            <w:pPr>
              <w:pStyle w:val="style0"/>
              <w:rPr/>
            </w:pPr>
            <w:r>
              <w:rPr>
                <w:b w:val="false"/>
                <w:sz w:val="12"/>
              </w:rPr>
              <w:t>DEC-017</w:t>
            </w:r>
          </w:p>
        </w:tc>
        <w:tc>
          <w:tcPr>
            <w:tcW w:w="1967" w:type="dxa"/>
            <w:tcBorders/>
          </w:tcPr>
          <w:p w14:paraId="D1902C6B">
            <w:pPr>
              <w:pStyle w:val="style0"/>
              <w:rPr/>
            </w:pPr>
            <w:r>
              <w:rPr>
                <w:b w:val="false"/>
                <w:sz w:val="12"/>
              </w:rPr>
              <w:t>Evaluation</w:t>
            </w:r>
          </w:p>
        </w:tc>
        <w:tc>
          <w:tcPr>
            <w:tcW w:w="1967" w:type="dxa"/>
            <w:tcBorders/>
          </w:tcPr>
          <w:p w14:paraId="90CF4D2A">
            <w:pPr>
              <w:pStyle w:val="style0"/>
              <w:rPr/>
            </w:pPr>
            <w:r>
              <w:rPr>
                <w:b w:val="false"/>
                <w:sz w:val="12"/>
              </w:rPr>
              <w:t>Die Evaluation weist Ergebniswirkung, Vertretbarkeit nach damaligem Informationsstand, wiederkehrende Gründe und mögliche systematische Modellschwächen getrennt aus.</w:t>
            </w:r>
          </w:p>
        </w:tc>
        <w:tc>
          <w:tcPr>
            <w:tcW w:w="1967" w:type="dxa"/>
            <w:tcBorders/>
          </w:tcPr>
          <w:p w14:paraId="F98D8CB7">
            <w:pPr>
              <w:pStyle w:val="style0"/>
              <w:rPr/>
            </w:pPr>
            <w:r>
              <w:rPr>
                <w:b w:val="false"/>
                <w:sz w:val="12"/>
              </w:rPr>
              <w:t>Offen</w:t>
            </w:r>
          </w:p>
        </w:tc>
      </w:tr>
      <w:tr w14:paraId="E28C5066">
        <w:tblPrEx/>
        <w:trPr>
          <w:jc w:val="center"/>
        </w:trPr>
        <w:tc>
          <w:tcPr>
            <w:tcW w:w="1967" w:type="dxa"/>
            <w:tcBorders/>
          </w:tcPr>
          <w:p w14:paraId="F25FA243">
            <w:pPr>
              <w:pStyle w:val="style0"/>
              <w:rPr/>
            </w:pPr>
            <w:r>
              <w:rPr>
                <w:b w:val="false"/>
                <w:sz w:val="12"/>
              </w:rPr>
              <w:t>REQ-MON-008</w:t>
            </w:r>
          </w:p>
        </w:tc>
        <w:tc>
          <w:tcPr>
            <w:tcW w:w="1967" w:type="dxa"/>
            <w:tcBorders/>
          </w:tcPr>
          <w:p w14:paraId="37F3078A">
            <w:pPr>
              <w:pStyle w:val="style0"/>
              <w:rPr/>
            </w:pPr>
            <w:r>
              <w:rPr>
                <w:b w:val="false"/>
                <w:sz w:val="12"/>
              </w:rPr>
              <w:t>Funktional</w:t>
            </w:r>
          </w:p>
        </w:tc>
        <w:tc>
          <w:tcPr>
            <w:tcW w:w="1967" w:type="dxa"/>
            <w:tcBorders/>
          </w:tcPr>
          <w:p w14:paraId="E2AD7B8D">
            <w:pPr>
              <w:pStyle w:val="style0"/>
              <w:rPr/>
            </w:pPr>
            <w:r>
              <w:rPr>
                <w:b w:val="false"/>
                <w:sz w:val="12"/>
              </w:rPr>
              <w:t>Das System soll eine freiwillige Override-Begründung erfragen und mindestens Bauchgefühl, persönliche Risikoeinschätzung, Entscheidung nach Diskussion, freie Begründung und keine nähere Begründung unterstützen.</w:t>
            </w:r>
          </w:p>
        </w:tc>
        <w:tc>
          <w:tcPr>
            <w:tcW w:w="1967" w:type="dxa"/>
            <w:tcBorders/>
          </w:tcPr>
          <w:p w14:paraId="76241029">
            <w:pPr>
              <w:pStyle w:val="style0"/>
              <w:rPr/>
            </w:pPr>
            <w:r>
              <w:rPr>
                <w:b w:val="false"/>
                <w:sz w:val="12"/>
              </w:rPr>
              <w:t>Soll</w:t>
            </w:r>
          </w:p>
        </w:tc>
        <w:tc>
          <w:tcPr>
            <w:tcW w:w="1967" w:type="dxa"/>
            <w:tcBorders/>
          </w:tcPr>
          <w:p w14:paraId="1AF8C7AB">
            <w:pPr>
              <w:pStyle w:val="style0"/>
              <w:rPr/>
            </w:pPr>
            <w:r>
              <w:rPr>
                <w:b w:val="false"/>
                <w:sz w:val="12"/>
              </w:rPr>
              <w:t>DEC-017</w:t>
            </w:r>
          </w:p>
        </w:tc>
        <w:tc>
          <w:tcPr>
            <w:tcW w:w="1967" w:type="dxa"/>
            <w:tcBorders/>
          </w:tcPr>
          <w:p w14:paraId="611745CA">
            <w:pPr>
              <w:pStyle w:val="style0"/>
              <w:rPr/>
            </w:pPr>
            <w:r>
              <w:rPr>
                <w:b w:val="false"/>
                <w:sz w:val="12"/>
              </w:rPr>
              <w:t>Monitoring; Projektdokumentation</w:t>
            </w:r>
          </w:p>
        </w:tc>
        <w:tc>
          <w:tcPr>
            <w:tcW w:w="1967" w:type="dxa"/>
            <w:tcBorders/>
          </w:tcPr>
          <w:p w14:paraId="A2263F98">
            <w:pPr>
              <w:pStyle w:val="style0"/>
              <w:rPr/>
            </w:pPr>
            <w:r>
              <w:rPr>
                <w:b w:val="false"/>
                <w:sz w:val="12"/>
              </w:rPr>
              <w:t>Die Eingabe erlaubt alle vorgesehenen Kategorien sowie Freitext; ein fehlender Begründungstext verhindert den Abschluss nicht.</w:t>
            </w:r>
          </w:p>
        </w:tc>
        <w:tc>
          <w:tcPr>
            <w:tcW w:w="1967" w:type="dxa"/>
            <w:tcBorders/>
          </w:tcPr>
          <w:p w14:paraId="B3FA3541">
            <w:pPr>
              <w:pStyle w:val="style0"/>
              <w:rPr/>
            </w:pPr>
            <w:r>
              <w:rPr>
                <w:b w:val="false"/>
                <w:sz w:val="12"/>
              </w:rPr>
              <w:t>Offen</w:t>
            </w:r>
          </w:p>
        </w:tc>
      </w:tr>
      <w:tr w14:paraId="F9F11BC0">
        <w:tblPrEx/>
        <w:trPr>
          <w:jc w:val="center"/>
        </w:trPr>
        <w:tc>
          <w:tcPr>
            <w:tcW w:w="1967" w:type="dxa"/>
            <w:tcBorders/>
          </w:tcPr>
          <w:p w14:paraId="7DA67FE2">
            <w:pPr>
              <w:pStyle w:val="style0"/>
              <w:rPr/>
            </w:pPr>
            <w:r>
              <w:rPr>
                <w:b w:val="false"/>
                <w:sz w:val="12"/>
              </w:rPr>
              <w:t>REQ-EVA-003</w:t>
            </w:r>
          </w:p>
        </w:tc>
        <w:tc>
          <w:tcPr>
            <w:tcW w:w="1967" w:type="dxa"/>
            <w:tcBorders/>
          </w:tcPr>
          <w:p w14:paraId="812B9B68">
            <w:pPr>
              <w:pStyle w:val="style0"/>
              <w:rPr/>
            </w:pPr>
            <w:r>
              <w:rPr>
                <w:b w:val="false"/>
                <w:sz w:val="12"/>
              </w:rPr>
              <w:t>Evaluation</w:t>
            </w:r>
          </w:p>
        </w:tc>
        <w:tc>
          <w:tcPr>
            <w:tcW w:w="1967" w:type="dxa"/>
            <w:tcBorders/>
          </w:tcPr>
          <w:p w14:paraId="35069BD3">
            <w:pPr>
              <w:pStyle w:val="style0"/>
              <w:rPr/>
            </w:pPr>
            <w:r>
              <w:rPr>
                <w:b w:val="false"/>
                <w:sz w:val="12"/>
              </w:rPr>
              <w:t>Das System muss Ergebnisqualität, Prognosequalität und Entscheidungsqualität getrennt ausweisen.</w:t>
            </w:r>
          </w:p>
        </w:tc>
        <w:tc>
          <w:tcPr>
            <w:tcW w:w="1967" w:type="dxa"/>
            <w:tcBorders/>
          </w:tcPr>
          <w:p w14:paraId="BAC4724F">
            <w:pPr>
              <w:pStyle w:val="style0"/>
              <w:rPr/>
            </w:pPr>
            <w:r>
              <w:rPr>
                <w:b w:val="false"/>
                <w:sz w:val="12"/>
              </w:rPr>
              <w:t>Muss</w:t>
            </w:r>
          </w:p>
        </w:tc>
        <w:tc>
          <w:tcPr>
            <w:tcW w:w="1967" w:type="dxa"/>
            <w:tcBorders/>
          </w:tcPr>
          <w:p w14:paraId="6857FF1A">
            <w:pPr>
              <w:pStyle w:val="style0"/>
              <w:rPr/>
            </w:pPr>
            <w:r>
              <w:rPr>
                <w:b w:val="false"/>
                <w:sz w:val="12"/>
              </w:rPr>
              <w:t>DEC-018</w:t>
            </w:r>
          </w:p>
        </w:tc>
        <w:tc>
          <w:tcPr>
            <w:tcW w:w="1967" w:type="dxa"/>
            <w:tcBorders/>
          </w:tcPr>
          <w:p w14:paraId="58F0DB7B">
            <w:pPr>
              <w:pStyle w:val="style0"/>
              <w:rPr/>
            </w:pPr>
            <w:r>
              <w:rPr>
                <w:b w:val="false"/>
                <w:sz w:val="12"/>
              </w:rPr>
              <w:t>Evaluation</w:t>
            </w:r>
          </w:p>
        </w:tc>
        <w:tc>
          <w:tcPr>
            <w:tcW w:w="1967" w:type="dxa"/>
            <w:tcBorders/>
          </w:tcPr>
          <w:p w14:paraId="41FBB327">
            <w:pPr>
              <w:pStyle w:val="style0"/>
              <w:rPr/>
            </w:pPr>
            <w:r>
              <w:rPr>
                <w:b w:val="false"/>
                <w:sz w:val="12"/>
              </w:rPr>
              <w:t>Ein Evaluationsbericht enthält für jeden Spieltag drei getrennte Bewertungsbereiche und vermischt deren Ergebnisse nicht.</w:t>
            </w:r>
          </w:p>
        </w:tc>
        <w:tc>
          <w:tcPr>
            <w:tcW w:w="1967" w:type="dxa"/>
            <w:tcBorders/>
          </w:tcPr>
          <w:p w14:paraId="BBB06B17">
            <w:pPr>
              <w:pStyle w:val="style0"/>
              <w:rPr/>
            </w:pPr>
            <w:r>
              <w:rPr>
                <w:b w:val="false"/>
                <w:sz w:val="12"/>
              </w:rPr>
              <w:t>Offen</w:t>
            </w:r>
          </w:p>
        </w:tc>
      </w:tr>
      <w:tr w14:paraId="316D5358">
        <w:tblPrEx/>
        <w:trPr>
          <w:jc w:val="center"/>
        </w:trPr>
        <w:tc>
          <w:tcPr>
            <w:tcW w:w="1967" w:type="dxa"/>
            <w:tcBorders/>
          </w:tcPr>
          <w:p w14:paraId="B8B2F5CF">
            <w:pPr>
              <w:pStyle w:val="style0"/>
              <w:rPr/>
            </w:pPr>
            <w:r>
              <w:rPr>
                <w:b w:val="false"/>
                <w:sz w:val="12"/>
              </w:rPr>
              <w:t>REQ-EVA-004</w:t>
            </w:r>
          </w:p>
        </w:tc>
        <w:tc>
          <w:tcPr>
            <w:tcW w:w="1967" w:type="dxa"/>
            <w:tcBorders/>
          </w:tcPr>
          <w:p w14:paraId="B0CA036D">
            <w:pPr>
              <w:pStyle w:val="style0"/>
              <w:rPr/>
            </w:pPr>
            <w:r>
              <w:rPr>
                <w:b w:val="false"/>
                <w:sz w:val="12"/>
              </w:rPr>
              <w:t>Evaluation</w:t>
            </w:r>
          </w:p>
        </w:tc>
        <w:tc>
          <w:tcPr>
            <w:tcW w:w="1967" w:type="dxa"/>
            <w:tcBorders/>
          </w:tcPr>
          <w:p w14:paraId="33D6304B">
            <w:pPr>
              <w:pStyle w:val="style0"/>
              <w:rPr/>
            </w:pPr>
            <w:r>
              <w:rPr>
                <w:b w:val="false"/>
                <w:sz w:val="12"/>
              </w:rPr>
              <w:t>Für jeden Teilnehmer ist eine Ex-post-Optimal-XI aus dem damaligen Kader in der Formation 1-4-4-2 anhand der tatsächlichen Spieltagswerte zu berechnen.</w:t>
            </w:r>
          </w:p>
        </w:tc>
        <w:tc>
          <w:tcPr>
            <w:tcW w:w="1967" w:type="dxa"/>
            <w:tcBorders/>
          </w:tcPr>
          <w:p w14:paraId="E1496E69">
            <w:pPr>
              <w:pStyle w:val="style0"/>
              <w:rPr/>
            </w:pPr>
            <w:r>
              <w:rPr>
                <w:b w:val="false"/>
                <w:sz w:val="12"/>
              </w:rPr>
              <w:t>Muss</w:t>
            </w:r>
          </w:p>
        </w:tc>
        <w:tc>
          <w:tcPr>
            <w:tcW w:w="1967" w:type="dxa"/>
            <w:tcBorders/>
          </w:tcPr>
          <w:p w14:paraId="F55E42E7">
            <w:pPr>
              <w:pStyle w:val="style0"/>
              <w:rPr/>
            </w:pPr>
            <w:r>
              <w:rPr>
                <w:b w:val="false"/>
                <w:sz w:val="12"/>
              </w:rPr>
              <w:t>DEC-018</w:t>
            </w:r>
          </w:p>
        </w:tc>
        <w:tc>
          <w:tcPr>
            <w:tcW w:w="1967" w:type="dxa"/>
            <w:tcBorders/>
          </w:tcPr>
          <w:p w14:paraId="DF3F0C19">
            <w:pPr>
              <w:pStyle w:val="style0"/>
              <w:rPr/>
            </w:pPr>
            <w:r>
              <w:rPr>
                <w:b w:val="false"/>
                <w:sz w:val="12"/>
              </w:rPr>
              <w:t>Evaluation; Decision Engine</w:t>
            </w:r>
          </w:p>
        </w:tc>
        <w:tc>
          <w:tcPr>
            <w:tcW w:w="1967" w:type="dxa"/>
            <w:tcBorders/>
          </w:tcPr>
          <w:p w14:paraId="EA661B58">
            <w:pPr>
              <w:pStyle w:val="style0"/>
              <w:rPr/>
            </w:pPr>
            <w:r>
              <w:rPr>
                <w:b w:val="false"/>
                <w:sz w:val="12"/>
              </w:rPr>
              <w:t>Die Berechnung liefert die punktmaximale erste XI ohne Ersatzbank und verwendet nur Spieler, die zum Entscheidungszeitpunkt im Kader standen.</w:t>
            </w:r>
          </w:p>
        </w:tc>
        <w:tc>
          <w:tcPr>
            <w:tcW w:w="1967" w:type="dxa"/>
            <w:tcBorders/>
          </w:tcPr>
          <w:p w14:paraId="465D7F8D">
            <w:pPr>
              <w:pStyle w:val="style0"/>
              <w:rPr/>
            </w:pPr>
            <w:r>
              <w:rPr>
                <w:b w:val="false"/>
                <w:sz w:val="12"/>
              </w:rPr>
              <w:t>Offen</w:t>
            </w:r>
          </w:p>
        </w:tc>
      </w:tr>
      <w:tr w14:paraId="13D3C669">
        <w:tblPrEx/>
        <w:trPr>
          <w:jc w:val="center"/>
        </w:trPr>
        <w:tc>
          <w:tcPr>
            <w:tcW w:w="1967" w:type="dxa"/>
            <w:tcBorders/>
          </w:tcPr>
          <w:p w14:paraId="B67DE49E">
            <w:pPr>
              <w:pStyle w:val="style0"/>
              <w:rPr/>
            </w:pPr>
            <w:r>
              <w:rPr>
                <w:b w:val="false"/>
                <w:sz w:val="12"/>
              </w:rPr>
              <w:t>REQ-EVA-005</w:t>
            </w:r>
          </w:p>
        </w:tc>
        <w:tc>
          <w:tcPr>
            <w:tcW w:w="1967" w:type="dxa"/>
            <w:tcBorders/>
          </w:tcPr>
          <w:p w14:paraId="C69C805F">
            <w:pPr>
              <w:pStyle w:val="style0"/>
              <w:rPr/>
            </w:pPr>
            <w:r>
              <w:rPr>
                <w:b w:val="false"/>
                <w:sz w:val="12"/>
              </w:rPr>
              <w:t>Evaluation</w:t>
            </w:r>
          </w:p>
        </w:tc>
        <w:tc>
          <w:tcPr>
            <w:tcW w:w="1967" w:type="dxa"/>
            <w:tcBorders/>
          </w:tcPr>
          <w:p w14:paraId="7D6D8524">
            <w:pPr>
              <w:pStyle w:val="style0"/>
              <w:rPr/>
            </w:pPr>
            <w:r>
              <w:rPr>
                <w:b w:val="false"/>
                <w:sz w:val="12"/>
              </w:rPr>
              <w:t>Spieler mit ng dürfen in der Ex-post-Optimal-XI nur berücksichtigt werden, wenn in der betreffenden Positionsgruppe nicht genügend tatsächlich eingesetzte Spieler verfügbar waren.</w:t>
            </w:r>
          </w:p>
        </w:tc>
        <w:tc>
          <w:tcPr>
            <w:tcW w:w="1967" w:type="dxa"/>
            <w:tcBorders/>
          </w:tcPr>
          <w:p w14:paraId="F9BD7E66">
            <w:pPr>
              <w:pStyle w:val="style0"/>
              <w:rPr/>
            </w:pPr>
            <w:r>
              <w:rPr>
                <w:b w:val="false"/>
                <w:sz w:val="12"/>
              </w:rPr>
              <w:t>Muss</w:t>
            </w:r>
          </w:p>
        </w:tc>
        <w:tc>
          <w:tcPr>
            <w:tcW w:w="1967" w:type="dxa"/>
            <w:tcBorders/>
          </w:tcPr>
          <w:p w14:paraId="257BC979">
            <w:pPr>
              <w:pStyle w:val="style0"/>
              <w:rPr/>
            </w:pPr>
            <w:r>
              <w:rPr>
                <w:b w:val="false"/>
                <w:sz w:val="12"/>
              </w:rPr>
              <w:t>DEC-018</w:t>
            </w:r>
          </w:p>
        </w:tc>
        <w:tc>
          <w:tcPr>
            <w:tcW w:w="1967" w:type="dxa"/>
            <w:tcBorders/>
          </w:tcPr>
          <w:p w14:paraId="58BAB05B">
            <w:pPr>
              <w:pStyle w:val="style0"/>
              <w:rPr/>
            </w:pPr>
            <w:r>
              <w:rPr>
                <w:b w:val="false"/>
                <w:sz w:val="12"/>
              </w:rPr>
              <w:t>Evaluation</w:t>
            </w:r>
          </w:p>
        </w:tc>
        <w:tc>
          <w:tcPr>
            <w:tcW w:w="1967" w:type="dxa"/>
            <w:tcBorders/>
          </w:tcPr>
          <w:p w14:paraId="21168D36">
            <w:pPr>
              <w:pStyle w:val="style0"/>
              <w:rPr/>
            </w:pPr>
            <w:r>
              <w:rPr>
                <w:b w:val="false"/>
                <w:sz w:val="12"/>
              </w:rPr>
              <w:t>Testfälle mit ausreichender und unzureichender Zahl eingesetzter Spieler werden regelkonform gelöst.</w:t>
            </w:r>
          </w:p>
        </w:tc>
        <w:tc>
          <w:tcPr>
            <w:tcW w:w="1967" w:type="dxa"/>
            <w:tcBorders/>
          </w:tcPr>
          <w:p w14:paraId="6AC07FE0">
            <w:pPr>
              <w:pStyle w:val="style0"/>
              <w:rPr/>
            </w:pPr>
            <w:r>
              <w:rPr>
                <w:b w:val="false"/>
                <w:sz w:val="12"/>
              </w:rPr>
              <w:t>Offen</w:t>
            </w:r>
          </w:p>
        </w:tc>
      </w:tr>
      <w:tr w14:paraId="86BA8061">
        <w:tblPrEx/>
        <w:trPr>
          <w:jc w:val="center"/>
        </w:trPr>
        <w:tc>
          <w:tcPr>
            <w:tcW w:w="1967" w:type="dxa"/>
            <w:tcBorders/>
          </w:tcPr>
          <w:p w14:paraId="9FDF9760">
            <w:pPr>
              <w:pStyle w:val="style0"/>
              <w:rPr/>
            </w:pPr>
            <w:r>
              <w:rPr>
                <w:b w:val="false"/>
                <w:sz w:val="12"/>
              </w:rPr>
              <w:t>REQ-EVA-006</w:t>
            </w:r>
          </w:p>
        </w:tc>
        <w:tc>
          <w:tcPr>
            <w:tcW w:w="1967" w:type="dxa"/>
            <w:tcBorders/>
          </w:tcPr>
          <w:p w14:paraId="3691A8B1">
            <w:pPr>
              <w:pStyle w:val="style0"/>
              <w:rPr/>
            </w:pPr>
            <w:r>
              <w:rPr>
                <w:b w:val="false"/>
                <w:sz w:val="12"/>
              </w:rPr>
              <w:t>Evaluation</w:t>
            </w:r>
          </w:p>
        </w:tc>
        <w:tc>
          <w:tcPr>
            <w:tcW w:w="1967" w:type="dxa"/>
            <w:tcBorders/>
          </w:tcPr>
          <w:p w14:paraId="2AE51D37">
            <w:pPr>
              <w:pStyle w:val="style0"/>
              <w:rPr/>
            </w:pPr>
            <w:r>
              <w:rPr>
                <w:b w:val="false"/>
                <w:sz w:val="12"/>
              </w:rPr>
              <w:t>Das System soll optional eine getrennte Ex-post-optimale vollständige Einreichung aus Startelf und vier positionsgetreuen Ersatzspielern berechnen können.</w:t>
            </w:r>
          </w:p>
        </w:tc>
        <w:tc>
          <w:tcPr>
            <w:tcW w:w="1967" w:type="dxa"/>
            <w:tcBorders/>
          </w:tcPr>
          <w:p w14:paraId="08CA6815">
            <w:pPr>
              <w:pStyle w:val="style0"/>
              <w:rPr/>
            </w:pPr>
            <w:r>
              <w:rPr>
                <w:b w:val="false"/>
                <w:sz w:val="12"/>
              </w:rPr>
              <w:t>Soll</w:t>
            </w:r>
          </w:p>
        </w:tc>
        <w:tc>
          <w:tcPr>
            <w:tcW w:w="1967" w:type="dxa"/>
            <w:tcBorders/>
          </w:tcPr>
          <w:p w14:paraId="A59CD3DB">
            <w:pPr>
              <w:pStyle w:val="style0"/>
              <w:rPr/>
            </w:pPr>
            <w:r>
              <w:rPr>
                <w:b w:val="false"/>
                <w:sz w:val="12"/>
              </w:rPr>
              <w:t>DEC-018</w:t>
            </w:r>
          </w:p>
        </w:tc>
        <w:tc>
          <w:tcPr>
            <w:tcW w:w="1967" w:type="dxa"/>
            <w:tcBorders/>
          </w:tcPr>
          <w:p w14:paraId="D7B2E487">
            <w:pPr>
              <w:pStyle w:val="style0"/>
              <w:rPr/>
            </w:pPr>
            <w:r>
              <w:rPr>
                <w:b w:val="false"/>
                <w:sz w:val="12"/>
              </w:rPr>
              <w:t>Evaluation; Decision Engine</w:t>
            </w:r>
          </w:p>
        </w:tc>
        <w:tc>
          <w:tcPr>
            <w:tcW w:w="1967" w:type="dxa"/>
            <w:tcBorders/>
          </w:tcPr>
          <w:p w14:paraId="E0C26C87">
            <w:pPr>
              <w:pStyle w:val="style0"/>
              <w:rPr/>
            </w:pPr>
            <w:r>
              <w:rPr>
                <w:b w:val="false"/>
                <w:sz w:val="12"/>
              </w:rPr>
              <w:t>Die optionale Auswertung ist getrennt von der Ex-post-Optimal-XI abrufbar und weist den Mehrwert der Ersatzbank aus.</w:t>
            </w:r>
          </w:p>
        </w:tc>
        <w:tc>
          <w:tcPr>
            <w:tcW w:w="1967" w:type="dxa"/>
            <w:tcBorders/>
          </w:tcPr>
          <w:p w14:paraId="AE77458A">
            <w:pPr>
              <w:pStyle w:val="style0"/>
              <w:rPr/>
            </w:pPr>
            <w:r>
              <w:rPr>
                <w:b w:val="false"/>
                <w:sz w:val="12"/>
              </w:rPr>
              <w:t>Offen</w:t>
            </w:r>
          </w:p>
        </w:tc>
      </w:tr>
      <w:tr w14:paraId="258F2BFE">
        <w:tblPrEx/>
        <w:trPr>
          <w:jc w:val="center"/>
        </w:trPr>
        <w:tc>
          <w:tcPr>
            <w:tcW w:w="1967" w:type="dxa"/>
            <w:tcBorders/>
          </w:tcPr>
          <w:p w14:paraId="1908A039">
            <w:pPr>
              <w:pStyle w:val="style0"/>
              <w:rPr/>
            </w:pPr>
            <w:r>
              <w:rPr>
                <w:b w:val="false"/>
                <w:sz w:val="12"/>
              </w:rPr>
              <w:t>REQ-EVA-007</w:t>
            </w:r>
          </w:p>
        </w:tc>
        <w:tc>
          <w:tcPr>
            <w:tcW w:w="1967" w:type="dxa"/>
            <w:tcBorders/>
          </w:tcPr>
          <w:p w14:paraId="1A0132AD">
            <w:pPr>
              <w:pStyle w:val="style0"/>
              <w:rPr/>
            </w:pPr>
            <w:r>
              <w:rPr>
                <w:b w:val="false"/>
                <w:sz w:val="12"/>
              </w:rPr>
              <w:t>Evaluation</w:t>
            </w:r>
          </w:p>
        </w:tc>
        <w:tc>
          <w:tcPr>
            <w:tcW w:w="1967" w:type="dxa"/>
            <w:tcBorders/>
          </w:tcPr>
          <w:p w14:paraId="CAA5D4D6">
            <w:pPr>
              <w:pStyle w:val="style0"/>
              <w:rPr/>
            </w:pPr>
            <w:r>
              <w:rPr>
                <w:b w:val="false"/>
                <w:sz w:val="12"/>
              </w:rPr>
              <w:t>Die Qualität der damaligen Entscheidung ist im Einzelfall anhand des damaligen Informationsstands und getrennt vom Ergebnis zu diskutieren und zu dokumentieren.</w:t>
            </w:r>
          </w:p>
        </w:tc>
        <w:tc>
          <w:tcPr>
            <w:tcW w:w="1967" w:type="dxa"/>
            <w:tcBorders/>
          </w:tcPr>
          <w:p w14:paraId="5C189A56">
            <w:pPr>
              <w:pStyle w:val="style0"/>
              <w:rPr/>
            </w:pPr>
            <w:r>
              <w:rPr>
                <w:b w:val="false"/>
                <w:sz w:val="12"/>
              </w:rPr>
              <w:t>Muss</w:t>
            </w:r>
          </w:p>
        </w:tc>
        <w:tc>
          <w:tcPr>
            <w:tcW w:w="1967" w:type="dxa"/>
            <w:tcBorders/>
          </w:tcPr>
          <w:p w14:paraId="12AFE167">
            <w:pPr>
              <w:pStyle w:val="style0"/>
              <w:rPr/>
            </w:pPr>
            <w:r>
              <w:rPr>
                <w:b w:val="false"/>
                <w:sz w:val="12"/>
              </w:rPr>
              <w:t>DEC-018</w:t>
            </w:r>
          </w:p>
        </w:tc>
        <w:tc>
          <w:tcPr>
            <w:tcW w:w="1967" w:type="dxa"/>
            <w:tcBorders/>
          </w:tcPr>
          <w:p w14:paraId="30027994">
            <w:pPr>
              <w:pStyle w:val="style0"/>
              <w:rPr/>
            </w:pPr>
            <w:r>
              <w:rPr>
                <w:b w:val="false"/>
                <w:sz w:val="12"/>
              </w:rPr>
              <w:t>Evaluation; Projektdokumentation</w:t>
            </w:r>
          </w:p>
        </w:tc>
        <w:tc>
          <w:tcPr>
            <w:tcW w:w="1967" w:type="dxa"/>
            <w:tcBorders/>
          </w:tcPr>
          <w:p w14:paraId="CAF8B103">
            <w:pPr>
              <w:pStyle w:val="style0"/>
              <w:rPr/>
            </w:pPr>
            <w:r>
              <w:rPr>
                <w:b w:val="false"/>
                <w:sz w:val="12"/>
              </w:rPr>
              <w:t>Die Evaluation unterstützt die vier Kombinationen gut/schwach begründet und gut/ungünstig ausgegangen sowie eine dokumentierte Einzelfallbegründung.</w:t>
            </w:r>
          </w:p>
        </w:tc>
        <w:tc>
          <w:tcPr>
            <w:tcW w:w="1967" w:type="dxa"/>
            <w:tcBorders/>
          </w:tcPr>
          <w:p w14:paraId="07B04D47">
            <w:pPr>
              <w:pStyle w:val="style0"/>
              <w:rPr/>
            </w:pPr>
            <w:r>
              <w:rPr>
                <w:b w:val="false"/>
                <w:sz w:val="12"/>
              </w:rPr>
              <w:t>Offen</w:t>
            </w:r>
          </w:p>
        </w:tc>
      </w:tr>
      <w:tr w14:paraId="9CF5998F">
        <w:tblPrEx/>
        <w:trPr>
          <w:jc w:val="center"/>
        </w:trPr>
        <w:tc>
          <w:tcPr>
            <w:tcW w:w="1967" w:type="dxa"/>
            <w:tcBorders/>
          </w:tcPr>
          <w:p w14:paraId="02BE1C2A">
            <w:pPr>
              <w:pStyle w:val="style0"/>
              <w:rPr/>
            </w:pPr>
            <w:r>
              <w:rPr>
                <w:b w:val="false"/>
                <w:sz w:val="12"/>
              </w:rPr>
              <w:t>REQ-NFR-005</w:t>
            </w:r>
          </w:p>
        </w:tc>
        <w:tc>
          <w:tcPr>
            <w:tcW w:w="1967" w:type="dxa"/>
            <w:tcBorders/>
          </w:tcPr>
          <w:p w14:paraId="97DEC6BE">
            <w:pPr>
              <w:pStyle w:val="style0"/>
              <w:rPr/>
            </w:pPr>
            <w:r>
              <w:rPr>
                <w:b w:val="false"/>
                <w:sz w:val="12"/>
              </w:rPr>
              <w:t>Nichtfunktional</w:t>
            </w:r>
          </w:p>
        </w:tc>
        <w:tc>
          <w:tcPr>
            <w:tcW w:w="1967" w:type="dxa"/>
            <w:tcBorders/>
          </w:tcPr>
          <w:p w14:paraId="C137CE2C">
            <w:pPr>
              <w:pStyle w:val="style0"/>
              <w:rPr/>
            </w:pPr>
            <w:r>
              <w:rPr>
                <w:b w:val="false"/>
                <w:sz w:val="12"/>
              </w:rPr>
              <w:t>Die Begründungsqualität darf nicht vollständig automatisch abschließend bewertet werden.</w:t>
            </w:r>
          </w:p>
        </w:tc>
        <w:tc>
          <w:tcPr>
            <w:tcW w:w="1967" w:type="dxa"/>
            <w:tcBorders/>
          </w:tcPr>
          <w:p w14:paraId="6F4A70AB">
            <w:pPr>
              <w:pStyle w:val="style0"/>
              <w:rPr/>
            </w:pPr>
            <w:r>
              <w:rPr>
                <w:b w:val="false"/>
                <w:sz w:val="12"/>
              </w:rPr>
              <w:t>Muss</w:t>
            </w:r>
          </w:p>
        </w:tc>
        <w:tc>
          <w:tcPr>
            <w:tcW w:w="1967" w:type="dxa"/>
            <w:tcBorders/>
          </w:tcPr>
          <w:p w14:paraId="51E456D7">
            <w:pPr>
              <w:pStyle w:val="style0"/>
              <w:rPr/>
            </w:pPr>
            <w:r>
              <w:rPr>
                <w:b w:val="false"/>
                <w:sz w:val="12"/>
              </w:rPr>
              <w:t>DEC-018</w:t>
            </w:r>
          </w:p>
        </w:tc>
        <w:tc>
          <w:tcPr>
            <w:tcW w:w="1967" w:type="dxa"/>
            <w:tcBorders/>
          </w:tcPr>
          <w:p w14:paraId="3FE667AA">
            <w:pPr>
              <w:pStyle w:val="style0"/>
              <w:rPr/>
            </w:pPr>
            <w:r>
              <w:rPr>
                <w:b w:val="false"/>
                <w:sz w:val="12"/>
              </w:rPr>
              <w:t>Evaluation; Kontrollmechanismen</w:t>
            </w:r>
          </w:p>
        </w:tc>
        <w:tc>
          <w:tcPr>
            <w:tcW w:w="1967" w:type="dxa"/>
            <w:tcBorders/>
          </w:tcPr>
          <w:p w14:paraId="F50859D8">
            <w:pPr>
              <w:pStyle w:val="style0"/>
              <w:rPr/>
            </w:pPr>
            <w:r>
              <w:rPr>
                <w:b w:val="false"/>
                <w:sz w:val="12"/>
              </w:rPr>
              <w:t>Das System kennzeichnet automatische Indikatoren nur als Unterstützung und verlangt für die abschließende Einordnung eine dokumentierte menschliche Bewertung.</w:t>
            </w:r>
          </w:p>
        </w:tc>
        <w:tc>
          <w:tcPr>
            <w:tcW w:w="1967" w:type="dxa"/>
            <w:tcBorders/>
          </w:tcPr>
          <w:p w14:paraId="933DBEA1">
            <w:pPr>
              <w:pStyle w:val="style0"/>
              <w:rPr/>
            </w:pPr>
            <w:r>
              <w:rPr>
                <w:b w:val="false"/>
                <w:sz w:val="12"/>
              </w:rPr>
              <w:t>Offen</w:t>
            </w:r>
          </w:p>
        </w:tc>
      </w:tr>
      <w:tr w14:paraId="9D355F77">
        <w:tblPrEx/>
        <w:trPr>
          <w:jc w:val="center"/>
        </w:trPr>
        <w:tc>
          <w:tcPr>
            <w:tcW w:w="1967" w:type="dxa"/>
            <w:tcBorders/>
          </w:tcPr>
          <w:p w14:paraId="6684F291">
            <w:pPr>
              <w:pStyle w:val="style0"/>
              <w:rPr/>
            </w:pPr>
            <w:r>
              <w:rPr>
                <w:b w:val="false"/>
                <w:sz w:val="12"/>
              </w:rPr>
              <w:t>REQ-NFR-007</w:t>
            </w:r>
          </w:p>
        </w:tc>
        <w:tc>
          <w:tcPr>
            <w:tcW w:w="1967" w:type="dxa"/>
            <w:tcBorders/>
          </w:tcPr>
          <w:p w14:paraId="4A11AF4D">
            <w:pPr>
              <w:pStyle w:val="style0"/>
              <w:rPr/>
            </w:pPr>
            <w:r>
              <w:rPr>
                <w:b w:val="false"/>
                <w:sz w:val="12"/>
              </w:rPr>
              <w:t>Nichtfunktional</w:t>
            </w:r>
          </w:p>
        </w:tc>
        <w:tc>
          <w:tcPr>
            <w:tcW w:w="1967" w:type="dxa"/>
            <w:tcBorders/>
          </w:tcPr>
          <w:p w14:paraId="F3AFE3D8">
            <w:pPr>
              <w:pStyle w:val="style0"/>
              <w:rPr/>
            </w:pPr>
            <w:r>
              <w:rPr>
                <w:b w:val="false"/>
                <w:sz w:val="12"/>
              </w:rPr>
              <w:t>Das System muss externe Informationen so dokumentieren, dass die damalige Bewertung, Diskussion und Entscheidung intern nachvollziehbar und reproduzierbar bleibt.</w:t>
            </w:r>
          </w:p>
        </w:tc>
        <w:tc>
          <w:tcPr>
            <w:tcW w:w="1967" w:type="dxa"/>
            <w:tcBorders/>
          </w:tcPr>
          <w:p w14:paraId="8EBF7D5A">
            <w:pPr>
              <w:pStyle w:val="style0"/>
              <w:rPr/>
            </w:pPr>
            <w:r>
              <w:rPr>
                <w:b w:val="false"/>
                <w:sz w:val="12"/>
              </w:rPr>
              <w:t>Muss</w:t>
            </w:r>
          </w:p>
        </w:tc>
        <w:tc>
          <w:tcPr>
            <w:tcW w:w="1967" w:type="dxa"/>
            <w:tcBorders/>
          </w:tcPr>
          <w:p w14:paraId="4788801F">
            <w:pPr>
              <w:pStyle w:val="style0"/>
              <w:rPr/>
            </w:pPr>
            <w:r>
              <w:rPr>
                <w:b w:val="false"/>
                <w:sz w:val="12"/>
              </w:rPr>
              <w:t>DEC-019</w:t>
            </w:r>
          </w:p>
        </w:tc>
        <w:tc>
          <w:tcPr>
            <w:tcW w:w="1967" w:type="dxa"/>
            <w:tcBorders/>
          </w:tcPr>
          <w:p w14:paraId="0FBEBD03">
            <w:pPr>
              <w:pStyle w:val="style0"/>
              <w:rPr/>
            </w:pPr>
            <w:r>
              <w:rPr>
                <w:b w:val="false"/>
                <w:sz w:val="12"/>
              </w:rPr>
              <w:t>Projektdokumentation; Monitoring</w:t>
            </w:r>
          </w:p>
        </w:tc>
        <w:tc>
          <w:tcPr>
            <w:tcW w:w="1967" w:type="dxa"/>
            <w:tcBorders/>
          </w:tcPr>
          <w:p w14:paraId="A575BDFF">
            <w:pPr>
              <w:pStyle w:val="style0"/>
              <w:rPr/>
            </w:pPr>
            <w:r>
              <w:rPr>
                <w:b w:val="false"/>
                <w:sz w:val="12"/>
              </w:rPr>
              <w:t>Zu jeder entscheidungsrelevanten externen Information sind mindestens Quelle beziehungsweise Quellenart, Zeitbezug, relevante Aussage, Status und Entscheidungswirkung abrufbar.</w:t>
            </w:r>
          </w:p>
        </w:tc>
        <w:tc>
          <w:tcPr>
            <w:tcW w:w="1967" w:type="dxa"/>
            <w:tcBorders/>
          </w:tcPr>
          <w:p w14:paraId="F17D894A">
            <w:pPr>
              <w:pStyle w:val="style0"/>
              <w:rPr/>
            </w:pPr>
            <w:r>
              <w:rPr>
                <w:b w:val="false"/>
                <w:sz w:val="12"/>
              </w:rPr>
              <w:t>Offen</w:t>
            </w:r>
          </w:p>
        </w:tc>
      </w:tr>
      <w:tr w14:paraId="3A252113">
        <w:tblPrEx/>
        <w:trPr>
          <w:jc w:val="center"/>
        </w:trPr>
        <w:tc>
          <w:tcPr>
            <w:tcW w:w="1967" w:type="dxa"/>
            <w:tcBorders/>
          </w:tcPr>
          <w:p w14:paraId="F4A50537">
            <w:pPr>
              <w:pStyle w:val="style0"/>
              <w:rPr/>
            </w:pPr>
            <w:r>
              <w:rPr>
                <w:b w:val="false"/>
                <w:sz w:val="12"/>
              </w:rPr>
              <w:t>REQ-DAT-007</w:t>
            </w:r>
          </w:p>
        </w:tc>
        <w:tc>
          <w:tcPr>
            <w:tcW w:w="1967" w:type="dxa"/>
            <w:tcBorders/>
          </w:tcPr>
          <w:p w14:paraId="C9B56A82">
            <w:pPr>
              <w:pStyle w:val="style0"/>
              <w:rPr/>
            </w:pPr>
            <w:r>
              <w:rPr>
                <w:b w:val="false"/>
                <w:sz w:val="12"/>
              </w:rPr>
              <w:t>Daten</w:t>
            </w:r>
          </w:p>
        </w:tc>
        <w:tc>
          <w:tcPr>
            <w:tcW w:w="1967" w:type="dxa"/>
            <w:tcBorders/>
          </w:tcPr>
          <w:p w14:paraId="5FC70C89">
            <w:pPr>
              <w:pStyle w:val="style0"/>
              <w:rPr/>
            </w:pPr>
            <w:r>
              <w:rPr>
                <w:b w:val="false"/>
                <w:sz w:val="12"/>
              </w:rPr>
              <w:t>Verbindliche Projektdaten, Nachweisdaten und ungeprüfte Roh- beziehungsweise Arbeitsdaten müssen logisch getrennt gespeichert werden.</w:t>
            </w:r>
          </w:p>
        </w:tc>
        <w:tc>
          <w:tcPr>
            <w:tcW w:w="1967" w:type="dxa"/>
            <w:tcBorders/>
          </w:tcPr>
          <w:p w14:paraId="256DDF2A">
            <w:pPr>
              <w:pStyle w:val="style0"/>
              <w:rPr/>
            </w:pPr>
            <w:r>
              <w:rPr>
                <w:b w:val="false"/>
                <w:sz w:val="12"/>
              </w:rPr>
              <w:t>Muss</w:t>
            </w:r>
          </w:p>
        </w:tc>
        <w:tc>
          <w:tcPr>
            <w:tcW w:w="1967" w:type="dxa"/>
            <w:tcBorders/>
          </w:tcPr>
          <w:p w14:paraId="E0EAA6B7">
            <w:pPr>
              <w:pStyle w:val="style0"/>
              <w:rPr/>
            </w:pPr>
            <w:r>
              <w:rPr>
                <w:b w:val="false"/>
                <w:sz w:val="12"/>
              </w:rPr>
              <w:t>DEC-019</w:t>
            </w:r>
          </w:p>
        </w:tc>
        <w:tc>
          <w:tcPr>
            <w:tcW w:w="1967" w:type="dxa"/>
            <w:tcBorders/>
          </w:tcPr>
          <w:p w14:paraId="B9A0E2E4">
            <w:pPr>
              <w:pStyle w:val="style0"/>
              <w:rPr/>
            </w:pPr>
            <w:r>
              <w:rPr>
                <w:b w:val="false"/>
                <w:sz w:val="12"/>
              </w:rPr>
              <w:t>SSOT; Gewinnung Rohdaten; Kontrollmechanismen</w:t>
            </w:r>
          </w:p>
        </w:tc>
        <w:tc>
          <w:tcPr>
            <w:tcW w:w="1967" w:type="dxa"/>
            <w:tcBorders/>
          </w:tcPr>
          <w:p w14:paraId="A9EE0295">
            <w:pPr>
              <w:pStyle w:val="style0"/>
              <w:rPr/>
            </w:pPr>
            <w:r>
              <w:rPr>
                <w:b w:val="false"/>
                <w:sz w:val="12"/>
              </w:rPr>
              <w:t>Ungeprüfte Importdaten können nicht ohne dokumentierte Validierung in verbindliche Datenbestände oder Berechnungen übernommen werden.</w:t>
            </w:r>
          </w:p>
        </w:tc>
        <w:tc>
          <w:tcPr>
            <w:tcW w:w="1967" w:type="dxa"/>
            <w:tcBorders/>
          </w:tcPr>
          <w:p w14:paraId="8102A21E">
            <w:pPr>
              <w:pStyle w:val="style0"/>
              <w:rPr/>
            </w:pPr>
            <w:r>
              <w:rPr>
                <w:b w:val="false"/>
                <w:sz w:val="12"/>
              </w:rPr>
              <w:t>Offen</w:t>
            </w:r>
          </w:p>
        </w:tc>
      </w:tr>
      <w:tr w14:paraId="6802C4C5">
        <w:tblPrEx/>
        <w:trPr>
          <w:jc w:val="center"/>
        </w:trPr>
        <w:tc>
          <w:tcPr>
            <w:tcW w:w="1967" w:type="dxa"/>
            <w:tcBorders/>
          </w:tcPr>
          <w:p w14:paraId="7177A22B">
            <w:pPr>
              <w:pStyle w:val="style0"/>
              <w:rPr/>
            </w:pPr>
            <w:r>
              <w:rPr>
                <w:b w:val="false"/>
                <w:sz w:val="12"/>
              </w:rPr>
              <w:t>REQ-DAT-008</w:t>
            </w:r>
          </w:p>
        </w:tc>
        <w:tc>
          <w:tcPr>
            <w:tcW w:w="1967" w:type="dxa"/>
            <w:tcBorders/>
          </w:tcPr>
          <w:p w14:paraId="15DF6D1A">
            <w:pPr>
              <w:pStyle w:val="style0"/>
              <w:rPr/>
            </w:pPr>
            <w:r>
              <w:rPr>
                <w:b w:val="false"/>
                <w:sz w:val="12"/>
              </w:rPr>
              <w:t>Daten</w:t>
            </w:r>
          </w:p>
        </w:tc>
        <w:tc>
          <w:tcPr>
            <w:tcW w:w="1967" w:type="dxa"/>
            <w:tcBorders/>
          </w:tcPr>
          <w:p w14:paraId="D68BF465">
            <w:pPr>
              <w:pStyle w:val="style0"/>
              <w:rPr/>
            </w:pPr>
            <w:r>
              <w:rPr>
                <w:b w:val="false"/>
                <w:sz w:val="12"/>
              </w:rPr>
              <w:t>Für qualitative oder redaktionelle Quellen soll ein strukturierter Quellennachweis mit Quelle, Zeitbezug, relevanter Aussage oder Kurzfassung, Informationsstatus und Entscheidungswirkung geführt werden.</w:t>
            </w:r>
          </w:p>
        </w:tc>
        <w:tc>
          <w:tcPr>
            <w:tcW w:w="1967" w:type="dxa"/>
            <w:tcBorders/>
          </w:tcPr>
          <w:p w14:paraId="FC630EE4">
            <w:pPr>
              <w:pStyle w:val="style0"/>
              <w:rPr/>
            </w:pPr>
            <w:r>
              <w:rPr>
                <w:b w:val="false"/>
                <w:sz w:val="12"/>
              </w:rPr>
              <w:t>Soll</w:t>
            </w:r>
          </w:p>
        </w:tc>
        <w:tc>
          <w:tcPr>
            <w:tcW w:w="1967" w:type="dxa"/>
            <w:tcBorders/>
          </w:tcPr>
          <w:p w14:paraId="55FA9BD9">
            <w:pPr>
              <w:pStyle w:val="style0"/>
              <w:rPr/>
            </w:pPr>
            <w:r>
              <w:rPr>
                <w:b w:val="false"/>
                <w:sz w:val="12"/>
              </w:rPr>
              <w:t>DEC-019</w:t>
            </w:r>
          </w:p>
        </w:tc>
        <w:tc>
          <w:tcPr>
            <w:tcW w:w="1967" w:type="dxa"/>
            <w:tcBorders/>
          </w:tcPr>
          <w:p w14:paraId="E7FB12E9">
            <w:pPr>
              <w:pStyle w:val="style0"/>
              <w:rPr/>
            </w:pPr>
            <w:r>
              <w:rPr>
                <w:b w:val="false"/>
                <w:sz w:val="12"/>
              </w:rPr>
              <w:t>Monitoring; Projektdokumentation</w:t>
            </w:r>
          </w:p>
        </w:tc>
        <w:tc>
          <w:tcPr>
            <w:tcW w:w="1967" w:type="dxa"/>
            <w:tcBorders/>
          </w:tcPr>
          <w:p w14:paraId="B88FE2F3">
            <w:pPr>
              <w:pStyle w:val="style0"/>
              <w:rPr/>
            </w:pPr>
            <w:r>
              <w:rPr>
                <w:b w:val="false"/>
                <w:sz w:val="12"/>
              </w:rPr>
              <w:t>Die vorgesehenen Nachweisfelder sind vorhanden und können mit einem Empfehlungssnapshot oder einer Managerentscheidung verknüpft werden.</w:t>
            </w:r>
          </w:p>
        </w:tc>
        <w:tc>
          <w:tcPr>
            <w:tcW w:w="1967" w:type="dxa"/>
            <w:tcBorders/>
          </w:tcPr>
          <w:p w14:paraId="8C7CA441">
            <w:pPr>
              <w:pStyle w:val="style0"/>
              <w:rPr/>
            </w:pPr>
            <w:r>
              <w:rPr>
                <w:b w:val="false"/>
                <w:sz w:val="12"/>
              </w:rPr>
              <w:t>Offen</w:t>
            </w:r>
          </w:p>
        </w:tc>
      </w:tr>
      <w:tr w14:paraId="ADAA90A0">
        <w:tblPrEx/>
        <w:trPr>
          <w:jc w:val="center"/>
        </w:trPr>
        <w:tc>
          <w:tcPr>
            <w:tcW w:w="1967" w:type="dxa"/>
            <w:tcBorders/>
          </w:tcPr>
          <w:p w14:paraId="57D1BF05">
            <w:pPr>
              <w:pStyle w:val="style0"/>
              <w:rPr/>
            </w:pPr>
            <w:r>
              <w:rPr>
                <w:b w:val="false"/>
                <w:sz w:val="12"/>
              </w:rPr>
              <w:t>REQ-SRC-003</w:t>
            </w:r>
          </w:p>
        </w:tc>
        <w:tc>
          <w:tcPr>
            <w:tcW w:w="1967" w:type="dxa"/>
            <w:tcBorders/>
          </w:tcPr>
          <w:p w14:paraId="39B9F1BC">
            <w:pPr>
              <w:pStyle w:val="style0"/>
              <w:rPr/>
            </w:pPr>
            <w:r>
              <w:rPr>
                <w:b w:val="false"/>
                <w:sz w:val="12"/>
              </w:rPr>
              <w:t>Quelle</w:t>
            </w:r>
          </w:p>
        </w:tc>
        <w:tc>
          <w:tcPr>
            <w:tcW w:w="1967" w:type="dxa"/>
            <w:tcBorders/>
          </w:tcPr>
          <w:p w14:paraId="D45F6B25">
            <w:pPr>
              <w:pStyle w:val="style0"/>
              <w:rPr/>
            </w:pPr>
            <w:r>
              <w:rPr>
                <w:b w:val="false"/>
                <w:sz w:val="12"/>
              </w:rPr>
              <w:t>Vor der produktiven automatisierten Nutzung einer externen Datenquelle müssen technische Verfügbarkeit, Stabilität, Datenqualität, Aktualität, Eindeutigkeit, Kontrollmöglichkeiten und manueller Aufwand geprüft und dokumentiert werden.</w:t>
            </w:r>
          </w:p>
        </w:tc>
        <w:tc>
          <w:tcPr>
            <w:tcW w:w="1967" w:type="dxa"/>
            <w:tcBorders/>
          </w:tcPr>
          <w:p w14:paraId="CAFBC7B3">
            <w:pPr>
              <w:pStyle w:val="style0"/>
              <w:rPr/>
            </w:pPr>
            <w:r>
              <w:rPr>
                <w:b w:val="false"/>
                <w:sz w:val="12"/>
              </w:rPr>
              <w:t>Muss</w:t>
            </w:r>
          </w:p>
        </w:tc>
        <w:tc>
          <w:tcPr>
            <w:tcW w:w="1967" w:type="dxa"/>
            <w:tcBorders/>
          </w:tcPr>
          <w:p w14:paraId="C4CB1EBC">
            <w:pPr>
              <w:pStyle w:val="style0"/>
              <w:rPr/>
            </w:pPr>
            <w:r>
              <w:rPr>
                <w:b w:val="false"/>
                <w:sz w:val="12"/>
              </w:rPr>
              <w:t>DEC-019</w:t>
            </w:r>
          </w:p>
        </w:tc>
        <w:tc>
          <w:tcPr>
            <w:tcW w:w="1967" w:type="dxa"/>
            <w:tcBorders/>
          </w:tcPr>
          <w:p w14:paraId="09902B46">
            <w:pPr>
              <w:pStyle w:val="style0"/>
              <w:rPr/>
            </w:pPr>
            <w:r>
              <w:rPr>
                <w:b w:val="false"/>
                <w:sz w:val="12"/>
              </w:rPr>
              <w:t>Gewinnung Rohdaten; Kontrollmechanismen</w:t>
            </w:r>
          </w:p>
        </w:tc>
        <w:tc>
          <w:tcPr>
            <w:tcW w:w="1967" w:type="dxa"/>
            <w:tcBorders/>
          </w:tcPr>
          <w:p w14:paraId="66E5B2F1">
            <w:pPr>
              <w:pStyle w:val="style0"/>
              <w:rPr/>
            </w:pPr>
            <w:r>
              <w:rPr>
                <w:b w:val="false"/>
                <w:sz w:val="12"/>
              </w:rPr>
              <w:t>Für jede produktiv verwendete automatisierte Quelle existiert eine dokumentierte Freigabeprüfung mit den festgelegten Kriterien.</w:t>
            </w:r>
          </w:p>
        </w:tc>
        <w:tc>
          <w:tcPr>
            <w:tcW w:w="1967" w:type="dxa"/>
            <w:tcBorders/>
          </w:tcPr>
          <w:p w14:paraId="CE3195CE">
            <w:pPr>
              <w:pStyle w:val="style0"/>
              <w:rPr/>
            </w:pPr>
            <w:r>
              <w:rPr>
                <w:b w:val="false"/>
                <w:sz w:val="12"/>
              </w:rPr>
              <w:t>Offen</w:t>
            </w:r>
          </w:p>
        </w:tc>
      </w:tr>
      <w:tr w14:paraId="F28A8146">
        <w:tblPrEx/>
        <w:trPr>
          <w:jc w:val="center"/>
        </w:trPr>
        <w:tc>
          <w:tcPr>
            <w:tcW w:w="1967" w:type="dxa"/>
            <w:tcBorders/>
          </w:tcPr>
          <w:p w14:paraId="AD6B46C9">
            <w:pPr>
              <w:pStyle w:val="style0"/>
              <w:rPr/>
            </w:pPr>
            <w:r>
              <w:rPr>
                <w:b w:val="false"/>
                <w:sz w:val="12"/>
              </w:rPr>
              <w:t>REQ-DAT-009</w:t>
            </w:r>
          </w:p>
        </w:tc>
        <w:tc>
          <w:tcPr>
            <w:tcW w:w="1967" w:type="dxa"/>
            <w:tcBorders/>
          </w:tcPr>
          <w:p w14:paraId="9BC3993A">
            <w:pPr>
              <w:pStyle w:val="style0"/>
              <w:rPr/>
            </w:pPr>
            <w:r>
              <w:rPr>
                <w:b w:val="false"/>
                <w:sz w:val="12"/>
              </w:rPr>
              <w:t>Daten</w:t>
            </w:r>
          </w:p>
        </w:tc>
        <w:tc>
          <w:tcPr>
            <w:tcW w:w="1967" w:type="dxa"/>
            <w:tcBorders/>
          </w:tcPr>
          <w:p w14:paraId="37B39E30">
            <w:pPr>
              <w:pStyle w:val="style0"/>
              <w:rPr/>
            </w:pPr>
            <w:r>
              <w:rPr>
                <w:b w:val="false"/>
                <w:sz w:val="12"/>
              </w:rPr>
              <w:t>Der Umfang dauerhaft gespeicherter Quellennachweise soll auf das für interne Nachvollziehbarkeit und Evaluation erforderliche Maß begrenzt werden.</w:t>
            </w:r>
          </w:p>
        </w:tc>
        <w:tc>
          <w:tcPr>
            <w:tcW w:w="1967" w:type="dxa"/>
            <w:tcBorders/>
          </w:tcPr>
          <w:p w14:paraId="DC2EDCBF">
            <w:pPr>
              <w:pStyle w:val="style0"/>
              <w:rPr/>
            </w:pPr>
            <w:r>
              <w:rPr>
                <w:b w:val="false"/>
                <w:sz w:val="12"/>
              </w:rPr>
              <w:t>Soll</w:t>
            </w:r>
          </w:p>
        </w:tc>
        <w:tc>
          <w:tcPr>
            <w:tcW w:w="1967" w:type="dxa"/>
            <w:tcBorders/>
          </w:tcPr>
          <w:p w14:paraId="1585C86D">
            <w:pPr>
              <w:pStyle w:val="style0"/>
              <w:rPr/>
            </w:pPr>
            <w:r>
              <w:rPr>
                <w:b w:val="false"/>
                <w:sz w:val="12"/>
              </w:rPr>
              <w:t>DEC-019</w:t>
            </w:r>
          </w:p>
        </w:tc>
        <w:tc>
          <w:tcPr>
            <w:tcW w:w="1967" w:type="dxa"/>
            <w:tcBorders/>
          </w:tcPr>
          <w:p w14:paraId="4509FDBD">
            <w:pPr>
              <w:pStyle w:val="style0"/>
              <w:rPr/>
            </w:pPr>
            <w:r>
              <w:rPr>
                <w:b w:val="false"/>
                <w:sz w:val="12"/>
              </w:rPr>
              <w:t>Projektdokumentation; Gewinnung Rohdaten</w:t>
            </w:r>
          </w:p>
        </w:tc>
        <w:tc>
          <w:tcPr>
            <w:tcW w:w="1967" w:type="dxa"/>
            <w:tcBorders/>
          </w:tcPr>
          <w:p w14:paraId="69EF479A">
            <w:pPr>
              <w:pStyle w:val="style0"/>
              <w:rPr/>
            </w:pPr>
            <w:r>
              <w:rPr>
                <w:b w:val="false"/>
                <w:sz w:val="12"/>
              </w:rPr>
              <w:t>Die Fachspezifikation definiert Mindestfelder und Aufbewahrungsregeln; vollständige Artikel oder Webseiten werden nicht als regulärer Standardnachweis vorausgesetzt.</w:t>
            </w:r>
          </w:p>
        </w:tc>
        <w:tc>
          <w:tcPr>
            <w:tcW w:w="1967" w:type="dxa"/>
            <w:tcBorders/>
          </w:tcPr>
          <w:p w14:paraId="B85FF91A">
            <w:pPr>
              <w:pStyle w:val="style0"/>
              <w:rPr/>
            </w:pPr>
            <w:r>
              <w:rPr>
                <w:b w:val="false"/>
                <w:sz w:val="12"/>
              </w:rPr>
              <w:t>Offen</w:t>
            </w:r>
          </w:p>
        </w:tc>
      </w:tr>
      <w:tr w14:paraId="BD671D74">
        <w:tblPrEx/>
        <w:trPr>
          <w:jc w:val="center"/>
        </w:trPr>
        <w:tc>
          <w:tcPr>
            <w:tcW w:w="1967" w:type="dxa"/>
            <w:tcBorders/>
          </w:tcPr>
          <w:p w14:paraId="C09C9443">
            <w:pPr>
              <w:pStyle w:val="style0"/>
              <w:rPr/>
            </w:pPr>
            <w:r>
              <w:rPr>
                <w:b w:val="false"/>
                <w:sz w:val="12"/>
              </w:rPr>
              <w:t>REQ-MON-009</w:t>
            </w:r>
          </w:p>
        </w:tc>
        <w:tc>
          <w:tcPr>
            <w:tcW w:w="1967" w:type="dxa"/>
            <w:tcBorders/>
          </w:tcPr>
          <w:p w14:paraId="48635044">
            <w:pPr>
              <w:pStyle w:val="style0"/>
              <w:rPr/>
            </w:pPr>
            <w:r>
              <w:rPr>
                <w:b w:val="false"/>
                <w:sz w:val="12"/>
              </w:rPr>
              <w:t>Funktional</w:t>
            </w:r>
          </w:p>
        </w:tc>
        <w:tc>
          <w:tcPr>
            <w:tcW w:w="1967" w:type="dxa"/>
            <w:tcBorders/>
          </w:tcPr>
          <w:p w14:paraId="187AEAC2">
            <w:pPr>
              <w:pStyle w:val="style0"/>
              <w:rPr/>
            </w:pPr>
            <w:r>
              <w:rPr>
                <w:b w:val="false"/>
                <w:sz w:val="12"/>
              </w:rPr>
              <w:t>Jeder gegenüber dem Manager als konkreter Vorschlag ausgegebene Empfehlungsstand muss bei Ausgabe als unveränderlicher, versionierter Snapshot gespeichert werden.</w:t>
            </w:r>
          </w:p>
        </w:tc>
        <w:tc>
          <w:tcPr>
            <w:tcW w:w="1967" w:type="dxa"/>
            <w:tcBorders/>
          </w:tcPr>
          <w:p w14:paraId="9A1FB75A">
            <w:pPr>
              <w:pStyle w:val="style0"/>
              <w:rPr/>
            </w:pPr>
            <w:r>
              <w:rPr>
                <w:b w:val="false"/>
                <w:sz w:val="12"/>
              </w:rPr>
              <w:t>Muss</w:t>
            </w:r>
          </w:p>
        </w:tc>
        <w:tc>
          <w:tcPr>
            <w:tcW w:w="1967" w:type="dxa"/>
            <w:tcBorders/>
          </w:tcPr>
          <w:p w14:paraId="B4218B46">
            <w:pPr>
              <w:pStyle w:val="style0"/>
              <w:rPr/>
            </w:pPr>
            <w:r>
              <w:rPr>
                <w:b w:val="false"/>
                <w:sz w:val="12"/>
              </w:rPr>
              <w:t>DEC-020</w:t>
            </w:r>
          </w:p>
        </w:tc>
        <w:tc>
          <w:tcPr>
            <w:tcW w:w="1967" w:type="dxa"/>
            <w:tcBorders/>
          </w:tcPr>
          <w:p w14:paraId="9BC4351A">
            <w:pPr>
              <w:pStyle w:val="style0"/>
              <w:rPr/>
            </w:pPr>
            <w:r>
              <w:rPr>
                <w:b w:val="false"/>
                <w:sz w:val="12"/>
              </w:rPr>
              <w:t>Monitoring; Projektdokumentation</w:t>
            </w:r>
          </w:p>
        </w:tc>
        <w:tc>
          <w:tcPr>
            <w:tcW w:w="1967" w:type="dxa"/>
            <w:tcBorders/>
          </w:tcPr>
          <w:p w14:paraId="E903FA75">
            <w:pPr>
              <w:pStyle w:val="style0"/>
              <w:rPr/>
            </w:pPr>
            <w:r>
              <w:rPr>
                <w:b w:val="false"/>
                <w:sz w:val="12"/>
              </w:rPr>
              <w:t>Jede freigegebene Empfehlung besitzt eine eindeutige Version sowie Ausgabe- und Datenzeitpunkt; spätere Änderungen verändern frühere Snapshots nicht.</w:t>
            </w:r>
          </w:p>
        </w:tc>
        <w:tc>
          <w:tcPr>
            <w:tcW w:w="1967" w:type="dxa"/>
            <w:tcBorders/>
          </w:tcPr>
          <w:p w14:paraId="3421B987">
            <w:pPr>
              <w:pStyle w:val="style0"/>
              <w:rPr/>
            </w:pPr>
            <w:r>
              <w:rPr>
                <w:b w:val="false"/>
                <w:sz w:val="12"/>
              </w:rPr>
              <w:t>Offen</w:t>
            </w:r>
          </w:p>
        </w:tc>
      </w:tr>
      <w:tr w14:paraId="B5ABD000">
        <w:tblPrEx/>
        <w:trPr>
          <w:jc w:val="center"/>
        </w:trPr>
        <w:tc>
          <w:tcPr>
            <w:tcW w:w="1967" w:type="dxa"/>
            <w:tcBorders/>
          </w:tcPr>
          <w:p w14:paraId="AB6180AE">
            <w:pPr>
              <w:pStyle w:val="style0"/>
              <w:rPr/>
            </w:pPr>
            <w:r>
              <w:rPr>
                <w:b w:val="false"/>
                <w:sz w:val="12"/>
              </w:rPr>
              <w:t>REQ-DEC-004</w:t>
            </w:r>
          </w:p>
        </w:tc>
        <w:tc>
          <w:tcPr>
            <w:tcW w:w="1967" w:type="dxa"/>
            <w:tcBorders/>
          </w:tcPr>
          <w:p w14:paraId="C68577C7">
            <w:pPr>
              <w:pStyle w:val="style0"/>
              <w:rPr/>
            </w:pPr>
            <w:r>
              <w:rPr>
                <w:b w:val="false"/>
                <w:sz w:val="12"/>
              </w:rPr>
              <w:t>Entscheidung</w:t>
            </w:r>
          </w:p>
        </w:tc>
        <w:tc>
          <w:tcPr>
            <w:tcW w:w="1967" w:type="dxa"/>
            <w:tcBorders/>
          </w:tcPr>
          <w:p w14:paraId="E6C15A83">
            <w:pPr>
              <w:pStyle w:val="style0"/>
              <w:rPr/>
            </w:pPr>
            <w:r>
              <w:rPr>
                <w:b w:val="false"/>
                <w:sz w:val="12"/>
              </w:rPr>
              <w:t>Für jeden Spieler beziehungsweise veränderbaren Aufstellungsbestandteil muss die letzte freigegebene Modellempfehlung vor dessen regelbedingter Sperre als offizielle Evaluationsreferenz bestimmt werden.</w:t>
            </w:r>
          </w:p>
        </w:tc>
        <w:tc>
          <w:tcPr>
            <w:tcW w:w="1967" w:type="dxa"/>
            <w:tcBorders/>
          </w:tcPr>
          <w:p w14:paraId="C593749A">
            <w:pPr>
              <w:pStyle w:val="style0"/>
              <w:rPr/>
            </w:pPr>
            <w:r>
              <w:rPr>
                <w:b w:val="false"/>
                <w:sz w:val="12"/>
              </w:rPr>
              <w:t>Muss</w:t>
            </w:r>
          </w:p>
        </w:tc>
        <w:tc>
          <w:tcPr>
            <w:tcW w:w="1967" w:type="dxa"/>
            <w:tcBorders/>
          </w:tcPr>
          <w:p w14:paraId="D257AA12">
            <w:pPr>
              <w:pStyle w:val="style0"/>
              <w:rPr/>
            </w:pPr>
            <w:r>
              <w:rPr>
                <w:b w:val="false"/>
                <w:sz w:val="12"/>
              </w:rPr>
              <w:t>DEC-020</w:t>
            </w:r>
          </w:p>
        </w:tc>
        <w:tc>
          <w:tcPr>
            <w:tcW w:w="1967" w:type="dxa"/>
            <w:tcBorders/>
          </w:tcPr>
          <w:p w14:paraId="ED3C2E45">
            <w:pPr>
              <w:pStyle w:val="style0"/>
              <w:rPr/>
            </w:pPr>
            <w:r>
              <w:rPr>
                <w:b w:val="false"/>
                <w:sz w:val="12"/>
              </w:rPr>
              <w:t>Decision Engine; Evaluation</w:t>
            </w:r>
          </w:p>
        </w:tc>
        <w:tc>
          <w:tcPr>
            <w:tcW w:w="1967" w:type="dxa"/>
            <w:tcBorders/>
          </w:tcPr>
          <w:p w14:paraId="18EAA7EF">
            <w:pPr>
              <w:pStyle w:val="style0"/>
              <w:rPr/>
            </w:pPr>
            <w:r>
              <w:rPr>
                <w:b w:val="false"/>
                <w:sz w:val="12"/>
              </w:rPr>
              <w:t>Für jeden Aufstellungsbestandteil ist eindeutig nachweisbar, welcher Vorschlag vor dem jeweiligen Anpfiff zuletzt gültig freigegeben war.</w:t>
            </w:r>
          </w:p>
        </w:tc>
        <w:tc>
          <w:tcPr>
            <w:tcW w:w="1967" w:type="dxa"/>
            <w:tcBorders/>
          </w:tcPr>
          <w:p w14:paraId="22D4326E">
            <w:pPr>
              <w:pStyle w:val="style0"/>
              <w:rPr/>
            </w:pPr>
            <w:r>
              <w:rPr>
                <w:b w:val="false"/>
                <w:sz w:val="12"/>
              </w:rPr>
              <w:t>Offen</w:t>
            </w:r>
          </w:p>
        </w:tc>
      </w:tr>
      <w:tr w14:paraId="C3F62E49">
        <w:tblPrEx/>
        <w:trPr>
          <w:jc w:val="center"/>
        </w:trPr>
        <w:tc>
          <w:tcPr>
            <w:tcW w:w="1967" w:type="dxa"/>
            <w:tcBorders/>
          </w:tcPr>
          <w:p w14:paraId="D1BF1DCB">
            <w:pPr>
              <w:pStyle w:val="style0"/>
              <w:rPr/>
            </w:pPr>
            <w:r>
              <w:rPr>
                <w:b w:val="false"/>
                <w:sz w:val="12"/>
              </w:rPr>
              <w:t>REQ-EVA-009</w:t>
            </w:r>
          </w:p>
        </w:tc>
        <w:tc>
          <w:tcPr>
            <w:tcW w:w="1967" w:type="dxa"/>
            <w:tcBorders/>
          </w:tcPr>
          <w:p w14:paraId="34AD7CED">
            <w:pPr>
              <w:pStyle w:val="style0"/>
              <w:rPr/>
            </w:pPr>
            <w:r>
              <w:rPr>
                <w:b w:val="false"/>
                <w:sz w:val="12"/>
              </w:rPr>
              <w:t>Evaluation</w:t>
            </w:r>
          </w:p>
        </w:tc>
        <w:tc>
          <w:tcPr>
            <w:tcW w:w="1967" w:type="dxa"/>
            <w:tcBorders/>
          </w:tcPr>
          <w:p w14:paraId="A18E6C30">
            <w:pPr>
              <w:pStyle w:val="style0"/>
              <w:rPr/>
            </w:pPr>
            <w:r>
              <w:rPr>
                <w:b w:val="false"/>
                <w:sz w:val="12"/>
              </w:rPr>
              <w:t>Nach Abschluss aller gestaffelten Sperrzeitpunkte muss aus den letzten gültigen Teilständen ein konsolidierter finaler Empfehlungssnapshot des Spieltags gebildet werden.</w:t>
            </w:r>
          </w:p>
        </w:tc>
        <w:tc>
          <w:tcPr>
            <w:tcW w:w="1967" w:type="dxa"/>
            <w:tcBorders/>
          </w:tcPr>
          <w:p w14:paraId="4B00ACE4">
            <w:pPr>
              <w:pStyle w:val="style0"/>
              <w:rPr/>
            </w:pPr>
            <w:r>
              <w:rPr>
                <w:b w:val="false"/>
                <w:sz w:val="12"/>
              </w:rPr>
              <w:t>Muss</w:t>
            </w:r>
          </w:p>
        </w:tc>
        <w:tc>
          <w:tcPr>
            <w:tcW w:w="1967" w:type="dxa"/>
            <w:tcBorders/>
          </w:tcPr>
          <w:p w14:paraId="E9059A51">
            <w:pPr>
              <w:pStyle w:val="style0"/>
              <w:rPr/>
            </w:pPr>
            <w:r>
              <w:rPr>
                <w:b w:val="false"/>
                <w:sz w:val="12"/>
              </w:rPr>
              <w:t>DEC-020</w:t>
            </w:r>
          </w:p>
        </w:tc>
        <w:tc>
          <w:tcPr>
            <w:tcW w:w="1967" w:type="dxa"/>
            <w:tcBorders/>
          </w:tcPr>
          <w:p w14:paraId="C75939D8">
            <w:pPr>
              <w:pStyle w:val="style0"/>
              <w:rPr/>
            </w:pPr>
            <w:r>
              <w:rPr>
                <w:b w:val="false"/>
                <w:sz w:val="12"/>
              </w:rPr>
              <w:t>Evaluation; Monitoring</w:t>
            </w:r>
          </w:p>
        </w:tc>
        <w:tc>
          <w:tcPr>
            <w:tcW w:w="1967" w:type="dxa"/>
            <w:tcBorders/>
          </w:tcPr>
          <w:p w14:paraId="DF2D0FFA">
            <w:pPr>
              <w:pStyle w:val="style0"/>
              <w:rPr/>
            </w:pPr>
            <w:r>
              <w:rPr>
                <w:b w:val="false"/>
                <w:sz w:val="12"/>
              </w:rPr>
              <w:t>Der konsolidierte Snapshot ist reproduzierbar und enthält ausschließlich vor dem jeweiligen Sperrzeitpunkt freigegebene Teilentscheidungen.</w:t>
            </w:r>
          </w:p>
        </w:tc>
        <w:tc>
          <w:tcPr>
            <w:tcW w:w="1967" w:type="dxa"/>
            <w:tcBorders/>
          </w:tcPr>
          <w:p w14:paraId="5FF28613">
            <w:pPr>
              <w:pStyle w:val="style0"/>
              <w:rPr/>
            </w:pPr>
            <w:r>
              <w:rPr>
                <w:b w:val="false"/>
                <w:sz w:val="12"/>
              </w:rPr>
              <w:t>Offen</w:t>
            </w:r>
          </w:p>
        </w:tc>
      </w:tr>
      <w:tr w14:paraId="1EF06AEE">
        <w:tblPrEx/>
        <w:trPr>
          <w:jc w:val="center"/>
        </w:trPr>
        <w:tc>
          <w:tcPr>
            <w:tcW w:w="1967" w:type="dxa"/>
            <w:tcBorders/>
          </w:tcPr>
          <w:p w14:paraId="7990B7A3">
            <w:pPr>
              <w:pStyle w:val="style0"/>
              <w:rPr/>
            </w:pPr>
            <w:r>
              <w:rPr>
                <w:b w:val="false"/>
                <w:sz w:val="12"/>
              </w:rPr>
              <w:t>REQ-NFR-006</w:t>
            </w:r>
          </w:p>
        </w:tc>
        <w:tc>
          <w:tcPr>
            <w:tcW w:w="1967" w:type="dxa"/>
            <w:tcBorders/>
          </w:tcPr>
          <w:p w14:paraId="B5AA1F28">
            <w:pPr>
              <w:pStyle w:val="style0"/>
              <w:rPr/>
            </w:pPr>
            <w:r>
              <w:rPr>
                <w:b w:val="false"/>
                <w:sz w:val="12"/>
              </w:rPr>
              <w:t>Nichtfunktional</w:t>
            </w:r>
          </w:p>
        </w:tc>
        <w:tc>
          <w:tcPr>
            <w:tcW w:w="1967" w:type="dxa"/>
            <w:tcBorders/>
          </w:tcPr>
          <w:p w14:paraId="E5E9DCD8">
            <w:pPr>
              <w:pStyle w:val="style0"/>
              <w:rPr/>
            </w:pPr>
            <w:r>
              <w:rPr>
                <w:b w:val="false"/>
                <w:sz w:val="12"/>
              </w:rPr>
              <w:t>Nicht ausdrücklich freigegebene Zwischenberechnungen oder technische Aktualisierungen dürfen nicht als offizielle Modellempfehlung behandelt werden.</w:t>
            </w:r>
          </w:p>
        </w:tc>
        <w:tc>
          <w:tcPr>
            <w:tcW w:w="1967" w:type="dxa"/>
            <w:tcBorders/>
          </w:tcPr>
          <w:p w14:paraId="A724BA5E">
            <w:pPr>
              <w:pStyle w:val="style0"/>
              <w:rPr/>
            </w:pPr>
            <w:r>
              <w:rPr>
                <w:b w:val="false"/>
                <w:sz w:val="12"/>
              </w:rPr>
              <w:t>Muss</w:t>
            </w:r>
          </w:p>
        </w:tc>
        <w:tc>
          <w:tcPr>
            <w:tcW w:w="1967" w:type="dxa"/>
            <w:tcBorders/>
          </w:tcPr>
          <w:p w14:paraId="57FFD275">
            <w:pPr>
              <w:pStyle w:val="style0"/>
              <w:rPr/>
            </w:pPr>
            <w:r>
              <w:rPr>
                <w:b w:val="false"/>
                <w:sz w:val="12"/>
              </w:rPr>
              <w:t>DEC-020</w:t>
            </w:r>
          </w:p>
        </w:tc>
        <w:tc>
          <w:tcPr>
            <w:tcW w:w="1967" w:type="dxa"/>
            <w:tcBorders/>
          </w:tcPr>
          <w:p w14:paraId="4F10CCBD">
            <w:pPr>
              <w:pStyle w:val="style0"/>
              <w:rPr/>
            </w:pPr>
            <w:r>
              <w:rPr>
                <w:b w:val="false"/>
                <w:sz w:val="12"/>
              </w:rPr>
              <w:t>Kontrollmechanismen; Monitoring</w:t>
            </w:r>
          </w:p>
        </w:tc>
        <w:tc>
          <w:tcPr>
            <w:tcW w:w="1967" w:type="dxa"/>
            <w:tcBorders/>
          </w:tcPr>
          <w:p w14:paraId="BFDA443B">
            <w:pPr>
              <w:pStyle w:val="style0"/>
              <w:rPr/>
            </w:pPr>
            <w:r>
              <w:rPr>
                <w:b w:val="false"/>
                <w:sz w:val="12"/>
              </w:rPr>
              <w:t>Das System unterscheidet technisch und sichtbar zwischen Entwurf, Zwischenstand und freigegebener Empfehlung.</w:t>
            </w:r>
          </w:p>
        </w:tc>
        <w:tc>
          <w:tcPr>
            <w:tcW w:w="1967" w:type="dxa"/>
            <w:tcBorders/>
          </w:tcPr>
          <w:p w14:paraId="A7DABE06">
            <w:pPr>
              <w:pStyle w:val="style0"/>
              <w:rPr/>
            </w:pPr>
            <w:r>
              <w:rPr>
                <w:b w:val="false"/>
                <w:sz w:val="12"/>
              </w:rPr>
              <w:t>Offen</w:t>
            </w:r>
          </w:p>
        </w:tc>
      </w:tr>
      <w:tr w14:paraId="005698BC">
        <w:tblPrEx/>
        <w:trPr>
          <w:jc w:val="center"/>
        </w:trPr>
        <w:tc>
          <w:tcPr>
            <w:tcW w:w="1967" w:type="dxa"/>
            <w:tcBorders/>
          </w:tcPr>
          <w:p w14:paraId="BD4502F5">
            <w:pPr>
              <w:pStyle w:val="style0"/>
              <w:rPr/>
            </w:pPr>
            <w:r>
              <w:rPr>
                <w:b w:val="false"/>
                <w:sz w:val="12"/>
              </w:rPr>
              <w:t>REQ-DAT-010</w:t>
            </w:r>
          </w:p>
        </w:tc>
        <w:tc>
          <w:tcPr>
            <w:tcW w:w="1967" w:type="dxa"/>
            <w:tcBorders/>
          </w:tcPr>
          <w:p w14:paraId="CC020508">
            <w:pPr>
              <w:pStyle w:val="style0"/>
              <w:rPr/>
            </w:pPr>
            <w:r>
              <w:rPr>
                <w:b w:val="false"/>
                <w:sz w:val="12"/>
              </w:rPr>
              <w:t>Daten</w:t>
            </w:r>
          </w:p>
        </w:tc>
        <w:tc>
          <w:tcPr>
            <w:tcW w:w="1967" w:type="dxa"/>
            <w:tcBorders/>
          </w:tcPr>
          <w:p w14:paraId="4549A7B2">
            <w:pPr>
              <w:pStyle w:val="style0"/>
              <w:rPr/>
            </w:pPr>
            <w:r>
              <w:rPr>
                <w:b w:val="false"/>
                <w:sz w:val="12"/>
              </w:rPr>
              <w:t>Erster vollständiger Modellvorschlag, alle freigegebenen Aktualisierungen, Zeitstände, wesentliche Diskussionsargumente, letzte gültige Empfehlung, Managerentscheidung und tatsächlich wirksame Aufstellung müssen dauerhaft verknüpft erhalten bleiben.</w:t>
            </w:r>
          </w:p>
        </w:tc>
        <w:tc>
          <w:tcPr>
            <w:tcW w:w="1967" w:type="dxa"/>
            <w:tcBorders/>
          </w:tcPr>
          <w:p w14:paraId="896436F1">
            <w:pPr>
              <w:pStyle w:val="style0"/>
              <w:rPr/>
            </w:pPr>
            <w:r>
              <w:rPr>
                <w:b w:val="false"/>
                <w:sz w:val="12"/>
              </w:rPr>
              <w:t>Muss</w:t>
            </w:r>
          </w:p>
        </w:tc>
        <w:tc>
          <w:tcPr>
            <w:tcW w:w="1967" w:type="dxa"/>
            <w:tcBorders/>
          </w:tcPr>
          <w:p w14:paraId="27B5F954">
            <w:pPr>
              <w:pStyle w:val="style0"/>
              <w:rPr/>
            </w:pPr>
            <w:r>
              <w:rPr>
                <w:b w:val="false"/>
                <w:sz w:val="12"/>
              </w:rPr>
              <w:t>DEC-020</w:t>
            </w:r>
          </w:p>
        </w:tc>
        <w:tc>
          <w:tcPr>
            <w:tcW w:w="1967" w:type="dxa"/>
            <w:tcBorders/>
          </w:tcPr>
          <w:p w14:paraId="B1AB74F7">
            <w:pPr>
              <w:pStyle w:val="style0"/>
              <w:rPr/>
            </w:pPr>
            <w:r>
              <w:rPr>
                <w:b w:val="false"/>
                <w:sz w:val="12"/>
              </w:rPr>
              <w:t>Projektdokumentation; Evaluation</w:t>
            </w:r>
          </w:p>
        </w:tc>
        <w:tc>
          <w:tcPr>
            <w:tcW w:w="1967" w:type="dxa"/>
            <w:tcBorders/>
          </w:tcPr>
          <w:p w14:paraId="976625F9">
            <w:pPr>
              <w:pStyle w:val="style0"/>
              <w:rPr/>
            </w:pPr>
            <w:r>
              <w:rPr>
                <w:b w:val="false"/>
                <w:sz w:val="12"/>
              </w:rPr>
              <w:t>Alle genannten Stände sind über einen gemeinsamen Spieltags- und Entscheidungsbezug abrufbar und chronologisch nachvollziehbar.</w:t>
            </w:r>
          </w:p>
        </w:tc>
        <w:tc>
          <w:tcPr>
            <w:tcW w:w="1967" w:type="dxa"/>
            <w:tcBorders/>
          </w:tcPr>
          <w:p w14:paraId="7E45B4EC">
            <w:pPr>
              <w:pStyle w:val="style0"/>
              <w:rPr/>
            </w:pPr>
            <w:r>
              <w:rPr>
                <w:b w:val="false"/>
                <w:sz w:val="12"/>
              </w:rPr>
              <w:t>Offen</w:t>
            </w:r>
          </w:p>
        </w:tc>
      </w:tr>
      <w:tr w14:paraId="6A034CD5">
        <w:tblPrEx/>
        <w:trPr>
          <w:jc w:val="center"/>
        </w:trPr>
        <w:tc>
          <w:tcPr>
            <w:tcW w:w="1967" w:type="dxa"/>
            <w:tcBorders/>
          </w:tcPr>
          <w:p w14:paraId="1B2D2E04">
            <w:pPr>
              <w:pStyle w:val="style0"/>
              <w:rPr/>
            </w:pPr>
            <w:r>
              <w:rPr>
                <w:b w:val="false"/>
                <w:sz w:val="12"/>
              </w:rPr>
              <w:t>REQ-MON-010</w:t>
            </w:r>
          </w:p>
        </w:tc>
        <w:tc>
          <w:tcPr>
            <w:tcW w:w="1967" w:type="dxa"/>
            <w:tcBorders/>
          </w:tcPr>
          <w:p w14:paraId="19FBA0A0">
            <w:pPr>
              <w:pStyle w:val="style0"/>
              <w:rPr/>
            </w:pPr>
            <w:r>
              <w:rPr>
                <w:b w:val="false"/>
                <w:sz w:val="12"/>
              </w:rPr>
              <w:t>Funktional</w:t>
            </w:r>
          </w:p>
        </w:tc>
        <w:tc>
          <w:tcPr>
            <w:tcW w:w="1967" w:type="dxa"/>
            <w:tcBorders/>
          </w:tcPr>
          <w:p w14:paraId="638B49A2">
            <w:pPr>
              <w:pStyle w:val="style0"/>
              <w:rPr/>
            </w:pPr>
            <w:r>
              <w:rPr>
                <w:b w:val="false"/>
                <w:sz w:val="12"/>
              </w:rPr>
              <w:t>Bei der Übernahme einer Vorwochenaufstellung muss geprüft werden, ob zum neuen Sperrzeitpunkt alle enthaltenen Spieler weiterhin aufstellbar sind. Ein nicht mehr aufstellbarer Spieler darf nicht formal in der neuen Aufstellung verbleiben und nicht automatisch ersetzt werden.</w:t>
            </w:r>
          </w:p>
        </w:tc>
        <w:tc>
          <w:tcPr>
            <w:tcW w:w="1967" w:type="dxa"/>
            <w:tcBorders/>
          </w:tcPr>
          <w:p w14:paraId="08DEDF1A">
            <w:pPr>
              <w:pStyle w:val="style0"/>
              <w:rPr/>
            </w:pPr>
            <w:r>
              <w:rPr>
                <w:b w:val="false"/>
                <w:sz w:val="12"/>
              </w:rPr>
              <w:t>Muss</w:t>
            </w:r>
          </w:p>
        </w:tc>
        <w:tc>
          <w:tcPr>
            <w:tcW w:w="1967" w:type="dxa"/>
            <w:tcBorders/>
          </w:tcPr>
          <w:p w14:paraId="0523F260">
            <w:pPr>
              <w:pStyle w:val="style0"/>
              <w:rPr/>
            </w:pPr>
            <w:r>
              <w:rPr>
                <w:b w:val="false"/>
                <w:sz w:val="12"/>
              </w:rPr>
              <w:t>DEC-021; CON-007</w:t>
            </w:r>
          </w:p>
        </w:tc>
        <w:tc>
          <w:tcPr>
            <w:tcW w:w="1967" w:type="dxa"/>
            <w:tcBorders/>
          </w:tcPr>
          <w:p w14:paraId="A300AB8B">
            <w:pPr>
              <w:pStyle w:val="style0"/>
              <w:rPr/>
            </w:pPr>
            <w:r>
              <w:rPr>
                <w:b w:val="false"/>
                <w:sz w:val="12"/>
              </w:rPr>
              <w:t>Monitoring; Decision Engine</w:t>
            </w:r>
          </w:p>
        </w:tc>
        <w:tc>
          <w:tcPr>
            <w:tcW w:w="1967" w:type="dxa"/>
            <w:tcBorders/>
          </w:tcPr>
          <w:p w14:paraId="257FBDFE">
            <w:pPr>
              <w:pStyle w:val="style0"/>
              <w:rPr/>
            </w:pPr>
            <w:r>
              <w:rPr>
                <w:b w:val="false"/>
                <w:sz w:val="12"/>
              </w:rPr>
              <w:t>Ein Testfall mit einem nicht mehr aufstellbaren Spieler erzeugt keine unverändert gültige Vorwochenaufstellung und keinen automatischen Ersatz; der betreffende Aufstellungsplatz bleibt regelkonform als ungeklärt beziehungsweise unvollständig erkennbar.</w:t>
            </w:r>
          </w:p>
        </w:tc>
        <w:tc>
          <w:tcPr>
            <w:tcW w:w="1967" w:type="dxa"/>
            <w:tcBorders/>
          </w:tcPr>
          <w:p w14:paraId="D66E4A5D">
            <w:pPr>
              <w:pStyle w:val="style0"/>
              <w:rPr/>
            </w:pPr>
            <w:r>
              <w:rPr>
                <w:b w:val="false"/>
                <w:sz w:val="12"/>
              </w:rPr>
              <w:t>Offen</w:t>
            </w:r>
          </w:p>
        </w:tc>
      </w:tr>
      <w:tr w14:paraId="F6BB1C5E">
        <w:tblPrEx/>
        <w:trPr>
          <w:jc w:val="center"/>
        </w:trPr>
        <w:tc>
          <w:tcPr>
            <w:tcW w:w="1967" w:type="dxa"/>
            <w:tcBorders/>
          </w:tcPr>
          <w:p w14:paraId="0C61B412">
            <w:pPr>
              <w:pStyle w:val="style0"/>
              <w:rPr/>
            </w:pPr>
            <w:r>
              <w:rPr>
                <w:b w:val="false"/>
                <w:sz w:val="12"/>
              </w:rPr>
              <w:t>REQ-CTL-002</w:t>
            </w:r>
          </w:p>
        </w:tc>
        <w:tc>
          <w:tcPr>
            <w:tcW w:w="1967" w:type="dxa"/>
            <w:tcBorders/>
          </w:tcPr>
          <w:p w14:paraId="F2388589">
            <w:pPr>
              <w:pStyle w:val="style0"/>
              <w:rPr/>
            </w:pPr>
            <w:r>
              <w:rPr>
                <w:b w:val="false"/>
                <w:sz w:val="12"/>
              </w:rPr>
              <w:t>Kontrolle</w:t>
            </w:r>
          </w:p>
        </w:tc>
        <w:tc>
          <w:tcPr>
            <w:tcW w:w="1967" w:type="dxa"/>
            <w:tcBorders/>
          </w:tcPr>
          <w:p w14:paraId="856182F2">
            <w:pPr>
              <w:pStyle w:val="style0"/>
              <w:rPr/>
            </w:pPr>
            <w:r>
              <w:rPr>
                <w:b w:val="false"/>
                <w:sz w:val="12"/>
              </w:rPr>
              <w:t>Eine wegen eines nicht mehr aufstellbaren Spielers unvollständige oder regelwidrige Aufstellung muss sichtbar als kritischer Handlungsbedarf an den Manager gemeldet werden.</w:t>
            </w:r>
          </w:p>
        </w:tc>
        <w:tc>
          <w:tcPr>
            <w:tcW w:w="1967" w:type="dxa"/>
            <w:tcBorders/>
          </w:tcPr>
          <w:p w14:paraId="B26972B8">
            <w:pPr>
              <w:pStyle w:val="style0"/>
              <w:rPr/>
            </w:pPr>
            <w:r>
              <w:rPr>
                <w:b w:val="false"/>
                <w:sz w:val="12"/>
              </w:rPr>
              <w:t>Muss</w:t>
            </w:r>
          </w:p>
        </w:tc>
        <w:tc>
          <w:tcPr>
            <w:tcW w:w="1967" w:type="dxa"/>
            <w:tcBorders/>
          </w:tcPr>
          <w:p w14:paraId="A6BD7454">
            <w:pPr>
              <w:pStyle w:val="style0"/>
              <w:rPr/>
            </w:pPr>
            <w:r>
              <w:rPr>
                <w:b w:val="false"/>
                <w:sz w:val="12"/>
              </w:rPr>
              <w:t>DEC-021; CON-007</w:t>
            </w:r>
          </w:p>
        </w:tc>
        <w:tc>
          <w:tcPr>
            <w:tcW w:w="1967" w:type="dxa"/>
            <w:tcBorders/>
          </w:tcPr>
          <w:p w14:paraId="F6ED3F9A">
            <w:pPr>
              <w:pStyle w:val="style0"/>
              <w:rPr/>
            </w:pPr>
            <w:r>
              <w:rPr>
                <w:b w:val="false"/>
                <w:sz w:val="12"/>
              </w:rPr>
              <w:t>Kontrollmechanismen; Erinnerungen; Monitoring</w:t>
            </w:r>
          </w:p>
        </w:tc>
        <w:tc>
          <w:tcPr>
            <w:tcW w:w="1967" w:type="dxa"/>
            <w:tcBorders/>
          </w:tcPr>
          <w:p w14:paraId="1D97B405">
            <w:pPr>
              <w:pStyle w:val="style0"/>
              <w:rPr/>
            </w:pPr>
            <w:r>
              <w:rPr>
                <w:b w:val="false"/>
                <w:sz w:val="12"/>
              </w:rPr>
              <w:t>Die Warnung ist vor dem maßgeblichen Sperrzeitpunkt sichtbar, benennt den betroffenen Spieler und verhindert, dass der Fall unbemerkt als vollständige gültige Aufstellung behandelt wird.</w:t>
            </w:r>
          </w:p>
        </w:tc>
        <w:tc>
          <w:tcPr>
            <w:tcW w:w="1967" w:type="dxa"/>
            <w:tcBorders/>
          </w:tcPr>
          <w:p w14:paraId="3383501C">
            <w:pPr>
              <w:pStyle w:val="style0"/>
              <w:rPr/>
            </w:pPr>
            <w:r>
              <w:rPr>
                <w:b w:val="false"/>
                <w:sz w:val="12"/>
              </w:rPr>
              <w:t>Offen</w:t>
            </w:r>
          </w:p>
        </w:tc>
      </w:tr>
      <w:tr w14:paraId="C8CD95EA">
        <w:tblPrEx/>
        <w:trPr>
          <w:jc w:val="center"/>
        </w:trPr>
        <w:tc>
          <w:tcPr>
            <w:tcW w:w="1967" w:type="dxa"/>
            <w:tcBorders/>
          </w:tcPr>
          <w:p w14:paraId="D0C7C9B9">
            <w:pPr>
              <w:pStyle w:val="style0"/>
              <w:rPr/>
            </w:pPr>
            <w:r>
              <w:rPr>
                <w:b w:val="false"/>
                <w:sz w:val="12"/>
              </w:rPr>
              <w:t>REQ-MON-011</w:t>
            </w:r>
          </w:p>
        </w:tc>
        <w:tc>
          <w:tcPr>
            <w:tcW w:w="1967" w:type="dxa"/>
            <w:tcBorders/>
          </w:tcPr>
          <w:p w14:paraId="746BF0EF">
            <w:pPr>
              <w:pStyle w:val="style0"/>
              <w:rPr/>
            </w:pPr>
            <w:r>
              <w:rPr>
                <w:b w:val="false"/>
                <w:sz w:val="12"/>
              </w:rPr>
              <w:t>Funktional</w:t>
            </w:r>
          </w:p>
        </w:tc>
        <w:tc>
          <w:tcPr>
            <w:tcW w:w="1967" w:type="dxa"/>
            <w:tcBorders/>
          </w:tcPr>
          <w:p w14:paraId="73B83EEC">
            <w:pPr>
              <w:pStyle w:val="style0"/>
              <w:rPr/>
            </w:pPr>
            <w:r>
              <w:rPr>
                <w:b w:val="false"/>
                <w:sz w:val="12"/>
              </w:rPr>
              <w:t>Bei mehreren ng derselben Position muss genau ein positionsgebundener Ersatz nach einer festen deterministischen Rollenreihenfolge zugeordnet werden; weitere ng bleiben ohne Ersatzwirkung.</w:t>
            </w:r>
          </w:p>
        </w:tc>
        <w:tc>
          <w:tcPr>
            <w:tcW w:w="1967" w:type="dxa"/>
            <w:tcBorders/>
          </w:tcPr>
          <w:p w14:paraId="72B35B00">
            <w:pPr>
              <w:pStyle w:val="style0"/>
              <w:rPr/>
            </w:pPr>
            <w:r>
              <w:rPr>
                <w:b w:val="false"/>
                <w:sz w:val="12"/>
              </w:rPr>
              <w:t>Muss</w:t>
            </w:r>
          </w:p>
        </w:tc>
        <w:tc>
          <w:tcPr>
            <w:tcW w:w="1967" w:type="dxa"/>
            <w:tcBorders/>
          </w:tcPr>
          <w:p w14:paraId="98E13EC5">
            <w:pPr>
              <w:pStyle w:val="style0"/>
              <w:rPr/>
            </w:pPr>
            <w:r>
              <w:rPr>
                <w:b w:val="false"/>
                <w:sz w:val="12"/>
              </w:rPr>
              <w:t>DEC-022</w:t>
            </w:r>
          </w:p>
        </w:tc>
        <w:tc>
          <w:tcPr>
            <w:tcW w:w="1967" w:type="dxa"/>
            <w:tcBorders/>
          </w:tcPr>
          <w:p w14:paraId="3FD63D22">
            <w:pPr>
              <w:pStyle w:val="style0"/>
              <w:rPr/>
            </w:pPr>
            <w:r>
              <w:rPr>
                <w:b w:val="false"/>
                <w:sz w:val="12"/>
              </w:rPr>
              <w:t>Monitoring; Kontrollmechanismen</w:t>
            </w:r>
          </w:p>
        </w:tc>
        <w:tc>
          <w:tcPr>
            <w:tcW w:w="1967" w:type="dxa"/>
            <w:tcBorders/>
          </w:tcPr>
          <w:p w14:paraId="C4B026D7">
            <w:pPr>
              <w:pStyle w:val="style0"/>
              <w:rPr/>
            </w:pPr>
            <w:r>
              <w:rPr>
                <w:b w:val="false"/>
                <w:sz w:val="12"/>
              </w:rPr>
              <w:t>Testfälle mit mindestens zwei ng derselben Position liefern unabhängig von Spielerwerten immer dieselbe wertungsneutrale Zuordnung; der Ersatz wird höchstens einmal gewertet.</w:t>
            </w:r>
          </w:p>
        </w:tc>
        <w:tc>
          <w:tcPr>
            <w:tcW w:w="1967" w:type="dxa"/>
            <w:tcBorders/>
          </w:tcPr>
          <w:p w14:paraId="9C245DC9">
            <w:pPr>
              <w:pStyle w:val="style0"/>
              <w:rPr/>
            </w:pPr>
            <w:r>
              <w:rPr>
                <w:b w:val="false"/>
                <w:sz w:val="12"/>
              </w:rPr>
              <w:t>Offen</w:t>
            </w:r>
          </w:p>
        </w:tc>
      </w:tr>
      <w:tr w14:paraId="A6CDDF48">
        <w:tblPrEx/>
        <w:trPr>
          <w:jc w:val="center"/>
        </w:trPr>
        <w:tc>
          <w:tcPr>
            <w:tcW w:w="1967" w:type="dxa"/>
            <w:tcBorders/>
          </w:tcPr>
          <w:p w14:paraId="DAD760B7">
            <w:pPr>
              <w:pStyle w:val="style0"/>
              <w:rPr/>
            </w:pPr>
            <w:r>
              <w:rPr>
                <w:b w:val="false"/>
                <w:sz w:val="12"/>
              </w:rPr>
              <w:t>REQ-MON-012</w:t>
            </w:r>
          </w:p>
        </w:tc>
        <w:tc>
          <w:tcPr>
            <w:tcW w:w="1967" w:type="dxa"/>
            <w:tcBorders/>
          </w:tcPr>
          <w:p w14:paraId="8A9527A3">
            <w:pPr>
              <w:pStyle w:val="style0"/>
              <w:rPr/>
            </w:pPr>
            <w:r>
              <w:rPr>
                <w:b w:val="false"/>
                <w:sz w:val="12"/>
              </w:rPr>
              <w:t>Funktional</w:t>
            </w:r>
          </w:p>
        </w:tc>
        <w:tc>
          <w:tcPr>
            <w:tcW w:w="1967" w:type="dxa"/>
            <w:tcBorders/>
          </w:tcPr>
          <w:p w14:paraId="931C2C9B">
            <w:pPr>
              <w:pStyle w:val="style0"/>
              <w:rPr/>
            </w:pPr>
            <w:r>
              <w:rPr>
                <w:b w:val="false"/>
                <w:sz w:val="12"/>
              </w:rPr>
              <w:t>Die Kategorienkonfiguration muss je Kategorie die Vergleichsrichtung explizit führen und bei fehlenden Ist-Werten sowie ausstehenden Nachholspielen zwischen endgültiger und vorläufiger Auswertung unterscheiden.</w:t>
            </w:r>
          </w:p>
        </w:tc>
        <w:tc>
          <w:tcPr>
            <w:tcW w:w="1967" w:type="dxa"/>
            <w:tcBorders/>
          </w:tcPr>
          <w:p w14:paraId="E0C7A731">
            <w:pPr>
              <w:pStyle w:val="style0"/>
              <w:rPr/>
            </w:pPr>
            <w:r>
              <w:rPr>
                <w:b w:val="false"/>
                <w:sz w:val="12"/>
              </w:rPr>
              <w:t>Muss</w:t>
            </w:r>
          </w:p>
        </w:tc>
        <w:tc>
          <w:tcPr>
            <w:tcW w:w="1967" w:type="dxa"/>
            <w:tcBorders/>
          </w:tcPr>
          <w:p w14:paraId="D263919D">
            <w:pPr>
              <w:pStyle w:val="style0"/>
              <w:rPr/>
            </w:pPr>
            <w:r>
              <w:rPr>
                <w:b w:val="false"/>
                <w:sz w:val="12"/>
              </w:rPr>
              <w:t>DEC-023</w:t>
            </w:r>
          </w:p>
        </w:tc>
        <w:tc>
          <w:tcPr>
            <w:tcW w:w="1967" w:type="dxa"/>
            <w:tcBorders/>
          </w:tcPr>
          <w:p w14:paraId="439705B8">
            <w:pPr>
              <w:pStyle w:val="style0"/>
              <w:rPr/>
            </w:pPr>
            <w:r>
              <w:rPr>
                <w:b w:val="false"/>
                <w:sz w:val="12"/>
              </w:rPr>
              <w:t>Monitoring; Evaluation; Kontrollmechanismen</w:t>
            </w:r>
          </w:p>
        </w:tc>
        <w:tc>
          <w:tcPr>
            <w:tcW w:w="1967" w:type="dxa"/>
            <w:tcBorders/>
          </w:tcPr>
          <w:p w14:paraId="16AFC9FA">
            <w:pPr>
              <w:pStyle w:val="style0"/>
              <w:rPr/>
            </w:pPr>
            <w:r>
              <w:rPr>
                <w:b w:val="false"/>
                <w:sz w:val="12"/>
              </w:rPr>
              <w:t>Tore/Vorlagen/EdT werden absteigend, Note/Gegentore aufsteigend gerankt; fehlende Ist-Werte blockieren die Endfreigabe; bei Nachholspielen ist eine klar als vorläufig markierte Auswertung möglich und nach Abschluss erfolgt vollständige Neuberechnung.</w:t>
            </w:r>
          </w:p>
        </w:tc>
        <w:tc>
          <w:tcPr>
            <w:tcW w:w="1967" w:type="dxa"/>
            <w:tcBorders/>
          </w:tcPr>
          <w:p w14:paraId="6F467ED9">
            <w:pPr>
              <w:pStyle w:val="style0"/>
              <w:rPr/>
            </w:pPr>
            <w:r>
              <w:rPr>
                <w:b w:val="false"/>
                <w:sz w:val="12"/>
              </w:rPr>
              <w:t>Offen</w:t>
            </w:r>
          </w:p>
        </w:tc>
      </w:tr>
      <w:tr w14:paraId="38BFFDE1">
        <w:tblPrEx/>
        <w:trPr>
          <w:jc w:val="center"/>
        </w:trPr>
        <w:tc>
          <w:tcPr>
            <w:tcW w:w="1967" w:type="dxa"/>
            <w:tcBorders/>
          </w:tcPr>
          <w:p w14:paraId="1DFF914E">
            <w:pPr>
              <w:pStyle w:val="style0"/>
              <w:rPr/>
            </w:pPr>
            <w:r>
              <w:rPr>
                <w:b w:val="false"/>
                <w:sz w:val="12"/>
              </w:rPr>
              <w:t>REQ-DAT-011</w:t>
            </w:r>
          </w:p>
        </w:tc>
        <w:tc>
          <w:tcPr>
            <w:tcW w:w="1967" w:type="dxa"/>
            <w:tcBorders/>
          </w:tcPr>
          <w:p w14:paraId="FB760CED">
            <w:pPr>
              <w:pStyle w:val="style0"/>
              <w:rPr/>
            </w:pPr>
            <w:r>
              <w:rPr>
                <w:b w:val="false"/>
                <w:sz w:val="12"/>
              </w:rPr>
              <w:t>Daten</w:t>
            </w:r>
          </w:p>
        </w:tc>
        <w:tc>
          <w:tcPr>
            <w:tcW w:w="1967" w:type="dxa"/>
            <w:tcBorders/>
          </w:tcPr>
          <w:p w14:paraId="F39E499B">
            <w:pPr>
              <w:pStyle w:val="style0"/>
              <w:rPr/>
            </w:pPr>
            <w:r>
              <w:rPr>
                <w:b w:val="false"/>
                <w:sz w:val="12"/>
              </w:rPr>
              <w:t>Leere Zellen manueller Spieltagsdaten müssen kontextabhängig als bestätigter Nullwert, nicht anwendbar, offen oder fehlend interpretiert werden können.</w:t>
            </w:r>
          </w:p>
        </w:tc>
        <w:tc>
          <w:tcPr>
            <w:tcW w:w="1967" w:type="dxa"/>
            <w:tcBorders/>
          </w:tcPr>
          <w:p w14:paraId="66CC033D">
            <w:pPr>
              <w:pStyle w:val="style0"/>
              <w:rPr/>
            </w:pPr>
            <w:r>
              <w:rPr>
                <w:b w:val="false"/>
                <w:sz w:val="12"/>
              </w:rPr>
              <w:t>Muss</w:t>
            </w:r>
          </w:p>
        </w:tc>
        <w:tc>
          <w:tcPr>
            <w:tcW w:w="1967" w:type="dxa"/>
            <w:tcBorders/>
          </w:tcPr>
          <w:p w14:paraId="5EAF0F0E">
            <w:pPr>
              <w:pStyle w:val="style0"/>
              <w:rPr/>
            </w:pPr>
            <w:r>
              <w:rPr>
                <w:b w:val="false"/>
                <w:sz w:val="12"/>
              </w:rPr>
              <w:t>DEC-024</w:t>
            </w:r>
          </w:p>
        </w:tc>
        <w:tc>
          <w:tcPr>
            <w:tcW w:w="1967" w:type="dxa"/>
            <w:tcBorders/>
          </w:tcPr>
          <w:p w14:paraId="4489D4BD">
            <w:pPr>
              <w:pStyle w:val="style0"/>
              <w:rPr/>
            </w:pPr>
            <w:r>
              <w:rPr>
                <w:b w:val="false"/>
                <w:sz w:val="12"/>
              </w:rPr>
              <w:t>Rohdaten; SSOT; Monitoring</w:t>
            </w:r>
          </w:p>
        </w:tc>
        <w:tc>
          <w:tcPr>
            <w:tcW w:w="1967" w:type="dxa"/>
            <w:tcBorders/>
          </w:tcPr>
          <w:p w14:paraId="019049B1">
            <w:pPr>
              <w:pStyle w:val="style0"/>
              <w:rPr/>
            </w:pPr>
            <w:r>
              <w:rPr>
                <w:b w:val="false"/>
                <w:sz w:val="12"/>
              </w:rPr>
              <w:t>Leere EdT-/Tor-/Vorlagenzellen werden nur nach bestätigtem Erfassungsabschluss zu 0; Gegentore bei M/S werden als nicht anwendbar geführt; ausstehende Spiele bleiben offen und unvollständige Erfassung bleibt fehlend.</w:t>
            </w:r>
          </w:p>
        </w:tc>
        <w:tc>
          <w:tcPr>
            <w:tcW w:w="1967" w:type="dxa"/>
            <w:tcBorders/>
          </w:tcPr>
          <w:p w14:paraId="0F1FE1B4">
            <w:pPr>
              <w:pStyle w:val="style0"/>
              <w:rPr/>
            </w:pPr>
            <w:r>
              <w:rPr>
                <w:b w:val="false"/>
                <w:sz w:val="12"/>
              </w:rPr>
              <w:t>Offen</w:t>
            </w:r>
          </w:p>
        </w:tc>
      </w:tr>
      <w:tr w14:paraId="089CD0A3">
        <w:tblPrEx/>
        <w:trPr>
          <w:jc w:val="center"/>
        </w:trPr>
        <w:tc>
          <w:tcPr>
            <w:tcW w:w="1967" w:type="dxa"/>
            <w:tcBorders/>
          </w:tcPr>
          <w:p w14:paraId="37B83181">
            <w:pPr>
              <w:pStyle w:val="style0"/>
              <w:rPr/>
            </w:pPr>
            <w:r>
              <w:rPr>
                <w:b w:val="false"/>
                <w:sz w:val="12"/>
              </w:rPr>
              <w:t>REQ-MON-013</w:t>
            </w:r>
          </w:p>
        </w:tc>
        <w:tc>
          <w:tcPr>
            <w:tcW w:w="1967" w:type="dxa"/>
            <w:tcBorders/>
          </w:tcPr>
          <w:p w14:paraId="CA6586D6">
            <w:pPr>
              <w:pStyle w:val="style0"/>
              <w:rPr/>
            </w:pPr>
            <w:r>
              <w:rPr>
                <w:b w:val="false"/>
                <w:sz w:val="12"/>
              </w:rPr>
              <w:t>Berechnung</w:t>
            </w:r>
          </w:p>
        </w:tc>
        <w:tc>
          <w:tcPr>
            <w:tcW w:w="1967" w:type="dxa"/>
            <w:tcBorders/>
          </w:tcPr>
          <w:p w14:paraId="9763A6CB">
            <w:pPr>
              <w:pStyle w:val="style0"/>
              <w:rPr/>
            </w:pPr>
            <w:r>
              <w:rPr>
                <w:b w:val="false"/>
                <w:sz w:val="12"/>
              </w:rPr>
              <w:t>Mehrere Teilnehmer ohne benoteten Spieler müssen als gemeinsamer Gleichstand auf den letzten n Plätzen gewertet werden; jeder erhält den Durchschnitt der Rangpunkte 1 bis n.</w:t>
            </w:r>
          </w:p>
        </w:tc>
        <w:tc>
          <w:tcPr>
            <w:tcW w:w="1967" w:type="dxa"/>
            <w:tcBorders/>
          </w:tcPr>
          <w:p w14:paraId="81FB3D49">
            <w:pPr>
              <w:pStyle w:val="style0"/>
              <w:rPr/>
            </w:pPr>
            <w:r>
              <w:rPr>
                <w:b w:val="false"/>
                <w:sz w:val="12"/>
              </w:rPr>
              <w:t>Muss</w:t>
            </w:r>
          </w:p>
        </w:tc>
        <w:tc>
          <w:tcPr>
            <w:tcW w:w="1967" w:type="dxa"/>
            <w:tcBorders/>
          </w:tcPr>
          <w:p w14:paraId="1C6E18BB">
            <w:pPr>
              <w:pStyle w:val="style0"/>
              <w:rPr/>
            </w:pPr>
            <w:r>
              <w:rPr>
                <w:b w:val="false"/>
                <w:sz w:val="12"/>
              </w:rPr>
              <w:t>DEC-025</w:t>
            </w:r>
          </w:p>
        </w:tc>
        <w:tc>
          <w:tcPr>
            <w:tcW w:w="1967" w:type="dxa"/>
            <w:tcBorders/>
          </w:tcPr>
          <w:p w14:paraId="94E68BF0">
            <w:pPr>
              <w:pStyle w:val="style0"/>
              <w:rPr/>
            </w:pPr>
            <w:r>
              <w:rPr>
                <w:b w:val="false"/>
                <w:sz w:val="12"/>
              </w:rPr>
              <w:t>Monitoring; Evaluation</w:t>
            </w:r>
          </w:p>
        </w:tc>
        <w:tc>
          <w:tcPr>
            <w:tcW w:w="1967" w:type="dxa"/>
            <w:tcBorders/>
          </w:tcPr>
          <w:p w14:paraId="DB47BFAC">
            <w:pPr>
              <w:pStyle w:val="style0"/>
              <w:rPr/>
            </w:pPr>
            <w:r>
              <w:rPr>
                <w:b w:val="false"/>
                <w:sz w:val="12"/>
              </w:rPr>
              <w:t>Für n=2 bis zur Teilnehmerzahl bleibt die Summe aller Kategorienpunkte unverändert und die betroffenen Teilnehmer erhalten jeweils (1+...+n)/n.</w:t>
            </w:r>
          </w:p>
        </w:tc>
        <w:tc>
          <w:tcPr>
            <w:tcW w:w="1967" w:type="dxa"/>
            <w:tcBorders/>
          </w:tcPr>
          <w:p w14:paraId="B7116A98">
            <w:pPr>
              <w:pStyle w:val="style0"/>
              <w:rPr/>
            </w:pPr>
            <w:r>
              <w:rPr>
                <w:b w:val="false"/>
                <w:sz w:val="12"/>
              </w:rPr>
              <w:t>Offen</w:t>
            </w:r>
          </w:p>
        </w:tc>
      </w:tr>
      <w:tr w14:paraId="EE5D9670">
        <w:tblPrEx/>
        <w:trPr>
          <w:jc w:val="center"/>
        </w:trPr>
        <w:tc>
          <w:tcPr>
            <w:tcW w:w="1967" w:type="dxa"/>
            <w:tcBorders/>
          </w:tcPr>
          <w:p w14:paraId="8DCF79CE">
            <w:pPr>
              <w:pStyle w:val="style0"/>
              <w:rPr/>
            </w:pPr>
            <w:r>
              <w:rPr>
                <w:b w:val="false"/>
                <w:sz w:val="12"/>
              </w:rPr>
              <w:t>REQ-NFR-008</w:t>
            </w:r>
          </w:p>
        </w:tc>
        <w:tc>
          <w:tcPr>
            <w:tcW w:w="1967" w:type="dxa"/>
            <w:tcBorders/>
          </w:tcPr>
          <w:p w14:paraId="658BFE1C">
            <w:pPr>
              <w:pStyle w:val="style0"/>
              <w:rPr/>
            </w:pPr>
            <w:r>
              <w:rPr>
                <w:b w:val="false"/>
                <w:sz w:val="12"/>
              </w:rPr>
              <w:t>Nichtfunktional</w:t>
            </w:r>
          </w:p>
        </w:tc>
        <w:tc>
          <w:tcPr>
            <w:tcW w:w="1967" w:type="dxa"/>
            <w:tcBorders/>
          </w:tcPr>
          <w:p w14:paraId="1694967A">
            <w:pPr>
              <w:pStyle w:val="style0"/>
              <w:rPr/>
            </w:pPr>
            <w:r>
              <w:rPr>
                <w:b w:val="false"/>
                <w:sz w:val="12"/>
              </w:rPr>
              <w:t>Alle vorgeschriebenen Rundungen müssen nach Half-up unmittelbar aus dem unveränderten Rohwert berechnet werden; Kettenrundungen sind unzulässig.</w:t>
            </w:r>
          </w:p>
        </w:tc>
        <w:tc>
          <w:tcPr>
            <w:tcW w:w="1967" w:type="dxa"/>
            <w:tcBorders/>
          </w:tcPr>
          <w:p w14:paraId="346C0CFE">
            <w:pPr>
              <w:pStyle w:val="style0"/>
              <w:rPr/>
            </w:pPr>
            <w:r>
              <w:rPr>
                <w:b w:val="false"/>
                <w:sz w:val="12"/>
              </w:rPr>
              <w:t>Muss</w:t>
            </w:r>
          </w:p>
        </w:tc>
        <w:tc>
          <w:tcPr>
            <w:tcW w:w="1967" w:type="dxa"/>
            <w:tcBorders/>
          </w:tcPr>
          <w:p w14:paraId="1C9A8F96">
            <w:pPr>
              <w:pStyle w:val="style0"/>
              <w:rPr/>
            </w:pPr>
            <w:r>
              <w:rPr>
                <w:b w:val="false"/>
                <w:sz w:val="12"/>
              </w:rPr>
              <w:t>DEC-026</w:t>
            </w:r>
          </w:p>
        </w:tc>
        <w:tc>
          <w:tcPr>
            <w:tcW w:w="1967" w:type="dxa"/>
            <w:tcBorders/>
          </w:tcPr>
          <w:p w14:paraId="4AAB33C0">
            <w:pPr>
              <w:pStyle w:val="style0"/>
              <w:rPr/>
            </w:pPr>
            <w:r>
              <w:rPr>
                <w:b w:val="false"/>
                <w:sz w:val="12"/>
              </w:rPr>
              <w:t>Monitoring; Evaluation; Kontrollmechanismen</w:t>
            </w:r>
          </w:p>
        </w:tc>
        <w:tc>
          <w:tcPr>
            <w:tcW w:w="1967" w:type="dxa"/>
            <w:tcBorders/>
          </w:tcPr>
          <w:p w14:paraId="11B6AE32">
            <w:pPr>
              <w:pStyle w:val="style0"/>
              <w:rPr/>
            </w:pPr>
            <w:r>
              <w:rPr>
                <w:b w:val="false"/>
                <w:sz w:val="12"/>
              </w:rPr>
              <w:t>Grenzfälle mit exakten Halbwerten werden kaufmännisch gerundet; Zwei- und Vierstellenvergleich der Note werden jeweils direkt aus demselben Rohwert erzeugt.</w:t>
            </w:r>
          </w:p>
        </w:tc>
        <w:tc>
          <w:tcPr>
            <w:tcW w:w="1967" w:type="dxa"/>
            <w:tcBorders/>
          </w:tcPr>
          <w:p w14:paraId="578D8D17">
            <w:pPr>
              <w:pStyle w:val="style0"/>
              <w:rPr/>
            </w:pPr>
            <w:r>
              <w:rPr>
                <w:b w:val="false"/>
                <w:sz w:val="12"/>
              </w:rPr>
              <w:t>Offen</w:t>
            </w:r>
          </w:p>
        </w:tc>
      </w:tr>
      <w:tr w14:paraId="AF529E4C">
        <w:tblPrEx/>
        <w:trPr>
          <w:jc w:val="center"/>
        </w:trPr>
        <w:tc>
          <w:tcPr>
            <w:tcW w:w="1967" w:type="dxa"/>
            <w:tcBorders/>
          </w:tcPr>
          <w:p w14:paraId="6997A8DF">
            <w:pPr>
              <w:pStyle w:val="style0"/>
              <w:rPr/>
            </w:pPr>
            <w:r>
              <w:rPr>
                <w:b w:val="false"/>
                <w:sz w:val="12"/>
              </w:rPr>
              <w:t>REQ-DEC-005</w:t>
            </w:r>
          </w:p>
        </w:tc>
        <w:tc>
          <w:tcPr>
            <w:tcW w:w="1967" w:type="dxa"/>
            <w:tcBorders/>
          </w:tcPr>
          <w:p w14:paraId="9829E862">
            <w:pPr>
              <w:pStyle w:val="style0"/>
              <w:rPr/>
            </w:pPr>
            <w:r>
              <w:rPr>
                <w:b w:val="false"/>
                <w:sz w:val="12"/>
              </w:rPr>
              <w:t>Entscheidung</w:t>
            </w:r>
          </w:p>
        </w:tc>
        <w:tc>
          <w:tcPr>
            <w:tcW w:w="1967" w:type="dxa"/>
            <w:tcBorders/>
          </w:tcPr>
          <w:p w14:paraId="C1CC824B">
            <w:pPr>
              <w:pStyle w:val="style0"/>
              <w:rPr/>
            </w:pPr>
            <w:r>
              <w:rPr>
                <w:b w:val="false"/>
                <w:sz w:val="12"/>
              </w:rPr>
              <w:t>Modellfreigabe und Managerentscheidung müssen als getrennte, jeweils zeitbezogene Ebenen gespeichert werden; eine Managerentscheidung darf ohne vorherige Modellempfehlung wirksam sein.</w:t>
            </w:r>
          </w:p>
        </w:tc>
        <w:tc>
          <w:tcPr>
            <w:tcW w:w="1967" w:type="dxa"/>
            <w:tcBorders/>
          </w:tcPr>
          <w:p w14:paraId="44DA621D">
            <w:pPr>
              <w:pStyle w:val="style0"/>
              <w:rPr/>
            </w:pPr>
            <w:r>
              <w:rPr>
                <w:b w:val="false"/>
                <w:sz w:val="12"/>
              </w:rPr>
              <w:t>Muss</w:t>
            </w:r>
          </w:p>
        </w:tc>
        <w:tc>
          <w:tcPr>
            <w:tcW w:w="1967" w:type="dxa"/>
            <w:tcBorders/>
          </w:tcPr>
          <w:p w14:paraId="E1536B68">
            <w:pPr>
              <w:pStyle w:val="style0"/>
              <w:rPr/>
            </w:pPr>
            <w:r>
              <w:rPr>
                <w:b w:val="false"/>
                <w:sz w:val="12"/>
              </w:rPr>
              <w:t>DEC-027</w:t>
            </w:r>
          </w:p>
        </w:tc>
        <w:tc>
          <w:tcPr>
            <w:tcW w:w="1967" w:type="dxa"/>
            <w:tcBorders/>
          </w:tcPr>
          <w:p w14:paraId="491894D5">
            <w:pPr>
              <w:pStyle w:val="style0"/>
              <w:rPr/>
            </w:pPr>
            <w:r>
              <w:rPr>
                <w:b w:val="false"/>
                <w:sz w:val="12"/>
              </w:rPr>
              <w:t>Decision Engine; Monitoring; Projektdokumentation</w:t>
            </w:r>
          </w:p>
        </w:tc>
        <w:tc>
          <w:tcPr>
            <w:tcW w:w="1967" w:type="dxa"/>
            <w:tcBorders/>
          </w:tcPr>
          <w:p w14:paraId="26880D57">
            <w:pPr>
              <w:pStyle w:val="style0"/>
              <w:rPr/>
            </w:pPr>
            <w:r>
              <w:rPr>
                <w:b w:val="false"/>
                <w:sz w:val="12"/>
              </w:rPr>
              <w:t>Ein Entscheidungsfall kann eine wirksame Managerentscheidung ohne Modellreferenz enthalten; kein technischer Zwischenstand wird dadurch zur Modellempfehlung.</w:t>
            </w:r>
          </w:p>
        </w:tc>
        <w:tc>
          <w:tcPr>
            <w:tcW w:w="1967" w:type="dxa"/>
            <w:tcBorders/>
          </w:tcPr>
          <w:p w14:paraId="28068559">
            <w:pPr>
              <w:pStyle w:val="style0"/>
              <w:rPr/>
            </w:pPr>
            <w:r>
              <w:rPr>
                <w:b w:val="false"/>
                <w:sz w:val="12"/>
              </w:rPr>
              <w:t>Offen</w:t>
            </w:r>
          </w:p>
        </w:tc>
      </w:tr>
      <w:tr w14:paraId="1E74BF22">
        <w:tblPrEx/>
        <w:trPr>
          <w:jc w:val="center"/>
        </w:trPr>
        <w:tc>
          <w:tcPr>
            <w:tcW w:w="1967" w:type="dxa"/>
            <w:tcBorders/>
          </w:tcPr>
          <w:p w14:paraId="FC88B84B">
            <w:pPr>
              <w:pStyle w:val="style0"/>
              <w:rPr/>
            </w:pPr>
            <w:r>
              <w:rPr>
                <w:b w:val="false"/>
                <w:sz w:val="12"/>
              </w:rPr>
              <w:t>REQ-EVA-010</w:t>
            </w:r>
          </w:p>
        </w:tc>
        <w:tc>
          <w:tcPr>
            <w:tcW w:w="1967" w:type="dxa"/>
            <w:tcBorders/>
          </w:tcPr>
          <w:p w14:paraId="57521B4F">
            <w:pPr>
              <w:pStyle w:val="style0"/>
              <w:rPr/>
            </w:pPr>
            <w:r>
              <w:rPr>
                <w:b w:val="false"/>
                <w:sz w:val="12"/>
              </w:rPr>
              <w:t>Evaluation</w:t>
            </w:r>
          </w:p>
        </w:tc>
        <w:tc>
          <w:tcPr>
            <w:tcW w:w="1967" w:type="dxa"/>
            <w:tcBorders/>
          </w:tcPr>
          <w:p w14:paraId="A2367F5E">
            <w:pPr>
              <w:pStyle w:val="style0"/>
              <w:rPr/>
            </w:pPr>
            <w:r>
              <w:rPr>
                <w:b w:val="false"/>
                <w:sz w:val="12"/>
              </w:rPr>
              <w:t>Fehlt vor der Sperre ein freigegebener Modellvorschlag, muss für den betroffenen Bestandteil NO_RELEASED_PROPOSAL geführt und der reguläre Modell-vs.-Manager-Vergleich ausgesetzt werden.</w:t>
            </w:r>
          </w:p>
        </w:tc>
        <w:tc>
          <w:tcPr>
            <w:tcW w:w="1967" w:type="dxa"/>
            <w:tcBorders/>
          </w:tcPr>
          <w:p w14:paraId="6C2EB73E">
            <w:pPr>
              <w:pStyle w:val="style0"/>
              <w:rPr/>
            </w:pPr>
            <w:r>
              <w:rPr>
                <w:b w:val="false"/>
                <w:sz w:val="12"/>
              </w:rPr>
              <w:t>Muss</w:t>
            </w:r>
          </w:p>
        </w:tc>
        <w:tc>
          <w:tcPr>
            <w:tcW w:w="1967" w:type="dxa"/>
            <w:tcBorders/>
          </w:tcPr>
          <w:p w14:paraId="6967E3B2">
            <w:pPr>
              <w:pStyle w:val="style0"/>
              <w:rPr/>
            </w:pPr>
            <w:r>
              <w:rPr>
                <w:b w:val="false"/>
                <w:sz w:val="12"/>
              </w:rPr>
              <w:t>DEC-027</w:t>
            </w:r>
          </w:p>
        </w:tc>
        <w:tc>
          <w:tcPr>
            <w:tcW w:w="1967" w:type="dxa"/>
            <w:tcBorders/>
          </w:tcPr>
          <w:p w14:paraId="3D014454">
            <w:pPr>
              <w:pStyle w:val="style0"/>
              <w:rPr/>
            </w:pPr>
            <w:r>
              <w:rPr>
                <w:b w:val="false"/>
                <w:sz w:val="12"/>
              </w:rPr>
              <w:t>Evaluation; Monitoring; Kontrollmechanismen</w:t>
            </w:r>
          </w:p>
        </w:tc>
        <w:tc>
          <w:tcPr>
            <w:tcW w:w="1967" w:type="dxa"/>
            <w:tcBorders/>
          </w:tcPr>
          <w:p w14:paraId="674FEFF6">
            <w:pPr>
              <w:pStyle w:val="style0"/>
              <w:rPr/>
            </w:pPr>
            <w:r>
              <w:rPr>
                <w:b w:val="false"/>
                <w:sz w:val="12"/>
              </w:rPr>
              <w:t>Der konsolidierte Snapshot kann freigegebene Teilvorschläge und NO_RELEASED_PROPOSAL enthalten; spätere oder hypothetische Berechnungen ersetzen die fehlende Referenz nicht.</w:t>
            </w:r>
          </w:p>
        </w:tc>
        <w:tc>
          <w:tcPr>
            <w:tcW w:w="1967" w:type="dxa"/>
            <w:tcBorders/>
          </w:tcPr>
          <w:p w14:paraId="98C912DB">
            <w:pPr>
              <w:pStyle w:val="style0"/>
              <w:rPr/>
            </w:pPr>
            <w:r>
              <w:rPr>
                <w:b w:val="false"/>
                <w:sz w:val="12"/>
              </w:rPr>
              <w:t>Offen</w:t>
            </w:r>
          </w:p>
        </w:tc>
      </w:tr>
      <w:tr w14:paraId="BDB8D8AA">
        <w:tblPrEx/>
        <w:trPr>
          <w:jc w:val="center"/>
        </w:trPr>
        <w:tc>
          <w:tcPr>
            <w:tcW w:w="1967" w:type="dxa"/>
            <w:tcBorders/>
          </w:tcPr>
          <w:p w14:paraId="86E9ED42">
            <w:pPr>
              <w:pStyle w:val="style0"/>
              <w:rPr/>
            </w:pPr>
            <w:r>
              <w:rPr>
                <w:b w:val="false"/>
                <w:sz w:val="12"/>
              </w:rPr>
              <w:t>REQ-MON-014</w:t>
            </w:r>
          </w:p>
        </w:tc>
        <w:tc>
          <w:tcPr>
            <w:tcW w:w="1967" w:type="dxa"/>
            <w:tcBorders/>
          </w:tcPr>
          <w:p w14:paraId="10E99375">
            <w:pPr>
              <w:pStyle w:val="style0"/>
              <w:rPr/>
            </w:pPr>
            <w:r>
              <w:rPr>
                <w:b w:val="false"/>
                <w:sz w:val="12"/>
              </w:rPr>
              <w:t>Funktional</w:t>
            </w:r>
          </w:p>
        </w:tc>
        <w:tc>
          <w:tcPr>
            <w:tcW w:w="1967" w:type="dxa"/>
            <w:tcBorders/>
          </w:tcPr>
          <w:p w14:paraId="2F9DCD62">
            <w:pPr>
              <w:pStyle w:val="style0"/>
              <w:rPr/>
            </w:pPr>
            <w:r>
              <w:rPr>
                <w:b w:val="false"/>
                <w:sz w:val="12"/>
              </w:rPr>
              <w:t>Nachträglich vom Manager als tatsächlich wirksam gemeldete Änderungen müssen als rechtzeitig übernommene Managerentscheidungen dokumentiert werden können, ohne eine nachträgliche Fristrekonstruktion zu erzwingen.</w:t>
            </w:r>
          </w:p>
        </w:tc>
        <w:tc>
          <w:tcPr>
            <w:tcW w:w="1967" w:type="dxa"/>
            <w:tcBorders/>
          </w:tcPr>
          <w:p w14:paraId="C6CE8C33">
            <w:pPr>
              <w:pStyle w:val="style0"/>
              <w:rPr/>
            </w:pPr>
            <w:r>
              <w:rPr>
                <w:b w:val="false"/>
                <w:sz w:val="12"/>
              </w:rPr>
              <w:t>Muss</w:t>
            </w:r>
          </w:p>
        </w:tc>
        <w:tc>
          <w:tcPr>
            <w:tcW w:w="1967" w:type="dxa"/>
            <w:tcBorders/>
          </w:tcPr>
          <w:p w14:paraId="85D3FB0F">
            <w:pPr>
              <w:pStyle w:val="style0"/>
              <w:rPr/>
            </w:pPr>
            <w:r>
              <w:rPr>
                <w:b w:val="false"/>
                <w:sz w:val="12"/>
              </w:rPr>
              <w:t>DEC-027</w:t>
            </w:r>
          </w:p>
        </w:tc>
        <w:tc>
          <w:tcPr>
            <w:tcW w:w="1967" w:type="dxa"/>
            <w:tcBorders/>
          </w:tcPr>
          <w:p w14:paraId="C3248AEB">
            <w:pPr>
              <w:pStyle w:val="style0"/>
              <w:rPr/>
            </w:pPr>
            <w:r>
              <w:rPr>
                <w:b w:val="false"/>
                <w:sz w:val="12"/>
              </w:rPr>
              <w:t>Monitoring; Projektdokumentation</w:t>
            </w:r>
          </w:p>
        </w:tc>
        <w:tc>
          <w:tcPr>
            <w:tcW w:w="1967" w:type="dxa"/>
            <w:tcBorders/>
          </w:tcPr>
          <w:p w14:paraId="D11A32D6">
            <w:pPr>
              <w:pStyle w:val="style0"/>
              <w:rPr/>
            </w:pPr>
            <w:r>
              <w:rPr>
                <w:b w:val="false"/>
                <w:sz w:val="12"/>
              </w:rPr>
              <w:t>Eine nachträglich gemeldete wirksame Änderung wird mit Managerangabe und Erfassungszeitpunkt gespeichert; nicht rechtzeitige Änderungsversuche werden nicht als Managerentscheidung erfasst.</w:t>
            </w:r>
          </w:p>
        </w:tc>
        <w:tc>
          <w:tcPr>
            <w:tcW w:w="1967" w:type="dxa"/>
            <w:tcBorders/>
          </w:tcPr>
          <w:p w14:paraId="C7E87BBB">
            <w:pPr>
              <w:pStyle w:val="style0"/>
              <w:rPr/>
            </w:pPr>
            <w:r>
              <w:rPr>
                <w:b w:val="false"/>
                <w:sz w:val="12"/>
              </w:rPr>
              <w:t>Offen</w:t>
            </w:r>
          </w:p>
        </w:tc>
      </w:tr>
      <w:tr w14:paraId="44FEF34C">
        <w:tblPrEx/>
        <w:trPr>
          <w:jc w:val="center"/>
        </w:trPr>
        <w:tc>
          <w:tcPr>
            <w:tcW w:w="1967" w:type="dxa"/>
            <w:tcBorders/>
          </w:tcPr>
          <w:p w14:paraId="DDF1A4E6">
            <w:pPr>
              <w:pStyle w:val="style0"/>
              <w:rPr/>
            </w:pPr>
            <w:r>
              <w:rPr>
                <w:b w:val="false"/>
                <w:sz w:val="12"/>
              </w:rPr>
              <w:t>REQ-MON-015</w:t>
            </w:r>
          </w:p>
        </w:tc>
        <w:tc>
          <w:tcPr>
            <w:tcW w:w="1967" w:type="dxa"/>
            <w:tcBorders/>
          </w:tcPr>
          <w:p w14:paraId="6165C97D">
            <w:pPr>
              <w:pStyle w:val="style0"/>
              <w:rPr/>
            </w:pPr>
            <w:r>
              <w:rPr>
                <w:b w:val="false"/>
                <w:sz w:val="12"/>
              </w:rPr>
              <w:t>Funktional</w:t>
            </w:r>
          </w:p>
        </w:tc>
        <w:tc>
          <w:tcPr>
            <w:tcW w:w="1967" w:type="dxa"/>
            <w:tcBorders/>
          </w:tcPr>
          <w:p w14:paraId="8628D960">
            <w:pPr>
              <w:pStyle w:val="style0"/>
              <w:rPr/>
            </w:pPr>
            <w:r>
              <w:rPr>
                <w:b w:val="false"/>
                <w:sz w:val="12"/>
              </w:rPr>
              <w:t>Ein bereits freigegebener Modellvorschlag muss für einen Aufstellungsbestandteil Evaluationsreferenz bleiben, wenn vor dessen Sperre kein neuer freigegebener Vorschlag erzeugt wurde.</w:t>
            </w:r>
          </w:p>
        </w:tc>
        <w:tc>
          <w:tcPr>
            <w:tcW w:w="1967" w:type="dxa"/>
            <w:tcBorders/>
          </w:tcPr>
          <w:p w14:paraId="6CA46FF3">
            <w:pPr>
              <w:pStyle w:val="style0"/>
              <w:rPr/>
            </w:pPr>
            <w:r>
              <w:rPr>
                <w:b w:val="false"/>
                <w:sz w:val="12"/>
              </w:rPr>
              <w:t>Muss</w:t>
            </w:r>
          </w:p>
        </w:tc>
        <w:tc>
          <w:tcPr>
            <w:tcW w:w="1967" w:type="dxa"/>
            <w:tcBorders/>
          </w:tcPr>
          <w:p w14:paraId="1C4C36AE">
            <w:pPr>
              <w:pStyle w:val="style0"/>
              <w:rPr/>
            </w:pPr>
            <w:r>
              <w:rPr>
                <w:b w:val="false"/>
                <w:sz w:val="12"/>
              </w:rPr>
              <w:t>DEC-027; DEC-020</w:t>
            </w:r>
          </w:p>
        </w:tc>
        <w:tc>
          <w:tcPr>
            <w:tcW w:w="1967" w:type="dxa"/>
            <w:tcBorders/>
          </w:tcPr>
          <w:p w14:paraId="639C29C9">
            <w:pPr>
              <w:pStyle w:val="style0"/>
              <w:rPr/>
            </w:pPr>
            <w:r>
              <w:rPr>
                <w:b w:val="false"/>
                <w:sz w:val="12"/>
              </w:rPr>
              <w:t>Monitoring; Evaluation</w:t>
            </w:r>
          </w:p>
        </w:tc>
        <w:tc>
          <w:tcPr>
            <w:tcW w:w="1967" w:type="dxa"/>
            <w:tcBorders/>
          </w:tcPr>
          <w:p w14:paraId="FB58855F">
            <w:pPr>
              <w:pStyle w:val="style0"/>
              <w:rPr/>
            </w:pPr>
            <w:r>
              <w:rPr>
                <w:b w:val="false"/>
                <w:sz w:val="12"/>
              </w:rPr>
              <w:t>Für jeden Bestandteil wird entweder der letzte rechtzeitig freigegebene Vorschlag oder NO_RELEASED_PROPOSAL eindeutig bestimmt.</w:t>
            </w:r>
          </w:p>
        </w:tc>
        <w:tc>
          <w:tcPr>
            <w:tcW w:w="1967" w:type="dxa"/>
            <w:tcBorders/>
          </w:tcPr>
          <w:p w14:paraId="CF2C6609">
            <w:pPr>
              <w:pStyle w:val="style0"/>
              <w:rPr/>
            </w:pPr>
            <w:r>
              <w:rPr>
                <w:b w:val="false"/>
                <w:sz w:val="12"/>
              </w:rPr>
              <w:t>Offen</w:t>
            </w:r>
          </w:p>
        </w:tc>
      </w:tr>
      <w:tr w14:paraId="0B2A6C3E">
        <w:tblPrEx/>
        <w:trPr>
          <w:jc w:val="center"/>
        </w:trPr>
        <w:tc>
          <w:tcPr>
            <w:tcW w:w="1967" w:type="dxa"/>
            <w:tcBorders/>
          </w:tcPr>
          <w:p w14:paraId="C986FE45">
            <w:pPr>
              <w:pStyle w:val="style0"/>
              <w:rPr/>
            </w:pPr>
            <w:r>
              <w:rPr>
                <w:b w:val="false"/>
                <w:sz w:val="12"/>
              </w:rPr>
              <w:t>REQ-MOD-005</w:t>
            </w:r>
          </w:p>
        </w:tc>
        <w:tc>
          <w:tcPr>
            <w:tcW w:w="1967" w:type="dxa"/>
            <w:tcBorders/>
          </w:tcPr>
          <w:p w14:paraId="77298C08">
            <w:pPr>
              <w:pStyle w:val="style0"/>
              <w:rPr/>
            </w:pPr>
            <w:r>
              <w:rPr>
                <w:b w:val="false"/>
                <w:sz w:val="12"/>
              </w:rPr>
              <w:t>Funktional</w:t>
            </w:r>
          </w:p>
        </w:tc>
        <w:tc>
          <w:tcPr>
            <w:tcW w:w="1967" w:type="dxa"/>
            <w:tcBorders/>
          </w:tcPr>
          <w:p w14:paraId="D8A5F5D1">
            <w:pPr>
              <w:pStyle w:val="style0"/>
              <w:rPr/>
            </w:pPr>
            <w:r>
              <w:rPr>
                <w:b w:val="false"/>
                <w:sz w:val="12"/>
              </w:rPr>
              <w:t>Nicht bekannte aktuelle Aufstellungen anderer Teilnehmer dürfen nur als prognostizierte Aufstellungen mit Grundlage und Unsicherheit verarbeitet und nicht als bekannte Tatsachen behandelt werden.</w:t>
            </w:r>
          </w:p>
        </w:tc>
        <w:tc>
          <w:tcPr>
            <w:tcW w:w="1967" w:type="dxa"/>
            <w:tcBorders/>
          </w:tcPr>
          <w:p w14:paraId="57647DF9">
            <w:pPr>
              <w:pStyle w:val="style0"/>
              <w:rPr/>
            </w:pPr>
            <w:r>
              <w:rPr>
                <w:b w:val="false"/>
                <w:sz w:val="12"/>
              </w:rPr>
              <w:t>Muss</w:t>
            </w:r>
          </w:p>
        </w:tc>
        <w:tc>
          <w:tcPr>
            <w:tcW w:w="1967" w:type="dxa"/>
            <w:tcBorders/>
          </w:tcPr>
          <w:p w14:paraId="57C4C764">
            <w:pPr>
              <w:pStyle w:val="style0"/>
              <w:rPr/>
            </w:pPr>
            <w:r>
              <w:rPr>
                <w:b w:val="false"/>
                <w:sz w:val="12"/>
              </w:rPr>
              <w:t>DEC-027</w:t>
            </w:r>
          </w:p>
        </w:tc>
        <w:tc>
          <w:tcPr>
            <w:tcW w:w="1967" w:type="dxa"/>
            <w:tcBorders/>
          </w:tcPr>
          <w:p w14:paraId="E83134B8">
            <w:pPr>
              <w:pStyle w:val="style0"/>
              <w:rPr/>
            </w:pPr>
            <w:r>
              <w:rPr>
                <w:b w:val="false"/>
                <w:sz w:val="12"/>
              </w:rPr>
              <w:t>Decision Engine; Monitoring; Evaluation</w:t>
            </w:r>
          </w:p>
        </w:tc>
        <w:tc>
          <w:tcPr>
            <w:tcW w:w="1967" w:type="dxa"/>
            <w:tcBorders/>
          </w:tcPr>
          <w:p w14:paraId="AB11163B">
            <w:pPr>
              <w:pStyle w:val="style0"/>
              <w:rPr/>
            </w:pPr>
            <w:r>
              <w:rPr>
                <w:b w:val="false"/>
                <w:sz w:val="12"/>
              </w:rPr>
              <w:t>Jede verwendete gegnerische Aufstellung trägt den Status bekannt oder prognostiziert; Prognosen dokumentieren Grundlage und Unsicherheit.</w:t>
            </w:r>
          </w:p>
        </w:tc>
        <w:tc>
          <w:tcPr>
            <w:tcW w:w="1967" w:type="dxa"/>
            <w:tcBorders/>
          </w:tcPr>
          <w:p w14:paraId="C1C16B5C">
            <w:pPr>
              <w:pStyle w:val="style0"/>
              <w:rPr/>
            </w:pPr>
            <w:r>
              <w:rPr>
                <w:b w:val="false"/>
                <w:sz w:val="12"/>
              </w:rPr>
              <w:t>Offen</w:t>
            </w:r>
          </w:p>
        </w:tc>
      </w:tr>
      <w:tr w14:paraId="FC23942A">
        <w:tblPrEx/>
        <w:trPr>
          <w:jc w:val="center"/>
        </w:trPr>
        <w:tc>
          <w:tcPr>
            <w:tcW w:w="1967" w:type="dxa"/>
            <w:tcBorders/>
          </w:tcPr>
          <w:p w14:paraId="ECDD5D8B">
            <w:pPr>
              <w:pStyle w:val="style0"/>
              <w:rPr/>
            </w:pPr>
            <w:r>
              <w:rPr>
                <w:b w:val="false"/>
                <w:sz w:val="12"/>
              </w:rPr>
              <w:t>REQ-CTL-003</w:t>
            </w:r>
          </w:p>
        </w:tc>
        <w:tc>
          <w:tcPr>
            <w:tcW w:w="1967" w:type="dxa"/>
            <w:tcBorders/>
          </w:tcPr>
          <w:p w14:paraId="5A5E024D">
            <w:pPr>
              <w:pStyle w:val="style0"/>
              <w:rPr/>
            </w:pPr>
            <w:r>
              <w:rPr>
                <w:b w:val="false"/>
                <w:sz w:val="12"/>
              </w:rPr>
              <w:t>Kontrolle</w:t>
            </w:r>
          </w:p>
        </w:tc>
        <w:tc>
          <w:tcPr>
            <w:tcW w:w="1967" w:type="dxa"/>
            <w:tcBorders/>
          </w:tcPr>
          <w:p w14:paraId="D9647A85">
            <w:pPr>
              <w:pStyle w:val="style0"/>
              <w:rPr/>
            </w:pPr>
            <w:r>
              <w:rPr>
                <w:b w:val="false"/>
                <w:sz w:val="12"/>
              </w:rPr>
              <w:t>Automatisch erzeugte Modellstände dürfen nur dann intern freigegeben werden, wenn die dafür definierten Daten-, Qualitäts- und Kontrollvoraussetzungen erfüllt sind.</w:t>
            </w:r>
          </w:p>
        </w:tc>
        <w:tc>
          <w:tcPr>
            <w:tcW w:w="1967" w:type="dxa"/>
            <w:tcBorders/>
          </w:tcPr>
          <w:p w14:paraId="1C331F5B">
            <w:pPr>
              <w:pStyle w:val="style0"/>
              <w:rPr/>
            </w:pPr>
            <w:r>
              <w:rPr>
                <w:b w:val="false"/>
                <w:sz w:val="12"/>
              </w:rPr>
              <w:t>Muss</w:t>
            </w:r>
          </w:p>
        </w:tc>
        <w:tc>
          <w:tcPr>
            <w:tcW w:w="1967" w:type="dxa"/>
            <w:tcBorders/>
          </w:tcPr>
          <w:p w14:paraId="6CC774F9">
            <w:pPr>
              <w:pStyle w:val="style0"/>
              <w:rPr/>
            </w:pPr>
            <w:r>
              <w:rPr>
                <w:b w:val="false"/>
                <w:sz w:val="12"/>
              </w:rPr>
              <w:t>DEC-027</w:t>
            </w:r>
          </w:p>
        </w:tc>
        <w:tc>
          <w:tcPr>
            <w:tcW w:w="1967" w:type="dxa"/>
            <w:tcBorders/>
          </w:tcPr>
          <w:p w14:paraId="63DF4BAC">
            <w:pPr>
              <w:pStyle w:val="style0"/>
              <w:rPr/>
            </w:pPr>
            <w:r>
              <w:rPr>
                <w:b w:val="false"/>
                <w:sz w:val="12"/>
              </w:rPr>
              <w:t>Kontrollmechanismen; Monitoring; Rohdaten</w:t>
            </w:r>
          </w:p>
        </w:tc>
        <w:tc>
          <w:tcPr>
            <w:tcW w:w="1967" w:type="dxa"/>
            <w:tcBorders/>
          </w:tcPr>
          <w:p w14:paraId="9D3F412A">
            <w:pPr>
              <w:pStyle w:val="style0"/>
              <w:rPr/>
            </w:pPr>
            <w:r>
              <w:rPr>
                <w:b w:val="false"/>
                <w:sz w:val="12"/>
              </w:rPr>
              <w:t>Eine automatische Freigabe ist ohne erfüllte Qualitätsprüfung technisch ausgeschlossen; bei fehlenden Voraussetzungen bleibt der Stand Entwurf/Zwischenstand.</w:t>
            </w:r>
          </w:p>
        </w:tc>
        <w:tc>
          <w:tcPr>
            <w:tcW w:w="1967" w:type="dxa"/>
            <w:tcBorders/>
          </w:tcPr>
          <w:p w14:paraId="95FBBFCD">
            <w:pPr>
              <w:pStyle w:val="style0"/>
              <w:rPr/>
            </w:pPr>
            <w:r>
              <w:rPr>
                <w:b w:val="false"/>
                <w:sz w:val="12"/>
              </w:rPr>
              <w:t>Offen</w:t>
            </w:r>
          </w:p>
        </w:tc>
      </w:tr>
      <w:tr w14:paraId="65DCC22F">
        <w:tblPrEx/>
        <w:trPr>
          <w:jc w:val="center"/>
        </w:trPr>
        <w:tc>
          <w:tcPr>
            <w:tcW w:w="1967" w:type="dxa"/>
            <w:tcBorders/>
          </w:tcPr>
          <w:p w14:paraId="3C5E2CF4">
            <w:pPr>
              <w:pStyle w:val="style0"/>
              <w:rPr/>
            </w:pPr>
            <w:r>
              <w:rPr>
                <w:b w:val="false"/>
                <w:sz w:val="12"/>
              </w:rPr>
              <w:t>REQ-SSOT-004</w:t>
            </w:r>
          </w:p>
        </w:tc>
        <w:tc>
          <w:tcPr>
            <w:tcW w:w="1967" w:type="dxa"/>
            <w:tcBorders/>
          </w:tcPr>
          <w:p w14:paraId="E7B34FFD">
            <w:pPr>
              <w:pStyle w:val="style0"/>
              <w:rPr/>
            </w:pPr>
            <w:r>
              <w:rPr>
                <w:b w:val="false"/>
                <w:sz w:val="12"/>
              </w:rPr>
              <w:t>Daten</w:t>
            </w:r>
          </w:p>
        </w:tc>
        <w:tc>
          <w:tcPr>
            <w:tcW w:w="1967" w:type="dxa"/>
            <w:tcBorders/>
          </w:tcPr>
          <w:p w14:paraId="3DD5A320">
            <w:pPr>
              <w:pStyle w:val="style0"/>
              <w:rPr/>
            </w:pPr>
            <w:r>
              <w:rPr>
                <w:b w:val="false"/>
                <w:sz w:val="12"/>
              </w:rPr>
              <w:t>Die SSOT darf für MS1 nur solche dauerhaften Spielerinformationen als Pflicht- oder Regelstammdaten führen, die für eindeutige Identifikation, regelkonforme Zuordnung, Datenmapping oder Reproduzierbarkeit konkret erforderlich sind. Weitere personenbezogene oder sportliche Stammdaten werden nur bei nachgewiesenem fachlichem Bedarf ergänzt.</w:t>
            </w:r>
          </w:p>
        </w:tc>
        <w:tc>
          <w:tcPr>
            <w:tcW w:w="1967" w:type="dxa"/>
            <w:tcBorders/>
          </w:tcPr>
          <w:p w14:paraId="4BE27551">
            <w:pPr>
              <w:pStyle w:val="style0"/>
              <w:rPr/>
            </w:pPr>
            <w:r>
              <w:rPr>
                <w:b w:val="false"/>
                <w:sz w:val="12"/>
              </w:rPr>
              <w:t>Muss</w:t>
            </w:r>
          </w:p>
        </w:tc>
        <w:tc>
          <w:tcPr>
            <w:tcW w:w="1967" w:type="dxa"/>
            <w:tcBorders/>
          </w:tcPr>
          <w:p w14:paraId="AA81F723">
            <w:pPr>
              <w:pStyle w:val="style0"/>
              <w:rPr/>
            </w:pPr>
            <w:r>
              <w:rPr>
                <w:b w:val="false"/>
                <w:sz w:val="12"/>
              </w:rPr>
              <w:t>DEC-028</w:t>
            </w:r>
          </w:p>
        </w:tc>
        <w:tc>
          <w:tcPr>
            <w:tcW w:w="1967" w:type="dxa"/>
            <w:tcBorders/>
          </w:tcPr>
          <w:p w14:paraId="5AA12070">
            <w:pPr>
              <w:pStyle w:val="style0"/>
              <w:rPr/>
            </w:pPr>
            <w:r>
              <w:rPr>
                <w:b w:val="false"/>
                <w:sz w:val="12"/>
              </w:rPr>
              <w:t>SSOT; Projektsteuerung</w:t>
            </w:r>
          </w:p>
        </w:tc>
        <w:tc>
          <w:tcPr>
            <w:tcW w:w="1967" w:type="dxa"/>
            <w:tcBorders/>
          </w:tcPr>
          <w:p w14:paraId="0479CB76">
            <w:pPr>
              <w:pStyle w:val="style0"/>
              <w:rPr/>
            </w:pPr>
            <w:r>
              <w:rPr>
                <w:b w:val="false"/>
                <w:sz w:val="12"/>
              </w:rPr>
              <w:t>Für jedes dauerhafte Spielerfeld der MS1-SSOT ist ein konkreter Verwendungszweck aus Identifikation, Zuordnung, Mapping oder Reproduzierbarkeit dokumentiert. Felder ohne solchen Bedarf sind nicht Teil des verbindlichen MS1-Pflichtumfangs; spätere Erweiterungen sind als begründete Fortschreibung möglich.</w:t>
            </w:r>
          </w:p>
        </w:tc>
        <w:tc>
          <w:tcPr>
            <w:tcW w:w="1967" w:type="dxa"/>
            <w:tcBorders/>
          </w:tcPr>
          <w:p w14:paraId="A8A0BA1C">
            <w:pPr>
              <w:pStyle w:val="style0"/>
              <w:rPr/>
            </w:pPr>
            <w:r>
              <w:rPr>
                <w:b w:val="false"/>
                <w:sz w:val="12"/>
              </w:rPr>
              <w:t>Offen</w:t>
            </w:r>
          </w:p>
        </w:tc>
      </w:tr>
      <w:tr w14:paraId="0A31AD82">
        <w:tblPrEx/>
        <w:trPr>
          <w:jc w:val="center"/>
        </w:trPr>
        <w:tc>
          <w:tcPr>
            <w:tcW w:w="1967" w:type="dxa"/>
            <w:tcBorders/>
          </w:tcPr>
          <w:p w14:paraId="0D682C68">
            <w:pPr>
              <w:pStyle w:val="style0"/>
              <w:rPr/>
            </w:pPr>
            <w:r>
              <w:rPr>
                <w:b w:val="false"/>
                <w:sz w:val="12"/>
              </w:rPr>
              <w:t>REQ-MON-016</w:t>
            </w:r>
          </w:p>
        </w:tc>
        <w:tc>
          <w:tcPr>
            <w:tcW w:w="1967" w:type="dxa"/>
            <w:tcBorders/>
          </w:tcPr>
          <w:p w14:paraId="807FAE36">
            <w:pPr>
              <w:pStyle w:val="style0"/>
              <w:rPr/>
            </w:pPr>
            <w:r>
              <w:rPr>
                <w:b w:val="false"/>
                <w:sz w:val="12"/>
              </w:rPr>
              <w:t>Funktional</w:t>
            </w:r>
          </w:p>
        </w:tc>
        <w:tc>
          <w:tcPr>
            <w:tcW w:w="1967" w:type="dxa"/>
            <w:tcBorders/>
          </w:tcPr>
          <w:p w14:paraId="13F4A4BC">
            <w:pPr>
              <w:pStyle w:val="style0"/>
              <w:rPr/>
            </w:pPr>
            <w:r>
              <w:rPr>
                <w:b w:val="false"/>
                <w:sz w:val="12"/>
              </w:rPr>
              <w:t>Das Monitoring muss bei einer Spieltagsempfehlung zukünftige relevante Sperrzeitpunkte erkennen und fachlich sinnvolle erneute Prüfzeitpunkte ableiten können. Der Re-Check-Plan muss mindestens betroffene Aufstellungsbestandteile, offene entscheidungsrelevante Informationen, empfohlenen Prüfzeitpunkt, Priorität/Dringlichkeit, Begründung und den Fall „kein weiterer Re-Check sinnvoll“ abbilden. Terminänderungen müssen offene Re-Check-Pläne neu bewerten.</w:t>
            </w:r>
          </w:p>
        </w:tc>
        <w:tc>
          <w:tcPr>
            <w:tcW w:w="1967" w:type="dxa"/>
            <w:tcBorders/>
          </w:tcPr>
          <w:p w14:paraId="4F53FF52">
            <w:pPr>
              <w:pStyle w:val="style0"/>
              <w:rPr/>
            </w:pPr>
            <w:r>
              <w:rPr>
                <w:b w:val="false"/>
                <w:sz w:val="12"/>
              </w:rPr>
              <w:t>Muss</w:t>
            </w:r>
          </w:p>
        </w:tc>
        <w:tc>
          <w:tcPr>
            <w:tcW w:w="1967" w:type="dxa"/>
            <w:tcBorders/>
          </w:tcPr>
          <w:p w14:paraId="B2603AA5">
            <w:pPr>
              <w:pStyle w:val="style0"/>
              <w:rPr/>
            </w:pPr>
            <w:r>
              <w:rPr>
                <w:b w:val="false"/>
                <w:sz w:val="12"/>
              </w:rPr>
              <w:t>DEC-029</w:t>
            </w:r>
          </w:p>
        </w:tc>
        <w:tc>
          <w:tcPr>
            <w:tcW w:w="1967" w:type="dxa"/>
            <w:tcBorders/>
          </w:tcPr>
          <w:p w14:paraId="B9635B04">
            <w:pPr>
              <w:pStyle w:val="style0"/>
              <w:rPr/>
            </w:pPr>
            <w:r>
              <w:rPr>
                <w:b w:val="false"/>
                <w:sz w:val="12"/>
              </w:rPr>
              <w:t>Monitoring; Decision Engine; Erinnerungen; Kontrollmechanismen</w:t>
            </w:r>
          </w:p>
        </w:tc>
        <w:tc>
          <w:tcPr>
            <w:tcW w:w="1967" w:type="dxa"/>
            <w:tcBorders/>
          </w:tcPr>
          <w:p w14:paraId="6B115CCD">
            <w:pPr>
              <w:pStyle w:val="style0"/>
              <w:rPr/>
            </w:pPr>
            <w:r>
              <w:rPr>
                <w:b w:val="false"/>
                <w:sz w:val="12"/>
              </w:rPr>
              <w:t>Ein Testspieltag mit gestaffelten Anpfiffen erzeugt reproduzierbar objektive Sperrzeitpunkte und davon getrennte empfohlene Re-Check-Zeitpunkte; nahe Sperren können gemäß versionierter Policy gebündelt werden; Terminänderungen führen zur Neuberechnung; die verwendete Policyversion ist referenzierbar.</w:t>
            </w:r>
          </w:p>
        </w:tc>
        <w:tc>
          <w:tcPr>
            <w:tcW w:w="1967" w:type="dxa"/>
            <w:tcBorders/>
          </w:tcPr>
          <w:p w14:paraId="DA206CE9">
            <w:pPr>
              <w:pStyle w:val="style0"/>
              <w:rPr/>
            </w:pPr>
            <w:r>
              <w:rPr>
                <w:b w:val="false"/>
                <w:sz w:val="12"/>
              </w:rPr>
              <w:t>Offen</w:t>
            </w:r>
          </w:p>
        </w:tc>
      </w:tr>
      <w:tr w14:paraId="B9ECAB64">
        <w:tblPrEx/>
        <w:trPr>
          <w:jc w:val="center"/>
        </w:trPr>
        <w:tc>
          <w:tcPr>
            <w:tcW w:w="1967" w:type="dxa"/>
            <w:tcBorders/>
          </w:tcPr>
          <w:p w14:paraId="9F935F41">
            <w:pPr>
              <w:pStyle w:val="style0"/>
              <w:rPr/>
            </w:pPr>
            <w:r>
              <w:t>REQ-SSOT-005</w:t>
            </w:r>
          </w:p>
        </w:tc>
        <w:tc>
          <w:tcPr>
            <w:tcW w:w="1967" w:type="dxa"/>
            <w:tcBorders/>
          </w:tcPr>
          <w:p w14:paraId="03726F1F">
            <w:pPr>
              <w:pStyle w:val="style0"/>
              <w:rPr/>
            </w:pPr>
            <w:r>
              <w:t>Daten/Governance</w:t>
            </w:r>
          </w:p>
        </w:tc>
        <w:tc>
          <w:tcPr>
            <w:tcW w:w="1967" w:type="dxa"/>
            <w:tcBorders/>
          </w:tcPr>
          <w:p w14:paraId="10E3A231">
            <w:pPr>
              <w:pStyle w:val="style0"/>
              <w:rPr/>
            </w:pPr>
            <w:r>
              <w:t>Eine neue interne Spieler- oder Vereinsidentität darf nur als Folge eines dokumentierten positiven fachlichen Erstlegitimationsentscheids erzeugt werden. Vor der Erzeugung müssen Eindeutigkeit, Nichtvorliegen einer zutreffenden bestehenden internen Identität, Dubletten-/Mehrdeutigkeitslage und Evidence geprüft sein. Der Entscheid muss über legitimation_ref dauerhaft auf Evidence, Entscheidungszeitpunkt, Autorisierung und erzeugte interne ID rückführbar sein. Ohne erfüllte Erstlegitimationsbedingungen darf keine interne ID erzeugt werden.</w:t>
            </w:r>
          </w:p>
        </w:tc>
        <w:tc>
          <w:tcPr>
            <w:tcW w:w="1967" w:type="dxa"/>
            <w:tcBorders/>
          </w:tcPr>
          <w:p w14:paraId="0FD62E81">
            <w:pPr>
              <w:pStyle w:val="style0"/>
              <w:rPr/>
            </w:pPr>
            <w:r>
              <w:t>Muss</w:t>
            </w:r>
          </w:p>
        </w:tc>
        <w:tc>
          <w:tcPr>
            <w:tcW w:w="1967" w:type="dxa"/>
            <w:tcBorders/>
          </w:tcPr>
          <w:p w14:paraId="2478E3A0">
            <w:pPr>
              <w:pStyle w:val="style0"/>
              <w:rPr/>
            </w:pPr>
            <w:r>
              <w:t>DEC-030</w:t>
            </w:r>
          </w:p>
        </w:tc>
        <w:tc>
          <w:tcPr>
            <w:tcW w:w="1967" w:type="dxa"/>
            <w:tcBorders/>
          </w:tcPr>
          <w:p w14:paraId="EA032B51">
            <w:pPr>
              <w:pStyle w:val="style0"/>
              <w:rPr/>
            </w:pPr>
            <w:r>
              <w:t>SSOT; Kontrollmechanismen; Projektsteuerung</w:t>
            </w:r>
          </w:p>
        </w:tc>
        <w:tc>
          <w:tcPr>
            <w:tcW w:w="1967" w:type="dxa"/>
            <w:tcBorders/>
          </w:tcPr>
          <w:p w14:paraId="57F14F8C">
            <w:pPr>
              <w:pStyle w:val="style0"/>
              <w:rPr/>
            </w:pPr>
            <w:r>
              <w:t>Ein positiver Fall erzeugt genau eine stabile ID und bei geprüfter externer Identität ein nachvollziehbares CONFIRMED-Mapping. Wiederholung erzeugt keine Dublette. Name-only, unknown-external-ID-only, Mehrdeutigkeit, Dublettenverdacht, unzureichende Evidence und ID-Erzeugung ohne positiven legitimation_ref erzeugen keine ID und verbleiben REVIEW_REQUIRED. Eine spätere neue externe ID derselben realen Entität erzeugt keine neue interne ID. Evidence und Entscheid sind im Replay reproduzierbar.</w:t>
            </w:r>
          </w:p>
        </w:tc>
        <w:tc>
          <w:tcPr>
            <w:tcW w:w="1967" w:type="dxa"/>
            <w:tcBorders/>
          </w:tcPr>
          <w:p w14:paraId="12A01560">
            <w:pPr>
              <w:pStyle w:val="style0"/>
              <w:rPr/>
            </w:pPr>
            <w:r>
              <w:t>Offen</w:t>
            </w:r>
          </w:p>
        </w:tc>
      </w:tr>
      <w:tr w14:paraId="CCA5B10E">
        <w:tblPrEx/>
        <w:trPr>
          <w:jc w:val="center"/>
        </w:trPr>
        <w:tc>
          <w:tcPr>
            <w:tcW w:w="1967" w:type="dxa"/>
            <w:tcBorders/>
          </w:tcPr>
          <w:p w14:paraId="07C7AA6C">
            <w:pPr>
              <w:pStyle w:val="style0"/>
              <w:rPr/>
            </w:pPr>
            <w:r>
              <w:t>REQ-UI-001</w:t>
            </w:r>
          </w:p>
        </w:tc>
        <w:tc>
          <w:tcPr>
            <w:tcW w:w="1967" w:type="dxa"/>
            <w:tcBorders/>
          </w:tcPr>
          <w:p w14:paraId="5EFC1DEF">
            <w:pPr>
              <w:pStyle w:val="style0"/>
              <w:rPr/>
            </w:pPr>
            <w:r>
              <w:t>Funktional/Nichtfunktional</w:t>
            </w:r>
          </w:p>
        </w:tc>
        <w:tc>
          <w:tcPr>
            <w:tcW w:w="1967" w:type="dxa"/>
            <w:tcBorders/>
          </w:tcPr>
          <w:p w14:paraId="48E53D2D">
            <w:pPr>
              <w:pStyle w:val="style0"/>
              <w:rPr/>
            </w:pPr>
            <w:r>
              <w:t>Für den MS2-W3-Pilot muss eine minimale interaktive Schicht vorhanden sein, über die der Manager einen freigegebenen Empfehlungssnapshot einschließlich relevanter Status-, Sperr- und Re-Check-Informationen einsehen und eine davon getrennte Managerentscheidung erfassen kann. Die UI darf keine fachliche Berechnungs- oder Datenhoheit besitzen. Sämtliche angezeigten fachlichen Zustände und alle persistierten Entscheidungen müssen auf die zuständigen Fachobjekte, Runs und Versionen zurückführbar sein.</w:t>
            </w:r>
          </w:p>
        </w:tc>
        <w:tc>
          <w:tcPr>
            <w:tcW w:w="1967" w:type="dxa"/>
            <w:tcBorders/>
          </w:tcPr>
          <w:p w14:paraId="E21C4FB0">
            <w:pPr>
              <w:pStyle w:val="style0"/>
              <w:rPr/>
            </w:pPr>
            <w:r>
              <w:t>Muss</w:t>
            </w:r>
          </w:p>
        </w:tc>
        <w:tc>
          <w:tcPr>
            <w:tcW w:w="1967" w:type="dxa"/>
            <w:tcBorders/>
          </w:tcPr>
          <w:p w14:paraId="DE7B8AC5">
            <w:pPr>
              <w:pStyle w:val="style0"/>
              <w:rPr/>
            </w:pPr>
            <w:r>
              <w:t>DEC-031</w:t>
            </w:r>
          </w:p>
        </w:tc>
        <w:tc>
          <w:tcPr>
            <w:tcW w:w="1967" w:type="dxa"/>
            <w:tcBorders/>
          </w:tcPr>
          <w:p w14:paraId="09FC9A98">
            <w:pPr>
              <w:pStyle w:val="style0"/>
              <w:rPr/>
            </w:pPr>
            <w:r>
              <w:t>Monitoring; Decision Engine; Kontrollmechanismen</w:t>
            </w:r>
          </w:p>
        </w:tc>
        <w:tc>
          <w:tcPr>
            <w:tcW w:w="1967" w:type="dxa"/>
            <w:tcBorders/>
          </w:tcPr>
          <w:p w14:paraId="45AF0796">
            <w:pPr>
              <w:pStyle w:val="style0"/>
              <w:rPr/>
            </w:pPr>
            <w:r>
              <w:t>Ein freigegebener Snapshot ist eindeutig referenziert und samt Freigabe-/Vollständigkeits-/Blockadestatus, relevanten Locks und Re-Checks sichtbar. Der Manager kann folgen, abweichen oder ohne freigegebenen Modellbezug entscheiden; Override-Gründe bleiben freiwillig. Die Managerentscheidung wird getrennt vom Snapshot gespeichert und verändert diesen nicht. Die tatsächlich wirksame Aufstellung wird aus der Fachlogik übernommen. Zeit-, Run-, Daten-, Modell-, Snapshot- und Versionsbezüge bleiben nachvollziehbar. Die zugrunde liegende Fachlogik ist unabhängig von der UI testbar.</w:t>
            </w:r>
          </w:p>
        </w:tc>
        <w:tc>
          <w:tcPr>
            <w:tcW w:w="1967" w:type="dxa"/>
            <w:tcBorders/>
          </w:tcPr>
          <w:p w14:paraId="E4ECFC91">
            <w:pPr>
              <w:pStyle w:val="style0"/>
              <w:rPr/>
            </w:pPr>
            <w:r>
              <w:t>Offen</w:t>
            </w:r>
          </w:p>
        </w:tc>
      </w:tr>
      <w:tr w14:paraId="D934B2EE">
        <w:tblPrEx/>
        <w:trPr>
          <w:jc w:val="center"/>
        </w:trPr>
        <w:tc>
          <w:tcPr>
            <w:tcW w:w="1967" w:type="dxa"/>
            <w:tcBorders/>
          </w:tcPr>
          <w:p w14:paraId="D2BD7BCC">
            <w:pPr>
              <w:pStyle w:val="style0"/>
              <w:rPr/>
            </w:pPr>
            <w:r>
              <w:t>REQ-SSOT-006</w:t>
            </w:r>
          </w:p>
        </w:tc>
        <w:tc>
          <w:tcPr>
            <w:tcW w:w="1967" w:type="dxa"/>
            <w:tcBorders/>
          </w:tcPr>
          <w:p w14:paraId="1BEA496E">
            <w:pPr>
              <w:pStyle w:val="style0"/>
              <w:rPr/>
            </w:pPr>
            <w:r>
              <w:t>Daten/Governance</w:t>
            </w:r>
          </w:p>
        </w:tc>
        <w:tc>
          <w:tcPr>
            <w:tcW w:w="1967" w:type="dxa"/>
            <w:tcBorders/>
          </w:tcPr>
          <w:p w14:paraId="EE5A5407">
            <w:pPr>
              <w:pStyle w:val="style0"/>
              <w:rPr/>
            </w:pPr>
            <w:r>
              <w:t>Die SSOT muss eine belegte stichtagsbezogene Spieler–Verein-Zugehörigkeit getrennt von einer historischen Intervallzuordnung speichern können. Ein Stichtagsnachweis darf nicht als historischer valid_from interpretiert werden. Für einen fachlichen Verarbeitungskontext am bestätigten Stichtag darf eine geprüfte und freigegebene Current-State-Bestätigung die Vereinszuordnung für SSOT_PROCESSABLE erfüllen, sofern alle übrigen kritischen SSOT-Voraussetzungen erfüllt sind. Später ergänzte historische Gültigkeitsgrenzen müssen als neue historisierte Information gespeichert werden und dürfen den ursprünglichen Stichtagsnachweis oder dessen Evidence nicht überschreiben.</w:t>
            </w:r>
          </w:p>
        </w:tc>
        <w:tc>
          <w:tcPr>
            <w:tcW w:w="1967" w:type="dxa"/>
            <w:tcBorders/>
          </w:tcPr>
          <w:p w14:paraId="FD6016CE">
            <w:pPr>
              <w:pStyle w:val="style0"/>
              <w:rPr/>
            </w:pPr>
            <w:r>
              <w:t>Muss</w:t>
            </w:r>
          </w:p>
        </w:tc>
        <w:tc>
          <w:tcPr>
            <w:tcW w:w="1967" w:type="dxa"/>
            <w:tcBorders/>
          </w:tcPr>
          <w:p w14:paraId="07CB813D">
            <w:pPr>
              <w:pStyle w:val="style0"/>
              <w:rPr/>
            </w:pPr>
            <w:r>
              <w:t>DEC-032</w:t>
            </w:r>
          </w:p>
        </w:tc>
        <w:tc>
          <w:tcPr>
            <w:tcW w:w="1967" w:type="dxa"/>
            <w:tcBorders/>
          </w:tcPr>
          <w:p w14:paraId="0264116F">
            <w:pPr>
              <w:pStyle w:val="style0"/>
              <w:rPr/>
            </w:pPr>
            <w:r>
              <w:t>SSOT; Kontrollmechanismen; Projektsteuerung</w:t>
            </w:r>
          </w:p>
        </w:tc>
        <w:tc>
          <w:tcPr>
            <w:tcW w:w="1967" w:type="dxa"/>
            <w:tcBorders/>
          </w:tcPr>
          <w:p w14:paraId="7320518C">
            <w:pPr>
              <w:pStyle w:val="style0"/>
              <w:rPr/>
            </w:pPr>
            <w:r>
              <w:t>Ein freigegebener Current-State-Nachweis für T macht die Vereinsdimension ausschließlich für T regulär nutzbar; daraus entsteht kein club_valid_from und keine automatische Gültigkeit vor/nach T. Abfragen außerhalb T benötigen eigene Evidence oder ein freigegebenes historisches Intervall. Später ergänzte echte valid_from/to-Grenzen erzeugen einen neuen historisierten Stand; Replay früherer SSOT-Versionen zeigt unverändert den damaligen punktuellen Nachweis. Konfliktierende/ungenügende Evidence führt zu REVIEW_REQUIRED/SSOT_BLOCKED statt stiller Bestätigung.</w:t>
            </w:r>
          </w:p>
        </w:tc>
        <w:tc>
          <w:tcPr>
            <w:tcW w:w="1967" w:type="dxa"/>
            <w:tcBorders/>
          </w:tcPr>
          <w:p w14:paraId="8D8556C7">
            <w:pPr>
              <w:pStyle w:val="style0"/>
              <w:rPr/>
            </w:pPr>
            <w:r>
              <w:t>Offen</w:t>
            </w:r>
          </w:p>
        </w:tc>
      </w:tr>
      <w:tr>
        <w:tc>
          <w:tcPr>
            <w:tcW w:w="1967" w:type="dxa"/>
            <w:tcBorders/>
          </w:tcPr>
          <w:p>
            <w:pPr/>
            <w:r>
              <w:rPr/>
              <w:t>REQ-SSOT-007</w:t>
            </w:r>
          </w:p>
        </w:tc>
        <w:tc>
          <w:tcPr>
            <w:tcW w:w="1967" w:type="dxa"/>
            <w:tcBorders/>
          </w:tcPr>
          <w:p>
            <w:pPr/>
            <w:r>
              <w:rPr/>
              <w:t>Daten/Governance</w:t>
            </w:r>
          </w:p>
        </w:tc>
        <w:tc>
          <w:tcPr>
            <w:tcW w:w="1967" w:type="dxa"/>
            <w:tcBorders/>
          </w:tcPr>
          <w:p>
            <w:pPr/>
            <w:r>
              <w:rPr/>
              <w:t>Die SSOT muss für einen bereits legitimierten Spieler eine belegte negative stichtagsbezogene Aussage OUTSIDE_BUNDESLIGA führen können. Eine positiv geprüfte und freigegebene negative Aussage löst für den bestätigten Stichtag die Vereins-/Bundesligadimension fachlich auf und darf bei erfüllten übrigen Voraussetzungen SSOT_PROCESSABLE ermöglichen. Sie erzeugt weder eine künstliche Vereinszuordnung noch einen historischen Gültigkeitsbeginn. Monitoring muss daraus getrennt INELIGIBLE / NOT_CURRENTLY_BUNDESLIGA_ASSIGNABLE ableiten können. Die stabile player_id bleibt erhalten und darf für historische und spätere fachliche Prozesse weiter referenziert werden.</w:t>
            </w:r>
          </w:p>
        </w:tc>
        <w:tc>
          <w:tcPr>
            <w:tcW w:w="1967" w:type="dxa"/>
            <w:tcBorders/>
          </w:tcPr>
          <w:p>
            <w:pPr/>
            <w:r>
              <w:rPr/>
              <w:t>Muss</w:t>
            </w:r>
          </w:p>
        </w:tc>
        <w:tc>
          <w:tcPr>
            <w:tcW w:w="1967" w:type="dxa"/>
            <w:tcBorders/>
          </w:tcPr>
          <w:p>
            <w:pPr/>
            <w:r>
              <w:rPr/>
              <w:t>DEC-033</w:t>
            </w:r>
          </w:p>
        </w:tc>
        <w:tc>
          <w:tcPr>
            <w:tcW w:w="1967" w:type="dxa"/>
            <w:tcBorders/>
          </w:tcPr>
          <w:p>
            <w:pPr/>
            <w:r>
              <w:rPr/>
              <w:t>SSOT; Kontrollmechanismen; Monitoring; Projektsteuerung</w:t>
            </w:r>
          </w:p>
        </w:tc>
        <w:tc>
          <w:tcPr>
            <w:tcW w:w="1967" w:type="dxa"/>
            <w:tcBorders/>
          </w:tcPr>
          <w:p>
            <w:pPr/>
            <w:r>
              <w:rPr/>
              <w:t>Ein freigegebener OUTSIDE_BUNDESLIGA-Nachweis für T kann die Vereins-/Bundesligadimension für T SSOT_PROCESSABLE machen, ohne club_id, club_valid_from oder Lock zu erfinden. Monitoring übernimmt SSOT_PROCESSABLE unverändert und setzt die konkrete Eligibility auf INELIGIBLE mit NOT_CURRENTLY_BUNDESLIGA_ASSIGNABLE. Fehlende/konfliktierende Evidence bleibt SSOT_BLOCKED bzw. REVIEW_REQUIRED. Spätere positive Vereinszugehörigkeit oder historische Ergänzung erzeugt einen neuen SSOT-Stand und überschreibt den negativen Stichtagsnachweis nicht. Replay früherer Versionen bleibt reproduzierbar; die player_id bleibt stabil und für spätere Module referenzierbar.</w:t>
            </w:r>
          </w:p>
        </w:tc>
        <w:tc>
          <w:tcPr>
            <w:tcW w:w="1967" w:type="dxa"/>
            <w:tcBorders/>
          </w:tcPr>
          <w:p>
            <w:pPr/>
            <w:r>
              <w:rPr/>
              <w:t>Offen</w:t>
            </w:r>
          </w:p>
        </w:tc>
      </w:tr>
    </w:tbl>
    <w:p w14:paraId="4B3D3F0A">
      <w:pPr>
        <w:pStyle w:val="style0"/>
        <w:rPr/>
      </w:pPr>
      <w:r>
        <w:rPr>
          <w:i/>
          <w:sz w:val="16"/>
        </w:rPr>
        <w:t>Historischer Quellenanker: DOC-002 – Tabelle 1 der verbindlichen Fassung gemäß DOC-REG-001 Stand 3.2.</w:t>
      </w:r>
    </w:p>
    <w:p w14:paraId="65B3E48C">
      <w:pPr>
        <w:pStyle w:val="style1"/>
        <w:rPr/>
      </w:pPr>
      <w:r>
        <w:t>5. Konflikt- und Abhängigkeitsregister – vollständig</w:t>
      </w:r>
    </w:p>
    <w:tbl>
      <w:tblPr>
        <w:tblStyle w:val="style154"/>
        <w:tblW w:w="0" w:type="auto"/>
        <w:jc w:val="center"/>
        <w:tblLook w:val="04A0" w:firstRow="1" w:lastRow="0" w:firstColumn="1" w:lastColumn="0" w:noHBand="0" w:noVBand="1"/>
      </w:tblPr>
      <w:tblGrid>
        <w:gridCol w:w="2249"/>
        <w:gridCol w:w="2249"/>
        <w:gridCol w:w="2249"/>
        <w:gridCol w:w="2249"/>
        <w:gridCol w:w="2249"/>
        <w:gridCol w:w="2249"/>
        <w:gridCol w:w="2249"/>
      </w:tblGrid>
      <w:tr w14:paraId="EDE74F2A">
        <w:trPr>
          <w:tblHeader/>
          <w:jc w:val="center"/>
        </w:trPr>
        <w:tc>
          <w:tcPr>
            <w:tcW w:w="2249" w:type="dxa"/>
            <w:tcBorders/>
            <w:shd w:val="nil" w:color="auto" w:fill="d9eaf7"/>
          </w:tcPr>
          <w:p w14:paraId="A3520B3A">
            <w:pPr>
              <w:pStyle w:val="style0"/>
              <w:rPr/>
            </w:pPr>
            <w:r>
              <w:rPr>
                <w:b/>
                <w:sz w:val="12"/>
              </w:rPr>
              <w:t>ID</w:t>
            </w:r>
          </w:p>
        </w:tc>
        <w:tc>
          <w:tcPr>
            <w:tcW w:w="2249" w:type="dxa"/>
            <w:tcBorders/>
            <w:shd w:val="nil" w:color="auto" w:fill="d9eaf7"/>
          </w:tcPr>
          <w:p w14:paraId="C34A0F75">
            <w:pPr>
              <w:pStyle w:val="style0"/>
              <w:rPr/>
            </w:pPr>
            <w:r>
              <w:rPr>
                <w:b/>
                <w:sz w:val="12"/>
              </w:rPr>
              <w:t>Thema</w:t>
            </w:r>
          </w:p>
        </w:tc>
        <w:tc>
          <w:tcPr>
            <w:tcW w:w="2249" w:type="dxa"/>
            <w:tcBorders/>
            <w:shd w:val="nil" w:color="auto" w:fill="d9eaf7"/>
          </w:tcPr>
          <w:p w14:paraId="06616CD3">
            <w:pPr>
              <w:pStyle w:val="style0"/>
              <w:rPr/>
            </w:pPr>
            <w:r>
              <w:rPr>
                <w:b/>
                <w:sz w:val="12"/>
              </w:rPr>
              <w:t>Konflikt / Abhängigkeit</w:t>
            </w:r>
          </w:p>
        </w:tc>
        <w:tc>
          <w:tcPr>
            <w:tcW w:w="2249" w:type="dxa"/>
            <w:tcBorders/>
            <w:shd w:val="nil" w:color="auto" w:fill="d9eaf7"/>
          </w:tcPr>
          <w:p w14:paraId="A82E20C6">
            <w:pPr>
              <w:pStyle w:val="style0"/>
              <w:rPr/>
            </w:pPr>
            <w:r>
              <w:rPr>
                <w:b/>
                <w:sz w:val="12"/>
              </w:rPr>
              <w:t>Betroffene Artefakte</w:t>
            </w:r>
          </w:p>
        </w:tc>
        <w:tc>
          <w:tcPr>
            <w:tcW w:w="2249" w:type="dxa"/>
            <w:tcBorders/>
            <w:shd w:val="nil" w:color="auto" w:fill="d9eaf7"/>
          </w:tcPr>
          <w:p w14:paraId="AB1D794E">
            <w:pPr>
              <w:pStyle w:val="style0"/>
              <w:rPr/>
            </w:pPr>
            <w:r>
              <w:rPr>
                <w:b/>
                <w:sz w:val="12"/>
              </w:rPr>
              <w:t>Schwere</w:t>
            </w:r>
          </w:p>
        </w:tc>
        <w:tc>
          <w:tcPr>
            <w:tcW w:w="2249" w:type="dxa"/>
            <w:tcBorders/>
            <w:shd w:val="nil" w:color="auto" w:fill="d9eaf7"/>
          </w:tcPr>
          <w:p w14:paraId="05D4D879">
            <w:pPr>
              <w:pStyle w:val="style0"/>
              <w:rPr/>
            </w:pPr>
            <w:r>
              <w:rPr>
                <w:b/>
                <w:sz w:val="12"/>
              </w:rPr>
              <w:t>Vorgehen / Entscheidung nötig</w:t>
            </w:r>
          </w:p>
        </w:tc>
        <w:tc>
          <w:tcPr>
            <w:tcW w:w="2249" w:type="dxa"/>
            <w:tcBorders/>
            <w:shd w:val="nil" w:color="auto" w:fill="d9eaf7"/>
          </w:tcPr>
          <w:p w14:paraId="0CD39C56">
            <w:pPr>
              <w:pStyle w:val="style0"/>
              <w:rPr/>
            </w:pPr>
            <w:r>
              <w:rPr>
                <w:b/>
                <w:sz w:val="12"/>
              </w:rPr>
              <w:t>Status</w:t>
            </w:r>
          </w:p>
        </w:tc>
      </w:tr>
      <w:tr w14:paraId="5031E109">
        <w:tblPrEx/>
        <w:trPr>
          <w:jc w:val="center"/>
        </w:trPr>
        <w:tc>
          <w:tcPr>
            <w:tcW w:w="2249" w:type="dxa"/>
            <w:tcBorders/>
          </w:tcPr>
          <w:p w14:paraId="56EFBE28">
            <w:pPr>
              <w:pStyle w:val="style0"/>
              <w:rPr/>
            </w:pPr>
            <w:r>
              <w:rPr>
                <w:b w:val="false"/>
                <w:sz w:val="12"/>
              </w:rPr>
              <w:t>CON-001</w:t>
            </w:r>
          </w:p>
        </w:tc>
        <w:tc>
          <w:tcPr>
            <w:tcW w:w="2249" w:type="dxa"/>
            <w:tcBorders/>
          </w:tcPr>
          <w:p w14:paraId="177DAD2A">
            <w:pPr>
              <w:pStyle w:val="style0"/>
              <w:rPr/>
            </w:pPr>
            <w:r>
              <w:rPr>
                <w:b w:val="false"/>
                <w:sz w:val="12"/>
              </w:rPr>
              <w:t>SSOT vs. Import</w:t>
            </w:r>
          </w:p>
        </w:tc>
        <w:tc>
          <w:tcPr>
            <w:tcW w:w="2249" w:type="dxa"/>
            <w:tcBorders/>
          </w:tcPr>
          <w:p w14:paraId="B37C7135">
            <w:pPr>
              <w:pStyle w:val="style0"/>
              <w:rPr/>
            </w:pPr>
            <w:r>
              <w:rPr>
                <w:b w:val="false"/>
                <w:sz w:val="12"/>
              </w:rPr>
              <w:t>Automatischer Import kann einen abweichenden Verein oder eine abweichende Position zu einem bestätigten SSOT-Wert melden. Die fachliche Datenhoheit der SSOT und das Verbot stiller Überschreibung sind beschlossen; offen ist die konkrete Prüf-, Konflikt- und Freigabelogik.</w:t>
            </w:r>
          </w:p>
        </w:tc>
        <w:tc>
          <w:tcPr>
            <w:tcW w:w="2249" w:type="dxa"/>
            <w:tcBorders/>
          </w:tcPr>
          <w:p w14:paraId="5983492C">
            <w:pPr>
              <w:pStyle w:val="style0"/>
              <w:rPr/>
            </w:pPr>
            <w:r>
              <w:rPr>
                <w:b w:val="false"/>
                <w:sz w:val="12"/>
              </w:rPr>
              <w:t>SSOT; Rohdaten; Kontrollmechanismen</w:t>
            </w:r>
          </w:p>
        </w:tc>
        <w:tc>
          <w:tcPr>
            <w:tcW w:w="2249" w:type="dxa"/>
            <w:tcBorders/>
          </w:tcPr>
          <w:p w14:paraId="5CA25EA0">
            <w:pPr>
              <w:pStyle w:val="style0"/>
              <w:rPr/>
            </w:pPr>
            <w:r>
              <w:rPr>
                <w:b w:val="false"/>
                <w:sz w:val="12"/>
              </w:rPr>
              <w:t>Hoch</w:t>
            </w:r>
          </w:p>
        </w:tc>
        <w:tc>
          <w:tcPr>
            <w:tcW w:w="2249" w:type="dxa"/>
            <w:tcBorders/>
          </w:tcPr>
          <w:p w14:paraId="17DBE104">
            <w:pPr>
              <w:pStyle w:val="style0"/>
              <w:rPr/>
            </w:pPr>
            <w:r>
              <w:rPr>
                <w:b w:val="false"/>
                <w:sz w:val="12"/>
              </w:rPr>
              <w:t>Als Umsetzungsabhängigkeit behandeln: Abweichungsliste, Blockade ungeprüfter Überschreibung und versionierte bestätigte Änderung im Datenmodell und Kontrollkonzept festlegen; siehe DEC-001, DEC-015 und DEC-016.</w:t>
            </w:r>
          </w:p>
        </w:tc>
        <w:tc>
          <w:tcPr>
            <w:tcW w:w="2249" w:type="dxa"/>
            <w:tcBorders/>
          </w:tcPr>
          <w:p w14:paraId="D5D20DD3">
            <w:pPr>
              <w:pStyle w:val="style0"/>
              <w:rPr/>
            </w:pPr>
            <w:r>
              <w:rPr>
                <w:b w:val="false"/>
                <w:sz w:val="12"/>
              </w:rPr>
              <w:t>Aktiv – Umsetzung offen</w:t>
            </w:r>
          </w:p>
        </w:tc>
      </w:tr>
      <w:tr w14:paraId="41E57C75">
        <w:tblPrEx/>
        <w:trPr>
          <w:jc w:val="center"/>
        </w:trPr>
        <w:tc>
          <w:tcPr>
            <w:tcW w:w="2249" w:type="dxa"/>
            <w:tcBorders/>
          </w:tcPr>
          <w:p w14:paraId="14C9B21D">
            <w:pPr>
              <w:pStyle w:val="style0"/>
              <w:rPr/>
            </w:pPr>
            <w:r>
              <w:rPr>
                <w:b w:val="false"/>
                <w:sz w:val="12"/>
              </w:rPr>
              <w:t>CON-002</w:t>
            </w:r>
          </w:p>
        </w:tc>
        <w:tc>
          <w:tcPr>
            <w:tcW w:w="2249" w:type="dxa"/>
            <w:tcBorders/>
          </w:tcPr>
          <w:p w14:paraId="35CB21B4">
            <w:pPr>
              <w:pStyle w:val="style0"/>
              <w:rPr/>
            </w:pPr>
            <w:r>
              <w:rPr>
                <w:b w:val="false"/>
                <w:sz w:val="12"/>
              </w:rPr>
              <w:t>kicker-Datenzugang</w:t>
            </w:r>
          </w:p>
        </w:tc>
        <w:tc>
          <w:tcPr>
            <w:tcW w:w="2249" w:type="dxa"/>
            <w:tcBorders/>
          </w:tcPr>
          <w:p w14:paraId="44052FA1">
            <w:pPr>
              <w:pStyle w:val="style0"/>
              <w:rPr/>
            </w:pPr>
            <w:r>
              <w:rPr>
                <w:b w:val="false"/>
                <w:sz w:val="12"/>
              </w:rPr>
              <w:t>Für die verbindlichen kicker-Ergebnisdaten ist noch zu ermitteln, welcher technisch stabile, rechtlich beziehungsweise nutzungsbezogen vertretbare und praktikable Importweg produktiv eingesetzt werden kann. Neben vollautomatischem Direktzugriff sind teilautomatische, dateibasierte und manuelle Verfahren zulässig.</w:t>
            </w:r>
          </w:p>
        </w:tc>
        <w:tc>
          <w:tcPr>
            <w:tcW w:w="2249" w:type="dxa"/>
            <w:tcBorders/>
          </w:tcPr>
          <w:p w14:paraId="6F2F03DA">
            <w:pPr>
              <w:pStyle w:val="style0"/>
              <w:rPr/>
            </w:pPr>
            <w:r>
              <w:rPr>
                <w:b w:val="false"/>
                <w:sz w:val="12"/>
              </w:rPr>
              <w:t>Rohdaten; Kontrollmechanismen; Monitoring; Projektdokumentation</w:t>
            </w:r>
          </w:p>
        </w:tc>
        <w:tc>
          <w:tcPr>
            <w:tcW w:w="2249" w:type="dxa"/>
            <w:tcBorders/>
          </w:tcPr>
          <w:p w14:paraId="1C1D37DE">
            <w:pPr>
              <w:pStyle w:val="style0"/>
              <w:rPr/>
            </w:pPr>
            <w:r>
              <w:rPr>
                <w:b w:val="false"/>
                <w:sz w:val="12"/>
              </w:rPr>
              <w:t>Hoch</w:t>
            </w:r>
          </w:p>
        </w:tc>
        <w:tc>
          <w:tcPr>
            <w:tcW w:w="2249" w:type="dxa"/>
            <w:tcBorders/>
          </w:tcPr>
          <w:p w14:paraId="FD16F2F8">
            <w:pPr>
              <w:pStyle w:val="style0"/>
              <w:rPr/>
            </w:pPr>
            <w:r>
              <w:rPr>
                <w:b w:val="false"/>
                <w:sz w:val="12"/>
              </w:rPr>
              <w:t>Zugangsneutralen Import und Validierung für Milestone 1 vorsehen. Vor Produktivfreigabe den gewählten Weg auf Feldabdeckung, Mapping, Aktualität, Stabilität, Kontrollen, Nachvollziehbarkeit und Aufwand prüfen. Manuell gespeicherte HTML-, CSV- oder JSON-Dateien und vollständig manuelle Erfassung bleiben zulässige Varianten; siehe DEC-008, DEC-019, REQ-SRC-003 und REQ-DAT-007.</w:t>
            </w:r>
          </w:p>
        </w:tc>
        <w:tc>
          <w:tcPr>
            <w:tcW w:w="2249" w:type="dxa"/>
            <w:tcBorders/>
          </w:tcPr>
          <w:p w14:paraId="86B1F5D8">
            <w:pPr>
              <w:pStyle w:val="style0"/>
              <w:rPr/>
            </w:pPr>
            <w:r>
              <w:rPr>
                <w:b w:val="false"/>
                <w:sz w:val="12"/>
              </w:rPr>
              <w:t>Offen – Prüfung vor Produktivfreigabe</w:t>
            </w:r>
          </w:p>
        </w:tc>
      </w:tr>
      <w:tr w14:paraId="FC3384BC">
        <w:tblPrEx/>
        <w:trPr>
          <w:jc w:val="center"/>
        </w:trPr>
        <w:tc>
          <w:tcPr>
            <w:tcW w:w="2249" w:type="dxa"/>
            <w:tcBorders/>
          </w:tcPr>
          <w:p w14:paraId="5AFF891A">
            <w:pPr>
              <w:pStyle w:val="style0"/>
              <w:rPr/>
            </w:pPr>
            <w:r>
              <w:rPr>
                <w:b w:val="false"/>
                <w:sz w:val="12"/>
              </w:rPr>
              <w:t>CON-003</w:t>
            </w:r>
          </w:p>
        </w:tc>
        <w:tc>
          <w:tcPr>
            <w:tcW w:w="2249" w:type="dxa"/>
            <w:tcBorders/>
          </w:tcPr>
          <w:p w14:paraId="2857826D">
            <w:pPr>
              <w:pStyle w:val="style0"/>
              <w:rPr/>
            </w:pPr>
            <w:r>
              <w:rPr>
                <w:b w:val="false"/>
                <w:sz w:val="12"/>
              </w:rPr>
              <w:t>Rundung Noten</w:t>
            </w:r>
          </w:p>
        </w:tc>
        <w:tc>
          <w:tcPr>
            <w:tcW w:w="2249" w:type="dxa"/>
            <w:tcBorders/>
          </w:tcPr>
          <w:p w14:paraId="714273CE">
            <w:pPr>
              <w:pStyle w:val="style0"/>
              <w:rPr/>
            </w:pPr>
            <w:r>
              <w:rPr>
                <w:b w:val="false"/>
                <w:sz w:val="12"/>
              </w:rPr>
              <w:t>Die Ranglogik und das mathematische Rundungsverfahren sind nun vollständig beschlossen. Offen ist nur noch die technische Trennung von Roh-, Vergleichs- und Anzeigewert sowie die testbare Umsetzung des Half-up-Verfahrens.</w:t>
            </w:r>
          </w:p>
        </w:tc>
        <w:tc>
          <w:tcPr>
            <w:tcW w:w="2249" w:type="dxa"/>
            <w:tcBorders/>
          </w:tcPr>
          <w:p w14:paraId="2E152038">
            <w:pPr>
              <w:pStyle w:val="style0"/>
              <w:rPr/>
            </w:pPr>
            <w:r>
              <w:rPr>
                <w:b w:val="false"/>
                <w:sz w:val="12"/>
              </w:rPr>
              <w:t>Monitoring; Regelwerk; Evaluation</w:t>
            </w:r>
          </w:p>
        </w:tc>
        <w:tc>
          <w:tcPr>
            <w:tcW w:w="2249" w:type="dxa"/>
            <w:tcBorders/>
          </w:tcPr>
          <w:p w14:paraId="717E0830">
            <w:pPr>
              <w:pStyle w:val="style0"/>
              <w:rPr/>
            </w:pPr>
            <w:r>
              <w:rPr>
                <w:b w:val="false"/>
                <w:sz w:val="12"/>
              </w:rPr>
              <w:t>Mittel</w:t>
            </w:r>
          </w:p>
        </w:tc>
        <w:tc>
          <w:tcPr>
            <w:tcW w:w="2249" w:type="dxa"/>
            <w:tcBorders/>
          </w:tcPr>
          <w:p w14:paraId="E85C65EF">
            <w:pPr>
              <w:pStyle w:val="style0"/>
              <w:rPr/>
            </w:pPr>
            <w:r>
              <w:rPr>
                <w:b w:val="false"/>
                <w:sz w:val="12"/>
              </w:rPr>
              <w:t>Half-up nach DEC-026 umsetzen; Rohwert unverändert speichern; Zwei- und Vierstellenvergleich jeweils direkt aus dem Rohwert bilden; Grenzfälle testen.</w:t>
            </w:r>
          </w:p>
        </w:tc>
        <w:tc>
          <w:tcPr>
            <w:tcW w:w="2249" w:type="dxa"/>
            <w:tcBorders/>
          </w:tcPr>
          <w:p w14:paraId="7FA12F99">
            <w:pPr>
              <w:pStyle w:val="style0"/>
              <w:rPr/>
            </w:pPr>
            <w:r>
              <w:rPr>
                <w:b w:val="false"/>
                <w:sz w:val="12"/>
              </w:rPr>
              <w:t>Fachlich gelöst – Umsetzung offen</w:t>
            </w:r>
          </w:p>
        </w:tc>
      </w:tr>
      <w:tr w14:paraId="4F2A321A">
        <w:tblPrEx/>
        <w:trPr>
          <w:jc w:val="center"/>
        </w:trPr>
        <w:tc>
          <w:tcPr>
            <w:tcW w:w="2249" w:type="dxa"/>
            <w:tcBorders/>
          </w:tcPr>
          <w:p w14:paraId="4270B76A">
            <w:pPr>
              <w:pStyle w:val="style0"/>
              <w:rPr/>
            </w:pPr>
            <w:r>
              <w:rPr>
                <w:b w:val="false"/>
                <w:sz w:val="12"/>
              </w:rPr>
              <w:t>CON-004</w:t>
            </w:r>
          </w:p>
        </w:tc>
        <w:tc>
          <w:tcPr>
            <w:tcW w:w="2249" w:type="dxa"/>
            <w:tcBorders/>
          </w:tcPr>
          <w:p w14:paraId="8F632B0E">
            <w:pPr>
              <w:pStyle w:val="style0"/>
              <w:rPr/>
            </w:pPr>
            <w:r>
              <w:rPr>
                <w:b w:val="false"/>
                <w:sz w:val="12"/>
              </w:rPr>
              <w:t>Leere Gegentormenge</w:t>
            </w:r>
          </w:p>
        </w:tc>
        <w:tc>
          <w:tcPr>
            <w:tcW w:w="2249" w:type="dxa"/>
            <w:tcBorders/>
          </w:tcPr>
          <w:p w14:paraId="31138B1E">
            <w:pPr>
              <w:pStyle w:val="style0"/>
              <w:rPr/>
            </w:pPr>
            <w:r>
              <w:rPr>
                <w:b w:val="false"/>
                <w:sz w:val="12"/>
              </w:rPr>
              <w:t>Der Wert 0,0 aus einer leeren Gegentormenge ist wertungsgleich mit sportlich erzieltem 0,0, muss für Analyse und Reproduktion aber unterscheidbar bleiben. Zusätzlich ist die allgemeine Leerzellen-Semantik aus manuellen Auswertungen zu beachten.</w:t>
            </w:r>
          </w:p>
        </w:tc>
        <w:tc>
          <w:tcPr>
            <w:tcW w:w="2249" w:type="dxa"/>
            <w:tcBorders/>
          </w:tcPr>
          <w:p w14:paraId="A0AFF685">
            <w:pPr>
              <w:pStyle w:val="style0"/>
              <w:rPr/>
            </w:pPr>
            <w:r>
              <w:rPr>
                <w:b w:val="false"/>
                <w:sz w:val="12"/>
              </w:rPr>
              <w:t>Monitoring; Evaluation; Kontrollmechanismen</w:t>
            </w:r>
          </w:p>
        </w:tc>
        <w:tc>
          <w:tcPr>
            <w:tcW w:w="2249" w:type="dxa"/>
            <w:tcBorders/>
          </w:tcPr>
          <w:p w14:paraId="9652A681">
            <w:pPr>
              <w:pStyle w:val="style0"/>
              <w:rPr/>
            </w:pPr>
            <w:r>
              <w:rPr>
                <w:b w:val="false"/>
                <w:sz w:val="12"/>
              </w:rPr>
              <w:t>Mittel</w:t>
            </w:r>
          </w:p>
        </w:tc>
        <w:tc>
          <w:tcPr>
            <w:tcW w:w="2249" w:type="dxa"/>
            <w:tcBorders/>
          </w:tcPr>
          <w:p w14:paraId="206829DA">
            <w:pPr>
              <w:pStyle w:val="style0"/>
              <w:rPr/>
            </w:pPr>
            <w:r>
              <w:rPr>
                <w:b w:val="false"/>
                <w:sz w:val="12"/>
              </w:rPr>
              <w:t>Zusätzlich zum Wert einen eindeutigen Herkunfts-/Statuswert speichern; leere Gegentorzellen bei M/S als nicht anwendbar behandeln; siehe DEC-007, DEC-015 und DEC-024.</w:t>
            </w:r>
          </w:p>
        </w:tc>
        <w:tc>
          <w:tcPr>
            <w:tcW w:w="2249" w:type="dxa"/>
            <w:tcBorders/>
          </w:tcPr>
          <w:p w14:paraId="A4AAB957">
            <w:pPr>
              <w:pStyle w:val="style0"/>
              <w:rPr/>
            </w:pPr>
            <w:r>
              <w:rPr>
                <w:b w:val="false"/>
                <w:sz w:val="12"/>
              </w:rPr>
              <w:t>Fachlich gelöst – Umsetzung offen</w:t>
            </w:r>
          </w:p>
        </w:tc>
      </w:tr>
      <w:tr w14:paraId="6135D654">
        <w:tblPrEx/>
        <w:trPr>
          <w:jc w:val="center"/>
        </w:trPr>
        <w:tc>
          <w:tcPr>
            <w:tcW w:w="2249" w:type="dxa"/>
            <w:tcBorders/>
          </w:tcPr>
          <w:p w14:paraId="295A65A7">
            <w:pPr>
              <w:pStyle w:val="style0"/>
              <w:rPr/>
            </w:pPr>
            <w:r>
              <w:rPr>
                <w:b w:val="false"/>
                <w:sz w:val="12"/>
              </w:rPr>
              <w:t>CON-005</w:t>
            </w:r>
          </w:p>
        </w:tc>
        <w:tc>
          <w:tcPr>
            <w:tcW w:w="2249" w:type="dxa"/>
            <w:tcBorders/>
          </w:tcPr>
          <w:p w14:paraId="E515437A">
            <w:pPr>
              <w:pStyle w:val="style0"/>
              <w:rPr/>
            </w:pPr>
            <w:r>
              <w:rPr>
                <w:b w:val="false"/>
                <w:sz w:val="12"/>
              </w:rPr>
              <w:t>Teilnehmerkader</w:t>
            </w:r>
          </w:p>
        </w:tc>
        <w:tc>
          <w:tcPr>
            <w:tcW w:w="2249" w:type="dxa"/>
            <w:tcBorders/>
          </w:tcPr>
          <w:p w14:paraId="07AFD3F0">
            <w:pPr>
              <w:pStyle w:val="style0"/>
              <w:rPr/>
            </w:pPr>
            <w:r>
              <w:rPr>
                <w:b w:val="false"/>
                <w:sz w:val="12"/>
              </w:rPr>
              <w:t>Das vertiefte Monitoring aller Teilnehmerkader ist fachlich beschlossen. Offen bleiben die Pilotmessung des laufenden Aufwands, der Fehlerquote und des praktischen Nutzens.</w:t>
            </w:r>
          </w:p>
        </w:tc>
        <w:tc>
          <w:tcPr>
            <w:tcW w:w="2249" w:type="dxa"/>
            <w:tcBorders/>
          </w:tcPr>
          <w:p w14:paraId="BDF0F27F">
            <w:pPr>
              <w:pStyle w:val="style0"/>
              <w:rPr/>
            </w:pPr>
            <w:r>
              <w:rPr>
                <w:b w:val="false"/>
                <w:sz w:val="12"/>
              </w:rPr>
              <w:t>Monitoring; Rohdaten; Projektsteuerung</w:t>
            </w:r>
          </w:p>
        </w:tc>
        <w:tc>
          <w:tcPr>
            <w:tcW w:w="2249" w:type="dxa"/>
            <w:tcBorders/>
          </w:tcPr>
          <w:p w14:paraId="9C3D1B83">
            <w:pPr>
              <w:pStyle w:val="style0"/>
              <w:rPr/>
            </w:pPr>
            <w:r>
              <w:rPr>
                <w:b w:val="false"/>
                <w:sz w:val="12"/>
              </w:rPr>
              <w:t>Mittel</w:t>
            </w:r>
          </w:p>
        </w:tc>
        <w:tc>
          <w:tcPr>
            <w:tcW w:w="2249" w:type="dxa"/>
            <w:tcBorders/>
          </w:tcPr>
          <w:p w14:paraId="D0FB9C2E">
            <w:pPr>
              <w:pStyle w:val="style0"/>
              <w:rPr/>
            </w:pPr>
            <w:r>
              <w:rPr>
                <w:b w:val="false"/>
                <w:sz w:val="12"/>
              </w:rPr>
              <w:t>Im Pilot Zeitaufwand, Fehlerquote und Nutzen messen und dokumentieren; keine Blockade für Milestone 1; siehe DEC-011 und REQ-NFR-002.</w:t>
            </w:r>
          </w:p>
        </w:tc>
        <w:tc>
          <w:tcPr>
            <w:tcW w:w="2249" w:type="dxa"/>
            <w:tcBorders/>
          </w:tcPr>
          <w:p w14:paraId="54F43FBA">
            <w:pPr>
              <w:pStyle w:val="style0"/>
              <w:rPr/>
            </w:pPr>
            <w:r>
              <w:rPr>
                <w:b w:val="false"/>
                <w:sz w:val="12"/>
              </w:rPr>
              <w:t>Offen – Pilotprüfung</w:t>
            </w:r>
          </w:p>
        </w:tc>
      </w:tr>
      <w:tr w14:paraId="321B47CA">
        <w:tblPrEx/>
        <w:trPr>
          <w:jc w:val="center"/>
        </w:trPr>
        <w:tc>
          <w:tcPr>
            <w:tcW w:w="2249" w:type="dxa"/>
            <w:tcBorders/>
          </w:tcPr>
          <w:p w14:paraId="D680576C">
            <w:pPr>
              <w:pStyle w:val="style0"/>
              <w:rPr/>
            </w:pPr>
            <w:r>
              <w:rPr>
                <w:b w:val="false"/>
                <w:sz w:val="12"/>
              </w:rPr>
              <w:t>CON-006</w:t>
            </w:r>
          </w:p>
        </w:tc>
        <w:tc>
          <w:tcPr>
            <w:tcW w:w="2249" w:type="dxa"/>
            <w:tcBorders/>
          </w:tcPr>
          <w:p w14:paraId="1830E5BE">
            <w:pPr>
              <w:pStyle w:val="style0"/>
              <w:rPr/>
            </w:pPr>
            <w:r>
              <w:rPr>
                <w:b w:val="false"/>
                <w:sz w:val="12"/>
              </w:rPr>
              <w:t>Qualitative Tiefe</w:t>
            </w:r>
          </w:p>
        </w:tc>
        <w:tc>
          <w:tcPr>
            <w:tcW w:w="2249" w:type="dxa"/>
            <w:tcBorders/>
          </w:tcPr>
          <w:p w14:paraId="3C911D13">
            <w:pPr>
              <w:pStyle w:val="style0"/>
              <w:rPr/>
            </w:pPr>
            <w:r>
              <w:rPr>
                <w:b w:val="false"/>
                <w:sz w:val="12"/>
              </w:rPr>
              <w:t>Die wirtschaftlich angemessene qualitative Analysetiefe ist durch das dreistufige Monitoring gemäß DEC-011 festgelegt.</w:t>
            </w:r>
          </w:p>
        </w:tc>
        <w:tc>
          <w:tcPr>
            <w:tcW w:w="2249" w:type="dxa"/>
            <w:tcBorders/>
          </w:tcPr>
          <w:p w14:paraId="400B3FA9">
            <w:pPr>
              <w:pStyle w:val="style0"/>
              <w:rPr/>
            </w:pPr>
            <w:r>
              <w:rPr>
                <w:b w:val="false"/>
                <w:sz w:val="12"/>
              </w:rPr>
              <w:t>Knowledge Base; Monitoring</w:t>
            </w:r>
          </w:p>
        </w:tc>
        <w:tc>
          <w:tcPr>
            <w:tcW w:w="2249" w:type="dxa"/>
            <w:tcBorders/>
          </w:tcPr>
          <w:p w14:paraId="132FAE9E">
            <w:pPr>
              <w:pStyle w:val="style0"/>
              <w:rPr/>
            </w:pPr>
            <w:r>
              <w:rPr>
                <w:b w:val="false"/>
                <w:sz w:val="12"/>
              </w:rPr>
              <w:t>Mittel</w:t>
            </w:r>
          </w:p>
        </w:tc>
        <w:tc>
          <w:tcPr>
            <w:tcW w:w="2249" w:type="dxa"/>
            <w:tcBorders/>
          </w:tcPr>
          <w:p w14:paraId="6FDDA27B">
            <w:pPr>
              <w:pStyle w:val="style0"/>
              <w:rPr/>
            </w:pPr>
            <w:r>
              <w:rPr>
                <w:b w:val="false"/>
                <w:sz w:val="12"/>
              </w:rPr>
              <w:t>Dreistufiges Monitoring gemäß DEC-011 umsetzen.</w:t>
            </w:r>
          </w:p>
        </w:tc>
        <w:tc>
          <w:tcPr>
            <w:tcW w:w="2249" w:type="dxa"/>
            <w:tcBorders/>
          </w:tcPr>
          <w:p w14:paraId="8E24FAAC">
            <w:pPr>
              <w:pStyle w:val="style0"/>
              <w:rPr/>
            </w:pPr>
            <w:r>
              <w:rPr>
                <w:b w:val="false"/>
                <w:sz w:val="12"/>
              </w:rPr>
              <w:t>Gelöst</w:t>
            </w:r>
          </w:p>
        </w:tc>
      </w:tr>
      <w:tr w14:paraId="0BBAEF6A">
        <w:tblPrEx/>
        <w:trPr>
          <w:jc w:val="center"/>
        </w:trPr>
        <w:tc>
          <w:tcPr>
            <w:tcW w:w="2249" w:type="dxa"/>
            <w:tcBorders/>
          </w:tcPr>
          <w:p w14:paraId="1631AE6A">
            <w:pPr>
              <w:pStyle w:val="style0"/>
              <w:rPr/>
            </w:pPr>
            <w:r>
              <w:rPr>
                <w:b w:val="false"/>
                <w:sz w:val="12"/>
              </w:rPr>
              <w:t>CON-007</w:t>
            </w:r>
          </w:p>
        </w:tc>
        <w:tc>
          <w:tcPr>
            <w:tcW w:w="2249" w:type="dxa"/>
            <w:tcBorders/>
          </w:tcPr>
          <w:p w14:paraId="8849907A">
            <w:pPr>
              <w:pStyle w:val="style0"/>
              <w:rPr/>
            </w:pPr>
            <w:r>
              <w:rPr>
                <w:b w:val="false"/>
                <w:sz w:val="12"/>
              </w:rPr>
              <w:t>Vorwochenaufstellung</w:t>
            </w:r>
          </w:p>
        </w:tc>
        <w:tc>
          <w:tcPr>
            <w:tcW w:w="2249" w:type="dxa"/>
            <w:tcBorders/>
          </w:tcPr>
          <w:p w14:paraId="99EC0A3C">
            <w:pPr>
              <w:pStyle w:val="style0"/>
              <w:rPr/>
            </w:pPr>
            <w:r>
              <w:rPr>
                <w:b w:val="false"/>
                <w:sz w:val="12"/>
              </w:rPr>
              <w:t>Eine unveränderte Übernahme der Vorwochenaufstellung kann zum neuen Sperrzeitpunkt einen nicht mehr aufstellbaren Spieler enthalten.</w:t>
            </w:r>
          </w:p>
        </w:tc>
        <w:tc>
          <w:tcPr>
            <w:tcW w:w="2249" w:type="dxa"/>
            <w:tcBorders/>
          </w:tcPr>
          <w:p w14:paraId="92CC29D5">
            <w:pPr>
              <w:pStyle w:val="style0"/>
              <w:rPr/>
            </w:pPr>
            <w:r>
              <w:rPr>
                <w:b w:val="false"/>
                <w:sz w:val="12"/>
              </w:rPr>
              <w:t>Monitoring; Erinnerungen; Decision Engine; Kontrollmechanismen</w:t>
            </w:r>
          </w:p>
        </w:tc>
        <w:tc>
          <w:tcPr>
            <w:tcW w:w="2249" w:type="dxa"/>
            <w:tcBorders/>
          </w:tcPr>
          <w:p w14:paraId="01A7DA89">
            <w:pPr>
              <w:pStyle w:val="style0"/>
              <w:rPr/>
            </w:pPr>
            <w:r>
              <w:rPr>
                <w:b w:val="false"/>
                <w:sz w:val="12"/>
              </w:rPr>
              <w:t>Hoch</w:t>
            </w:r>
          </w:p>
        </w:tc>
        <w:tc>
          <w:tcPr>
            <w:tcW w:w="2249" w:type="dxa"/>
            <w:tcBorders/>
          </w:tcPr>
          <w:p w14:paraId="2256C3F9">
            <w:pPr>
              <w:pStyle w:val="style0"/>
              <w:rPr/>
            </w:pPr>
            <w:r>
              <w:rPr>
                <w:b w:val="false"/>
                <w:sz w:val="12"/>
              </w:rPr>
              <w:t>Vorwochenaufstellung nicht unverändert übernehmen. Nicht mehr aufstellbaren Spieler weder formal beibehalten noch automatisch ersetzen; Aufstellung als unvollständig beziehungsweise regelwidrig kennzeichnen und kritischen Handlungsbedarf anzeigen; siehe DEC-021, REQ-MON-010 und REQ-CTL-002.</w:t>
            </w:r>
          </w:p>
        </w:tc>
        <w:tc>
          <w:tcPr>
            <w:tcW w:w="2249" w:type="dxa"/>
            <w:tcBorders/>
          </w:tcPr>
          <w:p w14:paraId="F195A9FB">
            <w:pPr>
              <w:pStyle w:val="style0"/>
              <w:rPr/>
            </w:pPr>
            <w:r>
              <w:rPr>
                <w:b w:val="false"/>
                <w:sz w:val="12"/>
              </w:rPr>
              <w:t>Gelöst</w:t>
            </w:r>
          </w:p>
        </w:tc>
      </w:tr>
      <w:tr w14:paraId="8C7C0B5B">
        <w:tblPrEx/>
        <w:trPr>
          <w:jc w:val="center"/>
        </w:trPr>
        <w:tc>
          <w:tcPr>
            <w:tcW w:w="2249" w:type="dxa"/>
            <w:tcBorders/>
          </w:tcPr>
          <w:p w14:paraId="E00F3FC2">
            <w:pPr>
              <w:pStyle w:val="style0"/>
              <w:rPr/>
            </w:pPr>
            <w:r>
              <w:rPr>
                <w:b w:val="false"/>
                <w:sz w:val="12"/>
              </w:rPr>
              <w:t>CON-008</w:t>
            </w:r>
          </w:p>
        </w:tc>
        <w:tc>
          <w:tcPr>
            <w:tcW w:w="2249" w:type="dxa"/>
            <w:tcBorders/>
          </w:tcPr>
          <w:p w14:paraId="304A8DFD">
            <w:pPr>
              <w:pStyle w:val="style0"/>
              <w:rPr/>
            </w:pPr>
            <w:r>
              <w:rPr>
                <w:b w:val="false"/>
                <w:sz w:val="12"/>
              </w:rPr>
              <w:t>Chat-zu-Datei-Synchronisation</w:t>
            </w:r>
          </w:p>
        </w:tc>
        <w:tc>
          <w:tcPr>
            <w:tcW w:w="2249" w:type="dxa"/>
            <w:tcBorders/>
          </w:tcPr>
          <w:p w14:paraId="9E9848DD">
            <w:pPr>
              <w:pStyle w:val="style0"/>
              <w:rPr/>
            </w:pPr>
            <w:r>
              <w:rPr>
                <w:b w:val="false"/>
                <w:sz w:val="12"/>
              </w:rPr>
              <w:t>Entscheidungen und Ergebnisse aus Fach-Chats können Projektquellen widersprüchlich oder veraltet machen, wenn sie nicht zentral eingepflegt und freigegeben werden.</w:t>
            </w:r>
          </w:p>
        </w:tc>
        <w:tc>
          <w:tcPr>
            <w:tcW w:w="2249" w:type="dxa"/>
            <w:tcBorders/>
          </w:tcPr>
          <w:p w14:paraId="B69CD10B">
            <w:pPr>
              <w:pStyle w:val="style0"/>
              <w:rPr/>
            </w:pPr>
            <w:r>
              <w:rPr>
                <w:b w:val="false"/>
                <w:sz w:val="12"/>
              </w:rPr>
              <w:t>Alle Register und Fachdateien</w:t>
            </w:r>
          </w:p>
        </w:tc>
        <w:tc>
          <w:tcPr>
            <w:tcW w:w="2249" w:type="dxa"/>
            <w:tcBorders/>
          </w:tcPr>
          <w:p w14:paraId="54264F60">
            <w:pPr>
              <w:pStyle w:val="style0"/>
              <w:rPr/>
            </w:pPr>
            <w:r>
              <w:rPr>
                <w:b w:val="false"/>
                <w:sz w:val="12"/>
              </w:rPr>
              <w:t>Hoch</w:t>
            </w:r>
          </w:p>
        </w:tc>
        <w:tc>
          <w:tcPr>
            <w:tcW w:w="2249" w:type="dxa"/>
            <w:tcBorders/>
          </w:tcPr>
          <w:p w14:paraId="E1CA6630">
            <w:pPr>
              <w:pStyle w:val="style0"/>
              <w:rPr/>
            </w:pPr>
            <w:r>
              <w:rPr>
                <w:b w:val="false"/>
                <w:sz w:val="12"/>
              </w:rPr>
              <w:t>Dauerhafte Governance-Kontrolle: Jede relevante Änderung mit DEC-/REQ-/CON-ID, Änderungsprotokoll, Versionsfortschreibung und Aktualisierung des Dokumentenregisters abschließen.</w:t>
            </w:r>
          </w:p>
        </w:tc>
        <w:tc>
          <w:tcPr>
            <w:tcW w:w="2249" w:type="dxa"/>
            <w:tcBorders/>
          </w:tcPr>
          <w:p w14:paraId="9CED77AC">
            <w:pPr>
              <w:pStyle w:val="style0"/>
              <w:rPr/>
            </w:pPr>
            <w:r>
              <w:rPr>
                <w:b w:val="false"/>
                <w:sz w:val="12"/>
              </w:rPr>
              <w:t>Aktiv – Dauerkontrolle</w:t>
            </w:r>
          </w:p>
        </w:tc>
      </w:tr>
      <w:tr w14:paraId="C1E0B7F0">
        <w:tblPrEx/>
        <w:trPr>
          <w:jc w:val="center"/>
        </w:trPr>
        <w:tc>
          <w:tcPr>
            <w:tcW w:w="2249" w:type="dxa"/>
            <w:tcBorders/>
          </w:tcPr>
          <w:p w14:paraId="D671579C">
            <w:pPr>
              <w:pStyle w:val="style0"/>
              <w:rPr/>
            </w:pPr>
            <w:r>
              <w:rPr>
                <w:b w:val="false"/>
                <w:sz w:val="12"/>
              </w:rPr>
              <w:t>CON-009</w:t>
            </w:r>
          </w:p>
        </w:tc>
        <w:tc>
          <w:tcPr>
            <w:tcW w:w="2249" w:type="dxa"/>
            <w:tcBorders/>
          </w:tcPr>
          <w:p w14:paraId="27162F8B">
            <w:pPr>
              <w:pStyle w:val="style0"/>
              <w:rPr/>
            </w:pPr>
            <w:r>
              <w:rPr>
                <w:b w:val="false"/>
                <w:sz w:val="12"/>
              </w:rPr>
              <w:t>Mehrfachvergabe von Anforderungs-IDs</w:t>
            </w:r>
          </w:p>
        </w:tc>
        <w:tc>
          <w:tcPr>
            <w:tcW w:w="2249" w:type="dxa"/>
            <w:tcBorders/>
          </w:tcPr>
          <w:p w14:paraId="D7396A44">
            <w:pPr>
              <w:pStyle w:val="style0"/>
              <w:rPr/>
            </w:pPr>
            <w:r>
              <w:rPr>
                <w:b w:val="false"/>
                <w:sz w:val="12"/>
              </w:rPr>
              <w:t>Im Anforderungsregister v0.9 waren REQ-EVA-001, REQ-DAT-001, REQ-NFR-005 und REQ-EVA-006 jeweils doppelt vergeben. Dadurch waren Querverweise nicht eindeutig.</w:t>
            </w:r>
          </w:p>
        </w:tc>
        <w:tc>
          <w:tcPr>
            <w:tcW w:w="2249" w:type="dxa"/>
            <w:tcBorders/>
          </w:tcPr>
          <w:p w14:paraId="ECA65FEE">
            <w:pPr>
              <w:pStyle w:val="style0"/>
              <w:rPr/>
            </w:pPr>
            <w:r>
              <w:rPr>
                <w:b w:val="false"/>
                <w:sz w:val="12"/>
              </w:rPr>
              <w:t>Anforderungsregister; Änderungsprotokoll; Konfliktregister; spätere Fachspezifikationen</w:t>
            </w:r>
          </w:p>
        </w:tc>
        <w:tc>
          <w:tcPr>
            <w:tcW w:w="2249" w:type="dxa"/>
            <w:tcBorders/>
          </w:tcPr>
          <w:p w14:paraId="DBFF1E74">
            <w:pPr>
              <w:pStyle w:val="style0"/>
              <w:rPr/>
            </w:pPr>
            <w:r>
              <w:rPr>
                <w:b w:val="false"/>
                <w:sz w:val="12"/>
              </w:rPr>
              <w:t>Hoch</w:t>
            </w:r>
          </w:p>
        </w:tc>
        <w:tc>
          <w:tcPr>
            <w:tcW w:w="2249" w:type="dxa"/>
            <w:tcBorders/>
          </w:tcPr>
          <w:p w14:paraId="891C20D9">
            <w:pPr>
              <w:pStyle w:val="style0"/>
              <w:rPr/>
            </w:pPr>
            <w:r>
              <w:rPr>
                <w:b w:val="false"/>
                <w:sz w:val="12"/>
              </w:rPr>
              <w:t>Erstvergebene IDs beibehalten; spätere Anforderungen umnummerieren: REQ-EVA-008, REQ-DAT-003, REQ-NFR-007 und REQ-EVA-009. Betroffene Verweise im Änderungsprotokoll korrigieren.</w:t>
            </w:r>
          </w:p>
        </w:tc>
        <w:tc>
          <w:tcPr>
            <w:tcW w:w="2249" w:type="dxa"/>
            <w:tcBorders/>
          </w:tcPr>
          <w:p w14:paraId="5C12ACC2">
            <w:pPr>
              <w:pStyle w:val="style0"/>
              <w:rPr/>
            </w:pPr>
            <w:r>
              <w:rPr>
                <w:b w:val="false"/>
                <w:sz w:val="12"/>
              </w:rPr>
              <w:t>Gelöst</w:t>
            </w:r>
          </w:p>
        </w:tc>
      </w:tr>
    </w:tbl>
    <w:p w14:paraId="9111D081">
      <w:pPr>
        <w:pStyle w:val="style0"/>
        <w:rPr/>
      </w:pPr>
      <w:r>
        <w:rPr>
          <w:i/>
          <w:sz w:val="16"/>
        </w:rPr>
        <w:t>Historischer Quellenanker: DOC-003 – Tabelle 1 der verbindlichen Fassung gemäß DOC-REG-001 Stand 3.2.</w:t>
      </w:r>
    </w:p>
    <w:p w14:paraId="B2CECA58">
      <w:pPr>
        <w:pStyle w:val="style1"/>
        <w:rPr/>
      </w:pPr>
      <w:r>
        <w:t>6. Änderungshistorie und Freigabenachweis – vollständig</w:t>
      </w:r>
    </w:p>
    <w:tbl>
      <w:tblPr>
        <w:tblStyle w:val="style154"/>
        <w:tblW w:w="0" w:type="auto"/>
        <w:jc w:val="center"/>
        <w:tblLook w:val="04A0" w:firstRow="1" w:lastRow="0" w:firstColumn="1" w:lastColumn="0" w:noHBand="0" w:noVBand="1"/>
      </w:tblPr>
      <w:tblGrid>
        <w:gridCol w:w="1967"/>
        <w:gridCol w:w="1967"/>
        <w:gridCol w:w="1967"/>
        <w:gridCol w:w="1967"/>
        <w:gridCol w:w="1967"/>
        <w:gridCol w:w="1967"/>
        <w:gridCol w:w="1967"/>
        <w:gridCol w:w="1967"/>
      </w:tblGrid>
      <w:tr w14:paraId="D9937FF2">
        <w:trPr>
          <w:tblHeader/>
          <w:jc w:val="center"/>
        </w:trPr>
        <w:tc>
          <w:tcPr>
            <w:tcW w:w="1967" w:type="dxa"/>
            <w:tcBorders/>
            <w:shd w:val="nil" w:color="auto" w:fill="d9eaf7"/>
          </w:tcPr>
          <w:p w14:paraId="B7A8F206">
            <w:pPr>
              <w:pStyle w:val="style0"/>
              <w:rPr/>
            </w:pPr>
            <w:r>
              <w:rPr>
                <w:b/>
                <w:sz w:val="12"/>
              </w:rPr>
              <w:t>CHG-ID</w:t>
            </w:r>
          </w:p>
        </w:tc>
        <w:tc>
          <w:tcPr>
            <w:tcW w:w="1967" w:type="dxa"/>
            <w:tcBorders/>
            <w:shd w:val="nil" w:color="auto" w:fill="d9eaf7"/>
          </w:tcPr>
          <w:p w14:paraId="13A796DE">
            <w:pPr>
              <w:pStyle w:val="style0"/>
              <w:rPr/>
            </w:pPr>
            <w:r>
              <w:rPr>
                <w:b/>
                <w:sz w:val="12"/>
              </w:rPr>
              <w:t>Datum</w:t>
            </w:r>
          </w:p>
        </w:tc>
        <w:tc>
          <w:tcPr>
            <w:tcW w:w="1967" w:type="dxa"/>
            <w:tcBorders/>
            <w:shd w:val="nil" w:color="auto" w:fill="d9eaf7"/>
          </w:tcPr>
          <w:p w14:paraId="AB6C2050">
            <w:pPr>
              <w:pStyle w:val="style0"/>
              <w:rPr/>
            </w:pPr>
            <w:r>
              <w:rPr>
                <w:b/>
                <w:sz w:val="12"/>
              </w:rPr>
              <w:t>Artefakt / Version</w:t>
            </w:r>
          </w:p>
        </w:tc>
        <w:tc>
          <w:tcPr>
            <w:tcW w:w="1967" w:type="dxa"/>
            <w:tcBorders/>
            <w:shd w:val="nil" w:color="auto" w:fill="d9eaf7"/>
          </w:tcPr>
          <w:p w14:paraId="C5C595ED">
            <w:pPr>
              <w:pStyle w:val="style0"/>
              <w:rPr/>
            </w:pPr>
            <w:r>
              <w:rPr>
                <w:b/>
                <w:sz w:val="12"/>
              </w:rPr>
              <w:t>Änderung</w:t>
            </w:r>
          </w:p>
        </w:tc>
        <w:tc>
          <w:tcPr>
            <w:tcW w:w="1967" w:type="dxa"/>
            <w:tcBorders/>
            <w:shd w:val="nil" w:color="auto" w:fill="d9eaf7"/>
          </w:tcPr>
          <w:p w14:paraId="10AC2A44">
            <w:pPr>
              <w:pStyle w:val="style0"/>
              <w:rPr/>
            </w:pPr>
            <w:r>
              <w:rPr>
                <w:b/>
                <w:sz w:val="12"/>
              </w:rPr>
              <w:t>Grund / Quelle</w:t>
            </w:r>
          </w:p>
        </w:tc>
        <w:tc>
          <w:tcPr>
            <w:tcW w:w="1967" w:type="dxa"/>
            <w:tcBorders/>
            <w:shd w:val="nil" w:color="auto" w:fill="d9eaf7"/>
          </w:tcPr>
          <w:p w14:paraId="A806D771">
            <w:pPr>
              <w:pStyle w:val="style0"/>
              <w:rPr/>
            </w:pPr>
            <w:r>
              <w:rPr>
                <w:b/>
                <w:sz w:val="12"/>
              </w:rPr>
              <w:t>Auswirkung</w:t>
            </w:r>
          </w:p>
        </w:tc>
        <w:tc>
          <w:tcPr>
            <w:tcW w:w="1967" w:type="dxa"/>
            <w:tcBorders/>
            <w:shd w:val="nil" w:color="auto" w:fill="d9eaf7"/>
          </w:tcPr>
          <w:p w14:paraId="F7D74A7D">
            <w:pPr>
              <w:pStyle w:val="style0"/>
              <w:rPr/>
            </w:pPr>
            <w:r>
              <w:rPr>
                <w:b/>
                <w:sz w:val="12"/>
              </w:rPr>
              <w:t>Bearbeiter</w:t>
            </w:r>
          </w:p>
        </w:tc>
        <w:tc>
          <w:tcPr>
            <w:tcW w:w="1967" w:type="dxa"/>
            <w:tcBorders/>
            <w:shd w:val="nil" w:color="auto" w:fill="d9eaf7"/>
          </w:tcPr>
          <w:p w14:paraId="1AFF90E2">
            <w:pPr>
              <w:pStyle w:val="style0"/>
              <w:rPr/>
            </w:pPr>
            <w:r>
              <w:rPr>
                <w:b/>
                <w:sz w:val="12"/>
              </w:rPr>
              <w:t>Status</w:t>
            </w:r>
          </w:p>
        </w:tc>
      </w:tr>
      <w:tr w14:paraId="226136C8">
        <w:tblPrEx/>
        <w:trPr>
          <w:jc w:val="center"/>
        </w:trPr>
        <w:tc>
          <w:tcPr>
            <w:tcW w:w="1967" w:type="dxa"/>
            <w:tcBorders/>
          </w:tcPr>
          <w:p w14:paraId="F2F010B9">
            <w:pPr>
              <w:pStyle w:val="style0"/>
              <w:rPr/>
            </w:pPr>
            <w:r>
              <w:rPr>
                <w:b w:val="false"/>
                <w:sz w:val="12"/>
              </w:rPr>
              <w:t>CHG-0001</w:t>
            </w:r>
          </w:p>
        </w:tc>
        <w:tc>
          <w:tcPr>
            <w:tcW w:w="1967" w:type="dxa"/>
            <w:tcBorders/>
          </w:tcPr>
          <w:p w14:paraId="00A40AA9">
            <w:pPr>
              <w:pStyle w:val="style0"/>
              <w:rPr/>
            </w:pPr>
            <w:r>
              <w:rPr>
                <w:b w:val="false"/>
                <w:sz w:val="12"/>
              </w:rPr>
              <w:t>04.08.2026</w:t>
            </w:r>
          </w:p>
        </w:tc>
        <w:tc>
          <w:tcPr>
            <w:tcW w:w="1967" w:type="dxa"/>
            <w:tcBorders/>
          </w:tcPr>
          <w:p w14:paraId="E9D19CC1">
            <w:pPr>
              <w:pStyle w:val="style0"/>
              <w:rPr/>
            </w:pPr>
            <w:r>
              <w:rPr>
                <w:b w:val="false"/>
                <w:sz w:val="12"/>
              </w:rPr>
              <w:t>Phase-1-Register v0.1</w:t>
            </w:r>
          </w:p>
        </w:tc>
        <w:tc>
          <w:tcPr>
            <w:tcW w:w="1967" w:type="dxa"/>
            <w:tcBorders/>
          </w:tcPr>
          <w:p w14:paraId="838CD12F">
            <w:pPr>
              <w:pStyle w:val="style0"/>
              <w:rPr/>
            </w:pPr>
            <w:r>
              <w:rPr>
                <w:b w:val="false"/>
                <w:sz w:val="12"/>
              </w:rPr>
              <w:t>Initiale Erstellung von Entscheidungs-, Anforderungs-, Konflikt- und Änderungsregister sowie Fach-Chat-Vorlagen.</w:t>
            </w:r>
          </w:p>
        </w:tc>
        <w:tc>
          <w:tcPr>
            <w:tcW w:w="1967" w:type="dxa"/>
            <w:tcBorders/>
          </w:tcPr>
          <w:p w14:paraId="8A1A5E88">
            <w:pPr>
              <w:pStyle w:val="style0"/>
              <w:rPr/>
            </w:pPr>
            <w:r>
              <w:rPr>
                <w:b w:val="false"/>
                <w:sz w:val="12"/>
              </w:rPr>
              <w:t>Projektentscheidung im Chat Grundsatzfragen</w:t>
            </w:r>
          </w:p>
        </w:tc>
        <w:tc>
          <w:tcPr>
            <w:tcW w:w="1967" w:type="dxa"/>
            <w:tcBorders/>
          </w:tcPr>
          <w:p w14:paraId="692C27CD">
            <w:pPr>
              <w:pStyle w:val="style0"/>
              <w:rPr/>
            </w:pPr>
            <w:r>
              <w:rPr>
                <w:b w:val="false"/>
                <w:sz w:val="12"/>
              </w:rPr>
              <w:t>Governance-Grundlage geschaffen.</w:t>
            </w:r>
          </w:p>
        </w:tc>
        <w:tc>
          <w:tcPr>
            <w:tcW w:w="1967" w:type="dxa"/>
            <w:tcBorders/>
          </w:tcPr>
          <w:p w14:paraId="599F534D">
            <w:pPr>
              <w:pStyle w:val="style0"/>
              <w:rPr/>
            </w:pPr>
            <w:r>
              <w:rPr>
                <w:b w:val="false"/>
                <w:sz w:val="12"/>
              </w:rPr>
              <w:t>Projektteam</w:t>
            </w:r>
          </w:p>
        </w:tc>
        <w:tc>
          <w:tcPr>
            <w:tcW w:w="1967" w:type="dxa"/>
            <w:tcBorders/>
          </w:tcPr>
          <w:p w14:paraId="1CA7335D">
            <w:pPr>
              <w:pStyle w:val="style0"/>
              <w:rPr/>
            </w:pPr>
            <w:r>
              <w:rPr>
                <w:b w:val="false"/>
                <w:sz w:val="12"/>
              </w:rPr>
              <w:t>Abgeschlossen</w:t>
            </w:r>
          </w:p>
        </w:tc>
      </w:tr>
      <w:tr w14:paraId="E5C69EEE">
        <w:tblPrEx/>
        <w:trPr>
          <w:jc w:val="center"/>
        </w:trPr>
        <w:tc>
          <w:tcPr>
            <w:tcW w:w="1967" w:type="dxa"/>
            <w:tcBorders/>
          </w:tcPr>
          <w:p w14:paraId="0D270BDA">
            <w:pPr>
              <w:pStyle w:val="style0"/>
              <w:rPr/>
            </w:pPr>
            <w:r>
              <w:rPr>
                <w:b w:val="false"/>
                <w:sz w:val="12"/>
              </w:rPr>
              <w:t>CHG-0002</w:t>
            </w:r>
          </w:p>
        </w:tc>
        <w:tc>
          <w:tcPr>
            <w:tcW w:w="1967" w:type="dxa"/>
            <w:tcBorders/>
          </w:tcPr>
          <w:p w14:paraId="9A0A06DB">
            <w:pPr>
              <w:pStyle w:val="style0"/>
              <w:rPr/>
            </w:pPr>
            <w:r>
              <w:rPr>
                <w:b w:val="false"/>
                <w:sz w:val="12"/>
              </w:rPr>
              <w:t>04.08.2026</w:t>
            </w:r>
          </w:p>
        </w:tc>
        <w:tc>
          <w:tcPr>
            <w:tcW w:w="1967" w:type="dxa"/>
            <w:tcBorders/>
          </w:tcPr>
          <w:p w14:paraId="A464BC1F">
            <w:pPr>
              <w:pStyle w:val="style0"/>
              <w:rPr/>
            </w:pPr>
            <w:r>
              <w:rPr>
                <w:b w:val="false"/>
                <w:sz w:val="12"/>
              </w:rPr>
              <w:t>Entscheidungsregister v0.1</w:t>
            </w:r>
          </w:p>
        </w:tc>
        <w:tc>
          <w:tcPr>
            <w:tcW w:w="1967" w:type="dxa"/>
            <w:tcBorders/>
          </w:tcPr>
          <w:p w14:paraId="FB88AF91">
            <w:pPr>
              <w:pStyle w:val="style0"/>
              <w:rPr/>
            </w:pPr>
            <w:r>
              <w:rPr>
                <w:b w:val="false"/>
                <w:sz w:val="12"/>
              </w:rPr>
              <w:t>Übernahme der bisher beschlossenen Spiel-, Wertungs-, Quellen-, Monitoring- und Versionierungsregeln als DEC-001 bis DEC-012.</w:t>
            </w:r>
          </w:p>
        </w:tc>
        <w:tc>
          <w:tcPr>
            <w:tcW w:w="1967" w:type="dxa"/>
            <w:tcBorders/>
          </w:tcPr>
          <w:p w14:paraId="742943DB">
            <w:pPr>
              <w:pStyle w:val="style0"/>
              <w:rPr/>
            </w:pPr>
            <w:r>
              <w:rPr>
                <w:b w:val="false"/>
                <w:sz w:val="12"/>
              </w:rPr>
              <w:t>Bisherige Grundsatzklärung</w:t>
            </w:r>
          </w:p>
        </w:tc>
        <w:tc>
          <w:tcPr>
            <w:tcW w:w="1967" w:type="dxa"/>
            <w:tcBorders/>
          </w:tcPr>
          <w:p w14:paraId="E3557AF2">
            <w:pPr>
              <w:pStyle w:val="style0"/>
              <w:rPr/>
            </w:pPr>
            <w:r>
              <w:rPr>
                <w:b w:val="false"/>
                <w:sz w:val="12"/>
              </w:rPr>
              <w:t>Verbindliche Referenzen für weitere Arbeit.</w:t>
            </w:r>
          </w:p>
        </w:tc>
        <w:tc>
          <w:tcPr>
            <w:tcW w:w="1967" w:type="dxa"/>
            <w:tcBorders/>
          </w:tcPr>
          <w:p w14:paraId="C6E29079">
            <w:pPr>
              <w:pStyle w:val="style0"/>
              <w:rPr/>
            </w:pPr>
            <w:r>
              <w:rPr>
                <w:b w:val="false"/>
                <w:sz w:val="12"/>
              </w:rPr>
              <w:t>Projektteam</w:t>
            </w:r>
          </w:p>
        </w:tc>
        <w:tc>
          <w:tcPr>
            <w:tcW w:w="1967" w:type="dxa"/>
            <w:tcBorders/>
          </w:tcPr>
          <w:p w14:paraId="5BEDD79E">
            <w:pPr>
              <w:pStyle w:val="style0"/>
              <w:rPr/>
            </w:pPr>
            <w:r>
              <w:rPr>
                <w:b w:val="false"/>
                <w:sz w:val="12"/>
              </w:rPr>
              <w:t>Abgeschlossen</w:t>
            </w:r>
          </w:p>
        </w:tc>
      </w:tr>
      <w:tr w14:paraId="3E1EB65E">
        <w:tblPrEx/>
        <w:trPr>
          <w:jc w:val="center"/>
        </w:trPr>
        <w:tc>
          <w:tcPr>
            <w:tcW w:w="1967" w:type="dxa"/>
            <w:tcBorders/>
          </w:tcPr>
          <w:p w14:paraId="9FA22957">
            <w:pPr>
              <w:pStyle w:val="style0"/>
              <w:rPr/>
            </w:pPr>
            <w:r>
              <w:rPr>
                <w:b w:val="false"/>
                <w:sz w:val="12"/>
              </w:rPr>
              <w:t>CHG-0003</w:t>
            </w:r>
          </w:p>
        </w:tc>
        <w:tc>
          <w:tcPr>
            <w:tcW w:w="1967" w:type="dxa"/>
            <w:tcBorders/>
          </w:tcPr>
          <w:p w14:paraId="1C85DAE2">
            <w:pPr>
              <w:pStyle w:val="style0"/>
              <w:rPr/>
            </w:pPr>
            <w:r>
              <w:rPr>
                <w:b w:val="false"/>
                <w:sz w:val="12"/>
              </w:rPr>
              <w:t>04.08.2026</w:t>
            </w:r>
          </w:p>
        </w:tc>
        <w:tc>
          <w:tcPr>
            <w:tcW w:w="1967" w:type="dxa"/>
            <w:tcBorders/>
          </w:tcPr>
          <w:p w14:paraId="C631B223">
            <w:pPr>
              <w:pStyle w:val="style0"/>
              <w:rPr/>
            </w:pPr>
            <w:r>
              <w:rPr>
                <w:b w:val="false"/>
                <w:sz w:val="12"/>
              </w:rPr>
              <w:t>Entscheidungsregister und Anforderungsregister v0.1 → v0.2</w:t>
            </w:r>
          </w:p>
        </w:tc>
        <w:tc>
          <w:tcPr>
            <w:tcW w:w="1967" w:type="dxa"/>
            <w:tcBorders/>
          </w:tcPr>
          <w:p w14:paraId="032C699E">
            <w:pPr>
              <w:pStyle w:val="style0"/>
              <w:rPr/>
            </w:pPr>
            <w:r>
              <w:rPr>
                <w:b w:val="false"/>
                <w:sz w:val="12"/>
              </w:rPr>
              <w:t>DEC-013 und REQ-MOD-001 zur unterscheidbaren Abbildung von historischer Leistung, Spieltagskontext und aufstellungsabhängigem Nutzen ergänzt.</w:t>
            </w:r>
          </w:p>
        </w:tc>
        <w:tc>
          <w:tcPr>
            <w:tcW w:w="1967" w:type="dxa"/>
            <w:tcBorders/>
          </w:tcPr>
          <w:p w14:paraId="C078F512">
            <w:pPr>
              <w:pStyle w:val="style0"/>
              <w:rPr/>
            </w:pPr>
            <w:r>
              <w:rPr>
                <w:b w:val="false"/>
                <w:sz w:val="12"/>
              </w:rPr>
              <w:t>Beschluss im Chat „Grundsatzfragen“</w:t>
            </w:r>
          </w:p>
        </w:tc>
        <w:tc>
          <w:tcPr>
            <w:tcW w:w="1967" w:type="dxa"/>
            <w:tcBorders/>
          </w:tcPr>
          <w:p w14:paraId="828E4155">
            <w:pPr>
              <w:pStyle w:val="style0"/>
              <w:rPr/>
            </w:pPr>
            <w:r>
              <w:rPr>
                <w:b w:val="false"/>
                <w:sz w:val="12"/>
              </w:rPr>
              <w:t>Prüfauftrag an den Fach-Chat „Erstellung Monitoring-Datei“; mögliche Auswirkungen auf Datenmodell, Dateistruktur und Decision Engine.</w:t>
            </w:r>
          </w:p>
        </w:tc>
        <w:tc>
          <w:tcPr>
            <w:tcW w:w="1967" w:type="dxa"/>
            <w:tcBorders/>
          </w:tcPr>
          <w:p w14:paraId="6D212C3B">
            <w:pPr>
              <w:pStyle w:val="style0"/>
              <w:rPr/>
            </w:pPr>
            <w:r>
              <w:rPr>
                <w:b w:val="false"/>
                <w:sz w:val="12"/>
              </w:rPr>
              <w:t>Projektteam</w:t>
            </w:r>
          </w:p>
        </w:tc>
        <w:tc>
          <w:tcPr>
            <w:tcW w:w="1967" w:type="dxa"/>
            <w:tcBorders/>
          </w:tcPr>
          <w:p w14:paraId="CD146CBA">
            <w:pPr>
              <w:pStyle w:val="style0"/>
              <w:rPr/>
            </w:pPr>
            <w:r>
              <w:rPr>
                <w:b w:val="false"/>
                <w:sz w:val="12"/>
              </w:rPr>
              <w:t>Abgeschlossen</w:t>
            </w:r>
          </w:p>
        </w:tc>
      </w:tr>
      <w:tr w14:paraId="998B5ECD">
        <w:tblPrEx/>
        <w:trPr>
          <w:jc w:val="center"/>
        </w:trPr>
        <w:tc>
          <w:tcPr>
            <w:tcW w:w="1967" w:type="dxa"/>
            <w:tcBorders/>
          </w:tcPr>
          <w:p w14:paraId="6264AD6F">
            <w:pPr>
              <w:pStyle w:val="style0"/>
              <w:rPr/>
            </w:pPr>
            <w:r>
              <w:rPr>
                <w:b w:val="false"/>
                <w:sz w:val="12"/>
              </w:rPr>
              <w:t>CHG-0004</w:t>
            </w:r>
          </w:p>
        </w:tc>
        <w:tc>
          <w:tcPr>
            <w:tcW w:w="1967" w:type="dxa"/>
            <w:tcBorders/>
          </w:tcPr>
          <w:p w14:paraId="066EB71B">
            <w:pPr>
              <w:pStyle w:val="style0"/>
              <w:rPr/>
            </w:pPr>
            <w:r>
              <w:rPr>
                <w:b w:val="false"/>
                <w:sz w:val="12"/>
              </w:rPr>
              <w:t>05.08.2026</w:t>
            </w:r>
          </w:p>
        </w:tc>
        <w:tc>
          <w:tcPr>
            <w:tcW w:w="1967" w:type="dxa"/>
            <w:tcBorders/>
          </w:tcPr>
          <w:p w14:paraId="23D7AA84">
            <w:pPr>
              <w:pStyle w:val="style0"/>
              <w:rPr/>
            </w:pPr>
            <w:r>
              <w:rPr>
                <w:b w:val="false"/>
                <w:sz w:val="12"/>
              </w:rPr>
              <w:t>Entscheidungsregister, Anforderungsregister und Änderungsprotokoll v0.2 → v0.3</w:t>
            </w:r>
          </w:p>
        </w:tc>
        <w:tc>
          <w:tcPr>
            <w:tcW w:w="1967" w:type="dxa"/>
            <w:tcBorders/>
          </w:tcPr>
          <w:p w14:paraId="845C5473">
            <w:pPr>
              <w:pStyle w:val="style0"/>
              <w:rPr/>
            </w:pPr>
            <w:r>
              <w:rPr>
                <w:b w:val="false"/>
                <w:sz w:val="12"/>
              </w:rPr>
              <w:t>Aufnahme von DEC-014 sowie REQ-MOD-002, REQ-MOD-003 und REQ-EVA-008 zur vollständigen Aufstellungsoptimierung einschließlich Ersatzbank und zur ergänzenden Ranking-Baseline.</w:t>
            </w:r>
          </w:p>
        </w:tc>
        <w:tc>
          <w:tcPr>
            <w:tcW w:w="1967" w:type="dxa"/>
            <w:tcBorders/>
          </w:tcPr>
          <w:p w14:paraId="6EA6EFF8">
            <w:pPr>
              <w:pStyle w:val="style0"/>
              <w:rPr/>
            </w:pPr>
            <w:r>
              <w:rPr>
                <w:b w:val="false"/>
                <w:sz w:val="12"/>
              </w:rPr>
              <w:t>Beschluss im Chat „Grundsatzfragen“ nach Übergabe aus dem Fach-Chat „Erstellung Monitoring-Datei“</w:t>
            </w:r>
          </w:p>
        </w:tc>
        <w:tc>
          <w:tcPr>
            <w:tcW w:w="1967" w:type="dxa"/>
            <w:tcBorders/>
          </w:tcPr>
          <w:p w14:paraId="042051DB">
            <w:pPr>
              <w:pStyle w:val="style0"/>
              <w:rPr/>
            </w:pPr>
            <w:r>
              <w:rPr>
                <w:b w:val="false"/>
                <w:sz w:val="12"/>
              </w:rPr>
              <w:t>Verbindlicher fachlicher Zielzustand für die Optimierung; stufenweise technische Umsetzung bleibt zulässig; spätere Vergleichsevaluation erforderlich.</w:t>
            </w:r>
          </w:p>
        </w:tc>
        <w:tc>
          <w:tcPr>
            <w:tcW w:w="1967" w:type="dxa"/>
            <w:tcBorders/>
          </w:tcPr>
          <w:p w14:paraId="48CF59CA">
            <w:pPr>
              <w:pStyle w:val="style0"/>
              <w:rPr/>
            </w:pPr>
            <w:r>
              <w:rPr>
                <w:b w:val="false"/>
                <w:sz w:val="12"/>
              </w:rPr>
              <w:t>Projektteam</w:t>
            </w:r>
          </w:p>
        </w:tc>
        <w:tc>
          <w:tcPr>
            <w:tcW w:w="1967" w:type="dxa"/>
            <w:tcBorders/>
          </w:tcPr>
          <w:p w14:paraId="D8A38E80">
            <w:pPr>
              <w:pStyle w:val="style0"/>
              <w:rPr/>
            </w:pPr>
            <w:r>
              <w:rPr>
                <w:b w:val="false"/>
                <w:sz w:val="12"/>
              </w:rPr>
              <w:t>Abgeschlossen</w:t>
            </w:r>
          </w:p>
        </w:tc>
      </w:tr>
      <w:tr w14:paraId="664357F3">
        <w:tblPrEx/>
        <w:trPr>
          <w:jc w:val="center"/>
        </w:trPr>
        <w:tc>
          <w:tcPr>
            <w:tcW w:w="1967" w:type="dxa"/>
            <w:tcBorders/>
          </w:tcPr>
          <w:p w14:paraId="D0FF0E04">
            <w:pPr>
              <w:pStyle w:val="style0"/>
              <w:rPr/>
            </w:pPr>
            <w:r>
              <w:rPr>
                <w:b w:val="false"/>
                <w:sz w:val="12"/>
              </w:rPr>
              <w:t>CHG-0005</w:t>
            </w:r>
          </w:p>
        </w:tc>
        <w:tc>
          <w:tcPr>
            <w:tcW w:w="1967" w:type="dxa"/>
            <w:tcBorders/>
          </w:tcPr>
          <w:p w14:paraId="A9C27E99">
            <w:pPr>
              <w:pStyle w:val="style0"/>
              <w:rPr/>
            </w:pPr>
            <w:r>
              <w:rPr>
                <w:b w:val="false"/>
                <w:sz w:val="12"/>
              </w:rPr>
              <w:t>05.08.2026</w:t>
            </w:r>
          </w:p>
        </w:tc>
        <w:tc>
          <w:tcPr>
            <w:tcW w:w="1967" w:type="dxa"/>
            <w:tcBorders/>
          </w:tcPr>
          <w:p w14:paraId="9646707A">
            <w:pPr>
              <w:pStyle w:val="style0"/>
              <w:rPr/>
            </w:pPr>
            <w:r>
              <w:rPr>
                <w:b w:val="false"/>
                <w:sz w:val="12"/>
              </w:rPr>
              <w:t>Entscheidungsregister, Anforderungsregister und Änderungsprotokoll v0.3 → v0.4</w:t>
            </w:r>
          </w:p>
        </w:tc>
        <w:tc>
          <w:tcPr>
            <w:tcW w:w="1967" w:type="dxa"/>
            <w:tcBorders/>
          </w:tcPr>
          <w:p w14:paraId="0A99527F">
            <w:pPr>
              <w:pStyle w:val="style0"/>
              <w:rPr/>
            </w:pPr>
            <w:r>
              <w:rPr>
                <w:b w:val="false"/>
                <w:sz w:val="12"/>
              </w:rPr>
              <w:t>Aufnahme von DEC-015 sowie REQ-DAT-003, REQ-SSOT-003, REQ-DAT-002, REQ-MOD-004, REQ-CTL-001 und REQ-NFR-003 zum verbindlichen Umgang mit fehlenden Daten.</w:t>
            </w:r>
          </w:p>
        </w:tc>
        <w:tc>
          <w:tcPr>
            <w:tcW w:w="1967" w:type="dxa"/>
            <w:tcBorders/>
          </w:tcPr>
          <w:p w14:paraId="DC2948F1">
            <w:pPr>
              <w:pStyle w:val="style0"/>
              <w:rPr/>
            </w:pPr>
            <w:r>
              <w:rPr>
                <w:b w:val="false"/>
                <w:sz w:val="12"/>
              </w:rPr>
              <w:t>Beschluss im Chat „Grundsatzfragen“</w:t>
            </w:r>
          </w:p>
        </w:tc>
        <w:tc>
          <w:tcPr>
            <w:tcW w:w="1967" w:type="dxa"/>
            <w:tcBorders/>
          </w:tcPr>
          <w:p w14:paraId="5726E1E5">
            <w:pPr>
              <w:pStyle w:val="style0"/>
              <w:rPr/>
            </w:pPr>
            <w:r>
              <w:rPr>
                <w:b w:val="false"/>
                <w:sz w:val="12"/>
              </w:rPr>
              <w:t>Einheitliche Trennung von tatsächlichen Werten und Fehlstatus; Blockade kritischer Lücken; dokumentierte Standardannahmen nur für nichtkritische Prognosedaten; Folgeaufträge an SSOT, Rohdaten, Monitoring und Kontrollmechanismen.</w:t>
            </w:r>
          </w:p>
        </w:tc>
        <w:tc>
          <w:tcPr>
            <w:tcW w:w="1967" w:type="dxa"/>
            <w:tcBorders/>
          </w:tcPr>
          <w:p w14:paraId="2C901AFA">
            <w:pPr>
              <w:pStyle w:val="style0"/>
              <w:rPr/>
            </w:pPr>
            <w:r>
              <w:rPr>
                <w:b w:val="false"/>
                <w:sz w:val="12"/>
              </w:rPr>
              <w:t>Projektteam</w:t>
            </w:r>
          </w:p>
        </w:tc>
        <w:tc>
          <w:tcPr>
            <w:tcW w:w="1967" w:type="dxa"/>
            <w:tcBorders/>
          </w:tcPr>
          <w:p w14:paraId="7A1BFBCF">
            <w:pPr>
              <w:pStyle w:val="style0"/>
              <w:rPr/>
            </w:pPr>
            <w:r>
              <w:rPr>
                <w:b w:val="false"/>
                <w:sz w:val="12"/>
              </w:rPr>
              <w:t>Abgeschlossen</w:t>
            </w:r>
          </w:p>
        </w:tc>
      </w:tr>
      <w:tr w14:paraId="B1E9FEC7">
        <w:tblPrEx/>
        <w:trPr>
          <w:jc w:val="center"/>
        </w:trPr>
        <w:tc>
          <w:tcPr>
            <w:tcW w:w="1967" w:type="dxa"/>
            <w:tcBorders/>
          </w:tcPr>
          <w:p w14:paraId="FCF4B0C5">
            <w:pPr>
              <w:pStyle w:val="style0"/>
              <w:rPr/>
            </w:pPr>
            <w:r>
              <w:rPr>
                <w:b w:val="false"/>
                <w:sz w:val="12"/>
              </w:rPr>
              <w:t>CHG-0006</w:t>
            </w:r>
          </w:p>
        </w:tc>
        <w:tc>
          <w:tcPr>
            <w:tcW w:w="1967" w:type="dxa"/>
            <w:tcBorders/>
          </w:tcPr>
          <w:p w14:paraId="A5D147F4">
            <w:pPr>
              <w:pStyle w:val="style0"/>
              <w:rPr/>
            </w:pPr>
            <w:r>
              <w:rPr>
                <w:b w:val="false"/>
                <w:sz w:val="12"/>
              </w:rPr>
              <w:t>05.08.2026</w:t>
            </w:r>
          </w:p>
        </w:tc>
        <w:tc>
          <w:tcPr>
            <w:tcW w:w="1967" w:type="dxa"/>
            <w:tcBorders/>
          </w:tcPr>
          <w:p w14:paraId="268E8DCC">
            <w:pPr>
              <w:pStyle w:val="style0"/>
              <w:rPr/>
            </w:pPr>
            <w:r>
              <w:rPr>
                <w:b w:val="false"/>
                <w:sz w:val="12"/>
              </w:rPr>
              <w:t>Entscheidungsregister v0.4 → v0.5; Änderungsprotokoll v0.4 → v0.5</w:t>
            </w:r>
          </w:p>
        </w:tc>
        <w:tc>
          <w:tcPr>
            <w:tcW w:w="1967" w:type="dxa"/>
            <w:tcBorders/>
          </w:tcPr>
          <w:p w14:paraId="A66CE2D6">
            <w:pPr>
              <w:pStyle w:val="style0"/>
              <w:rPr/>
            </w:pPr>
            <w:r>
              <w:rPr>
                <w:b w:val="false"/>
                <w:sz w:val="12"/>
              </w:rPr>
              <w:t>Aufnahme von DEC-016 zum Umgang mit widersprüchlichen Quellen, zur bedingten Gewichtung von Traineraussagen und zur verpflichtenden abschließenden Manager-Entscheidung in nicht auflösbaren Zweifelsfällen.</w:t>
            </w:r>
          </w:p>
        </w:tc>
        <w:tc>
          <w:tcPr>
            <w:tcW w:w="1967" w:type="dxa"/>
            <w:tcBorders/>
          </w:tcPr>
          <w:p w14:paraId="A97E9905">
            <w:pPr>
              <w:pStyle w:val="style0"/>
              <w:rPr/>
            </w:pPr>
            <w:r>
              <w:rPr>
                <w:b w:val="false"/>
                <w:sz w:val="12"/>
              </w:rPr>
              <w:t>Beschluss im Chat „Grundsatzfragen“</w:t>
            </w:r>
          </w:p>
        </w:tc>
        <w:tc>
          <w:tcPr>
            <w:tcW w:w="1967" w:type="dxa"/>
            <w:tcBorders/>
          </w:tcPr>
          <w:p w14:paraId="85A8CCC4">
            <w:pPr>
              <w:pStyle w:val="style0"/>
              <w:rPr/>
            </w:pPr>
            <w:r>
              <w:rPr>
                <w:b w:val="false"/>
                <w:sz w:val="12"/>
              </w:rPr>
              <w:t>Verbindliche Regel für Quellenkonflikte und Manager Overrides; Folgeanforderungen für Quellenstatus, Konfliktdokumentation, Prognosesicherheit und spätere Evaluation.</w:t>
            </w:r>
          </w:p>
        </w:tc>
        <w:tc>
          <w:tcPr>
            <w:tcW w:w="1967" w:type="dxa"/>
            <w:tcBorders/>
          </w:tcPr>
          <w:p w14:paraId="7367BD10">
            <w:pPr>
              <w:pStyle w:val="style0"/>
              <w:rPr/>
            </w:pPr>
            <w:r>
              <w:rPr>
                <w:b w:val="false"/>
                <w:sz w:val="12"/>
              </w:rPr>
              <w:t>Projektteam</w:t>
            </w:r>
          </w:p>
        </w:tc>
        <w:tc>
          <w:tcPr>
            <w:tcW w:w="1967" w:type="dxa"/>
            <w:tcBorders/>
          </w:tcPr>
          <w:p w14:paraId="376FF3D0">
            <w:pPr>
              <w:pStyle w:val="style0"/>
              <w:rPr/>
            </w:pPr>
            <w:r>
              <w:rPr>
                <w:b w:val="false"/>
                <w:sz w:val="12"/>
              </w:rPr>
              <w:t>Abgeschlossen</w:t>
            </w:r>
          </w:p>
        </w:tc>
      </w:tr>
      <w:tr w14:paraId="60E687A7">
        <w:tblPrEx/>
        <w:trPr>
          <w:jc w:val="center"/>
        </w:trPr>
        <w:tc>
          <w:tcPr>
            <w:tcW w:w="1967" w:type="dxa"/>
            <w:tcBorders/>
          </w:tcPr>
          <w:p w14:paraId="24140B13">
            <w:pPr>
              <w:pStyle w:val="style0"/>
              <w:rPr/>
            </w:pPr>
            <w:r>
              <w:rPr>
                <w:b w:val="false"/>
                <w:sz w:val="12"/>
              </w:rPr>
              <w:t>CHG-0007</w:t>
            </w:r>
          </w:p>
        </w:tc>
        <w:tc>
          <w:tcPr>
            <w:tcW w:w="1967" w:type="dxa"/>
            <w:tcBorders/>
          </w:tcPr>
          <w:p w14:paraId="D49EE267">
            <w:pPr>
              <w:pStyle w:val="style0"/>
              <w:rPr/>
            </w:pPr>
            <w:r>
              <w:rPr>
                <w:b w:val="false"/>
                <w:sz w:val="12"/>
              </w:rPr>
              <w:t>05.08.2026</w:t>
            </w:r>
          </w:p>
        </w:tc>
        <w:tc>
          <w:tcPr>
            <w:tcW w:w="1967" w:type="dxa"/>
            <w:tcBorders/>
          </w:tcPr>
          <w:p w14:paraId="46ACFC01">
            <w:pPr>
              <w:pStyle w:val="style0"/>
              <w:rPr/>
            </w:pPr>
            <w:r>
              <w:rPr>
                <w:b w:val="false"/>
                <w:sz w:val="12"/>
              </w:rPr>
              <w:t>Entscheidungsregister v0.5 → v0.6; Anforderungsregister v0.4 → v0.5; Änderungsprotokoll v0.5 → v0.6</w:t>
            </w:r>
          </w:p>
        </w:tc>
        <w:tc>
          <w:tcPr>
            <w:tcW w:w="1967" w:type="dxa"/>
            <w:tcBorders/>
          </w:tcPr>
          <w:p w14:paraId="3FB409A2">
            <w:pPr>
              <w:pStyle w:val="style0"/>
              <w:rPr/>
            </w:pPr>
            <w:r>
              <w:rPr>
                <w:b w:val="false"/>
                <w:sz w:val="12"/>
              </w:rPr>
              <w:t>Aufnahme von DEC-017 sowie REQ-DEC-002, REQ-DEC-003, REQ-NFR-004, REQ-EVA-002 und REQ-MON-008 zur Rolle des Manager Override. Festgelegt wurden die abschließende Entscheidungsbefugnis des Managers, die Zulässigkeit eines Overrides ohne Begründung, die getrennte Speicherung von Vorschlag, Diskussion und Entscheidung sowie deren getrennte Evaluation.</w:t>
            </w:r>
          </w:p>
        </w:tc>
        <w:tc>
          <w:tcPr>
            <w:tcW w:w="1967" w:type="dxa"/>
            <w:tcBorders/>
          </w:tcPr>
          <w:p w14:paraId="248BF0BF">
            <w:pPr>
              <w:pStyle w:val="style0"/>
              <w:rPr/>
            </w:pPr>
            <w:r>
              <w:rPr>
                <w:b w:val="false"/>
                <w:sz w:val="12"/>
              </w:rPr>
              <w:t>Beschluss im Chat „Grundsatzfragen“</w:t>
            </w:r>
          </w:p>
        </w:tc>
        <w:tc>
          <w:tcPr>
            <w:tcW w:w="1967" w:type="dxa"/>
            <w:tcBorders/>
          </w:tcPr>
          <w:p w14:paraId="6ACD9F7E">
            <w:pPr>
              <w:pStyle w:val="style0"/>
              <w:rPr/>
            </w:pPr>
            <w:r>
              <w:rPr>
                <w:b w:val="false"/>
                <w:sz w:val="12"/>
              </w:rPr>
              <w:t>Overrides werden als reguläre menschliche Entscheidungsebene behandelt. Der Modell-Snapshot bleibt unverändert; Begründungen werden erfragt, sind aber freiwillig. Modelländerungen setzen systematischen Evaluationsbedarf voraus.</w:t>
            </w:r>
          </w:p>
        </w:tc>
        <w:tc>
          <w:tcPr>
            <w:tcW w:w="1967" w:type="dxa"/>
            <w:tcBorders/>
          </w:tcPr>
          <w:p w14:paraId="9E1D9DF0">
            <w:pPr>
              <w:pStyle w:val="style0"/>
              <w:rPr/>
            </w:pPr>
            <w:r>
              <w:rPr>
                <w:b w:val="false"/>
                <w:sz w:val="12"/>
              </w:rPr>
              <w:t>Projektteam</w:t>
            </w:r>
          </w:p>
        </w:tc>
        <w:tc>
          <w:tcPr>
            <w:tcW w:w="1967" w:type="dxa"/>
            <w:tcBorders/>
          </w:tcPr>
          <w:p w14:paraId="3C3B4D67">
            <w:pPr>
              <w:pStyle w:val="style0"/>
              <w:rPr/>
            </w:pPr>
            <w:r>
              <w:rPr>
                <w:b w:val="false"/>
                <w:sz w:val="12"/>
              </w:rPr>
              <w:t>Abgeschlossen</w:t>
            </w:r>
          </w:p>
        </w:tc>
      </w:tr>
      <w:tr w14:paraId="9188A725">
        <w:tblPrEx/>
        <w:trPr>
          <w:jc w:val="center"/>
        </w:trPr>
        <w:tc>
          <w:tcPr>
            <w:tcW w:w="1967" w:type="dxa"/>
            <w:tcBorders/>
          </w:tcPr>
          <w:p w14:paraId="CFBA61B3">
            <w:pPr>
              <w:pStyle w:val="style0"/>
              <w:rPr/>
            </w:pPr>
            <w:r>
              <w:rPr>
                <w:b w:val="false"/>
                <w:sz w:val="12"/>
              </w:rPr>
              <w:t>CHG-0008</w:t>
            </w:r>
          </w:p>
        </w:tc>
        <w:tc>
          <w:tcPr>
            <w:tcW w:w="1967" w:type="dxa"/>
            <w:tcBorders/>
          </w:tcPr>
          <w:p w14:paraId="ED89BD92">
            <w:pPr>
              <w:pStyle w:val="style0"/>
              <w:rPr/>
            </w:pPr>
            <w:r>
              <w:rPr>
                <w:b w:val="false"/>
                <w:sz w:val="12"/>
              </w:rPr>
              <w:t>05.08.2026</w:t>
            </w:r>
          </w:p>
        </w:tc>
        <w:tc>
          <w:tcPr>
            <w:tcW w:w="1967" w:type="dxa"/>
            <w:tcBorders/>
          </w:tcPr>
          <w:p w14:paraId="4447EE88">
            <w:pPr>
              <w:pStyle w:val="style0"/>
              <w:rPr/>
            </w:pPr>
            <w:r>
              <w:rPr>
                <w:b w:val="false"/>
                <w:sz w:val="12"/>
              </w:rPr>
              <w:t>Entscheidungsregister v0.6 -&gt; v0.7; Anforderungsregister v0.5 -&gt; v0.6; Änderungsprotokoll v0.6 -&gt; v0.7</w:t>
            </w:r>
          </w:p>
        </w:tc>
        <w:tc>
          <w:tcPr>
            <w:tcW w:w="1967" w:type="dxa"/>
            <w:tcBorders/>
          </w:tcPr>
          <w:p w14:paraId="01C80751">
            <w:pPr>
              <w:pStyle w:val="style0"/>
              <w:rPr/>
            </w:pPr>
            <w:r>
              <w:rPr>
                <w:b w:val="false"/>
                <w:sz w:val="12"/>
              </w:rPr>
              <w:t>Aufnahme von DEC-018 sowie REQ-EVA-003 bis REQ-EVA-007 und REQ-NFR-005 zum Vergleichsmaßstab der Spieltagsevaluation. Festgelegt wurden die getrennte Bewertung von Ergebnis-, Prognose- und Entscheidungsqualität, die Ex-post-Optimal-XI ohne Ersatzbank, eine optionale optimale vollständige Einreichung und die dokumentierte Einzelfallbeurteilung der Begründungsqualität.</w:t>
            </w:r>
          </w:p>
        </w:tc>
        <w:tc>
          <w:tcPr>
            <w:tcW w:w="1967" w:type="dxa"/>
            <w:tcBorders/>
          </w:tcPr>
          <w:p w14:paraId="C0256FFD">
            <w:pPr>
              <w:pStyle w:val="style0"/>
              <w:rPr/>
            </w:pPr>
            <w:r>
              <w:rPr>
                <w:b w:val="false"/>
                <w:sz w:val="12"/>
              </w:rPr>
              <w:t>Beschluss im Chat „Grundsatzfragen“</w:t>
            </w:r>
          </w:p>
        </w:tc>
        <w:tc>
          <w:tcPr>
            <w:tcW w:w="1967" w:type="dxa"/>
            <w:tcBorders/>
          </w:tcPr>
          <w:p w14:paraId="D64962F0">
            <w:pPr>
              <w:pStyle w:val="style0"/>
              <w:rPr/>
            </w:pPr>
            <w:r>
              <w:rPr>
                <w:b w:val="false"/>
                <w:sz w:val="12"/>
              </w:rPr>
              <w:t>Die Evaluation erhält einen klaren Potenzialmaßstab für die erste XI und trennt diesen von Ersatzbankanalyse und qualitativer Entscheidungsbewertung.</w:t>
            </w:r>
          </w:p>
        </w:tc>
        <w:tc>
          <w:tcPr>
            <w:tcW w:w="1967" w:type="dxa"/>
            <w:tcBorders/>
          </w:tcPr>
          <w:p w14:paraId="DA9588AD">
            <w:pPr>
              <w:pStyle w:val="style0"/>
              <w:rPr/>
            </w:pPr>
            <w:r>
              <w:rPr>
                <w:b w:val="false"/>
                <w:sz w:val="12"/>
              </w:rPr>
              <w:t>Projektteam</w:t>
            </w:r>
          </w:p>
        </w:tc>
        <w:tc>
          <w:tcPr>
            <w:tcW w:w="1967" w:type="dxa"/>
            <w:tcBorders/>
          </w:tcPr>
          <w:p w14:paraId="41038C31">
            <w:pPr>
              <w:pStyle w:val="style0"/>
              <w:rPr/>
            </w:pPr>
            <w:r>
              <w:rPr>
                <w:b w:val="false"/>
                <w:sz w:val="12"/>
              </w:rPr>
              <w:t>Abgeschlossen</w:t>
            </w:r>
          </w:p>
        </w:tc>
      </w:tr>
      <w:tr w14:paraId="76BBBD06">
        <w:tblPrEx/>
        <w:trPr>
          <w:jc w:val="center"/>
        </w:trPr>
        <w:tc>
          <w:tcPr>
            <w:tcW w:w="1967" w:type="dxa"/>
            <w:tcBorders/>
          </w:tcPr>
          <w:p w14:paraId="0695816A">
            <w:pPr>
              <w:pStyle w:val="style0"/>
              <w:rPr/>
            </w:pPr>
            <w:r>
              <w:rPr>
                <w:b w:val="false"/>
                <w:sz w:val="12"/>
              </w:rPr>
              <w:t>CHG-0009</w:t>
            </w:r>
          </w:p>
        </w:tc>
        <w:tc>
          <w:tcPr>
            <w:tcW w:w="1967" w:type="dxa"/>
            <w:tcBorders/>
          </w:tcPr>
          <w:p w14:paraId="E0A30ED9">
            <w:pPr>
              <w:pStyle w:val="style0"/>
              <w:rPr/>
            </w:pPr>
            <w:r>
              <w:rPr>
                <w:b w:val="false"/>
                <w:sz w:val="12"/>
              </w:rPr>
              <w:t>05.08.2026</w:t>
            </w:r>
          </w:p>
        </w:tc>
        <w:tc>
          <w:tcPr>
            <w:tcW w:w="1967" w:type="dxa"/>
            <w:tcBorders/>
          </w:tcPr>
          <w:p w14:paraId="80E4395E">
            <w:pPr>
              <w:pStyle w:val="style0"/>
              <w:rPr/>
            </w:pPr>
            <w:r>
              <w:rPr>
                <w:b w:val="false"/>
                <w:sz w:val="12"/>
              </w:rPr>
              <w:t>Entscheidungsregister v0.7 → v0.8; Anforderungsregister v0.6 → v0.7; Änderungsprotokoll v0.7 → v0.8</w:t>
            </w:r>
          </w:p>
        </w:tc>
        <w:tc>
          <w:tcPr>
            <w:tcW w:w="1967" w:type="dxa"/>
            <w:tcBorders/>
          </w:tcPr>
          <w:p w14:paraId="C3ADB041">
            <w:pPr>
              <w:pStyle w:val="style0"/>
              <w:rPr/>
            </w:pPr>
            <w:r>
              <w:rPr>
                <w:b w:val="false"/>
                <w:sz w:val="12"/>
              </w:rPr>
              <w:t>Aufnahme von DEC-019 und der daraus abgeleiteten Anforderungen zur ausschließlich privaten Projektnutzung, zur internen Funktion von Quellenangaben, zur Trennung verbindlicher Daten von ungeprüften Roh- und Arbeitsdaten sowie zur dokumentierten Prüfung externer automatisierter Datenquellen.</w:t>
            </w:r>
          </w:p>
        </w:tc>
        <w:tc>
          <w:tcPr>
            <w:tcW w:w="1967" w:type="dxa"/>
            <w:tcBorders/>
          </w:tcPr>
          <w:p w14:paraId="0339053C">
            <w:pPr>
              <w:pStyle w:val="style0"/>
              <w:rPr/>
            </w:pPr>
            <w:r>
              <w:rPr>
                <w:b w:val="false"/>
                <w:sz w:val="12"/>
              </w:rPr>
              <w:t>Beschluss im Chat „Grundsatzfragen“</w:t>
            </w:r>
          </w:p>
        </w:tc>
        <w:tc>
          <w:tcPr>
            <w:tcW w:w="1967" w:type="dxa"/>
            <w:tcBorders/>
          </w:tcPr>
          <w:p w14:paraId="943A5E8C">
            <w:pPr>
              <w:pStyle w:val="style0"/>
              <w:rPr/>
            </w:pPr>
            <w:r>
              <w:rPr>
                <w:b w:val="false"/>
                <w:sz w:val="12"/>
              </w:rPr>
              <w:t>Quellennachweise werden funktional für Nachvollziehbarkeit, Reproduzierbarkeit, Diskussion und Evaluation geführt. Eine Veröffentlichung ist nicht vorgesehen. Der Nachweisumfang richtet sich nach dem internen Projektzweck.</w:t>
            </w:r>
          </w:p>
        </w:tc>
        <w:tc>
          <w:tcPr>
            <w:tcW w:w="1967" w:type="dxa"/>
            <w:tcBorders/>
          </w:tcPr>
          <w:p w14:paraId="8A5B425C">
            <w:pPr>
              <w:pStyle w:val="style0"/>
              <w:rPr/>
            </w:pPr>
            <w:r>
              <w:rPr>
                <w:b w:val="false"/>
                <w:sz w:val="12"/>
              </w:rPr>
              <w:t>Projektteam</w:t>
            </w:r>
          </w:p>
        </w:tc>
        <w:tc>
          <w:tcPr>
            <w:tcW w:w="1967" w:type="dxa"/>
            <w:tcBorders/>
          </w:tcPr>
          <w:p w14:paraId="D457A232">
            <w:pPr>
              <w:pStyle w:val="style0"/>
              <w:rPr/>
            </w:pPr>
            <w:r>
              <w:rPr>
                <w:b w:val="false"/>
                <w:sz w:val="12"/>
              </w:rPr>
              <w:t>Abgeschlossen</w:t>
            </w:r>
          </w:p>
        </w:tc>
      </w:tr>
      <w:tr w14:paraId="439D8619">
        <w:tblPrEx/>
        <w:trPr>
          <w:jc w:val="center"/>
        </w:trPr>
        <w:tc>
          <w:tcPr>
            <w:tcW w:w="1967" w:type="dxa"/>
            <w:tcBorders/>
          </w:tcPr>
          <w:p w14:paraId="4884BB4C">
            <w:pPr>
              <w:pStyle w:val="style0"/>
              <w:rPr/>
            </w:pPr>
            <w:r>
              <w:rPr>
                <w:b w:val="false"/>
                <w:sz w:val="12"/>
              </w:rPr>
              <w:t>CHG-0010</w:t>
            </w:r>
          </w:p>
        </w:tc>
        <w:tc>
          <w:tcPr>
            <w:tcW w:w="1967" w:type="dxa"/>
            <w:tcBorders/>
          </w:tcPr>
          <w:p w14:paraId="C07A13DF">
            <w:pPr>
              <w:pStyle w:val="style0"/>
              <w:rPr/>
            </w:pPr>
            <w:r>
              <w:rPr>
                <w:b w:val="false"/>
                <w:sz w:val="12"/>
              </w:rPr>
              <w:t>05.08.2026</w:t>
            </w:r>
          </w:p>
        </w:tc>
        <w:tc>
          <w:tcPr>
            <w:tcW w:w="1967" w:type="dxa"/>
            <w:tcBorders/>
          </w:tcPr>
          <w:p w14:paraId="79EA251F">
            <w:pPr>
              <w:pStyle w:val="style0"/>
              <w:rPr/>
            </w:pPr>
            <w:r>
              <w:rPr>
                <w:b w:val="false"/>
                <w:sz w:val="12"/>
              </w:rPr>
              <w:t>Entscheidungsregister v0.8 → v0.9; Anforderungsregister v0.7 → v0.8; Änderungsprotokoll v0.8 → v0.9</w:t>
            </w:r>
          </w:p>
        </w:tc>
        <w:tc>
          <w:tcPr>
            <w:tcW w:w="1967" w:type="dxa"/>
            <w:tcBorders/>
          </w:tcPr>
          <w:p w14:paraId="C0EF1F08">
            <w:pPr>
              <w:pStyle w:val="style0"/>
              <w:rPr/>
            </w:pPr>
            <w:r>
              <w:rPr>
                <w:b w:val="false"/>
                <w:sz w:val="12"/>
              </w:rPr>
              <w:t>Aufnahme von DEC-020 und den daraus abgeleiteten Anforderungen zum Einfrieren, Versionieren und Freigeben von Empfehlungen sowie zur Bildung einer spielerbezogenen und konsolidierten offiziellen Evaluationsreferenz.</w:t>
            </w:r>
          </w:p>
        </w:tc>
        <w:tc>
          <w:tcPr>
            <w:tcW w:w="1967" w:type="dxa"/>
            <w:tcBorders/>
          </w:tcPr>
          <w:p w14:paraId="2BCA9FD2">
            <w:pPr>
              <w:pStyle w:val="style0"/>
              <w:rPr/>
            </w:pPr>
            <w:r>
              <w:rPr>
                <w:b w:val="false"/>
                <w:sz w:val="12"/>
              </w:rPr>
              <w:t>Beschluss im Chat „Grundsatzfragen“</w:t>
            </w:r>
          </w:p>
        </w:tc>
        <w:tc>
          <w:tcPr>
            <w:tcW w:w="1967" w:type="dxa"/>
            <w:tcBorders/>
          </w:tcPr>
          <w:p w14:paraId="F3BE4BB7">
            <w:pPr>
              <w:pStyle w:val="style0"/>
              <w:rPr/>
            </w:pPr>
            <w:r>
              <w:rPr>
                <w:b w:val="false"/>
                <w:sz w:val="12"/>
              </w:rPr>
              <w:t>Jeder ausgegebene Vorschlag wird unveränderlich gespeichert. Für die Hauptevaluation zählt je Aufstellungsbestandteil der letzte vor dessen Sperre freigegebene Modellvorschlag; technische Zwischenstände bleiben ausgeschlossen.</w:t>
            </w:r>
          </w:p>
        </w:tc>
        <w:tc>
          <w:tcPr>
            <w:tcW w:w="1967" w:type="dxa"/>
            <w:tcBorders/>
          </w:tcPr>
          <w:p w14:paraId="757730C8">
            <w:pPr>
              <w:pStyle w:val="style0"/>
              <w:rPr/>
            </w:pPr>
            <w:r>
              <w:rPr>
                <w:b w:val="false"/>
                <w:sz w:val="12"/>
              </w:rPr>
              <w:t>Projektteam</w:t>
            </w:r>
          </w:p>
        </w:tc>
        <w:tc>
          <w:tcPr>
            <w:tcW w:w="1967" w:type="dxa"/>
            <w:tcBorders/>
          </w:tcPr>
          <w:p w14:paraId="B7A8840F">
            <w:pPr>
              <w:pStyle w:val="style0"/>
              <w:rPr/>
            </w:pPr>
            <w:r>
              <w:rPr>
                <w:b w:val="false"/>
                <w:sz w:val="12"/>
              </w:rPr>
              <w:t>Abgeschlossen</w:t>
            </w:r>
          </w:p>
        </w:tc>
      </w:tr>
      <w:tr w14:paraId="D07A3CD1">
        <w:tblPrEx/>
        <w:trPr>
          <w:jc w:val="center"/>
        </w:trPr>
        <w:tc>
          <w:tcPr>
            <w:tcW w:w="1967" w:type="dxa"/>
            <w:tcBorders/>
          </w:tcPr>
          <w:p w14:paraId="744B9746">
            <w:pPr>
              <w:pStyle w:val="style0"/>
              <w:rPr/>
            </w:pPr>
            <w:r>
              <w:rPr>
                <w:b w:val="false"/>
                <w:sz w:val="12"/>
              </w:rPr>
              <w:t>CHG-0011</w:t>
            </w:r>
          </w:p>
        </w:tc>
        <w:tc>
          <w:tcPr>
            <w:tcW w:w="1967" w:type="dxa"/>
            <w:tcBorders/>
          </w:tcPr>
          <w:p w14:paraId="E97FE245">
            <w:pPr>
              <w:pStyle w:val="style0"/>
              <w:rPr/>
            </w:pPr>
            <w:r>
              <w:rPr>
                <w:b w:val="false"/>
                <w:sz w:val="12"/>
              </w:rPr>
              <w:t>06.08.2026</w:t>
            </w:r>
          </w:p>
        </w:tc>
        <w:tc>
          <w:tcPr>
            <w:tcW w:w="1967" w:type="dxa"/>
            <w:tcBorders/>
          </w:tcPr>
          <w:p w14:paraId="D710F64E">
            <w:pPr>
              <w:pStyle w:val="style0"/>
              <w:rPr/>
            </w:pPr>
            <w:r>
              <w:rPr>
                <w:b w:val="false"/>
                <w:sz w:val="12"/>
              </w:rPr>
              <w:t>Konflikt- und Abhängigkeitsregister v0.1 → v0.2; Entscheidungsregister v0.9 → v0.10; Anforderungsregister v0.8 → v0.9; Änderungsprotokoll v0.9 → v0.10</w:t>
            </w:r>
          </w:p>
        </w:tc>
        <w:tc>
          <w:tcPr>
            <w:tcW w:w="1967" w:type="dxa"/>
            <w:tcBorders/>
          </w:tcPr>
          <w:p w14:paraId="0624E885">
            <w:pPr>
              <w:pStyle w:val="style0"/>
              <w:rPr/>
            </w:pPr>
            <w:r>
              <w:rPr>
                <w:b w:val="false"/>
                <w:sz w:val="12"/>
              </w:rPr>
              <w:t>CON-007 wurde durch DEC-021 verbindlich gelöst. Ergänzt wurden REQ-MON-010 und REQ-CTL-002 zum Umgang mit nicht mehr aufstellbaren Spielern in einer Vorwochenaufstellung, zum Ausschluss automatischer Ersetzung und zur Anzeige kritischen Handlungsbedarfs.</w:t>
            </w:r>
          </w:p>
        </w:tc>
        <w:tc>
          <w:tcPr>
            <w:tcW w:w="1967" w:type="dxa"/>
            <w:tcBorders/>
          </w:tcPr>
          <w:p w14:paraId="1A8397D9">
            <w:pPr>
              <w:pStyle w:val="style0"/>
              <w:rPr/>
            </w:pPr>
            <w:r>
              <w:rPr>
                <w:b w:val="false"/>
                <w:sz w:val="12"/>
              </w:rPr>
              <w:t>Grundsatzentscheidung aus dem Fach-Chat „Projektsteuerung und Integrationsmanagement“</w:t>
            </w:r>
          </w:p>
        </w:tc>
        <w:tc>
          <w:tcPr>
            <w:tcW w:w="1967" w:type="dxa"/>
            <w:tcBorders/>
          </w:tcPr>
          <w:p w14:paraId="4DD37627">
            <w:pPr>
              <w:pStyle w:val="style0"/>
              <w:rPr/>
            </w:pPr>
            <w:r>
              <w:rPr>
                <w:b w:val="false"/>
                <w:sz w:val="12"/>
              </w:rPr>
              <w:t>Eine nicht mehr vollständig zulässige Vorwochenaufstellung wird nicht stillschweigend fortgeschrieben. Unzulässige Spieler werden weder formal beibehalten noch automatisch ersetzt; der Manager muss sichtbar zur Entscheidung aufgefordert werden.</w:t>
            </w:r>
          </w:p>
        </w:tc>
        <w:tc>
          <w:tcPr>
            <w:tcW w:w="1967" w:type="dxa"/>
            <w:tcBorders/>
          </w:tcPr>
          <w:p w14:paraId="A6ACA97E">
            <w:pPr>
              <w:pStyle w:val="style0"/>
              <w:rPr/>
            </w:pPr>
            <w:r>
              <w:rPr>
                <w:b w:val="false"/>
                <w:sz w:val="12"/>
              </w:rPr>
              <w:t>Projektteam</w:t>
            </w:r>
          </w:p>
        </w:tc>
        <w:tc>
          <w:tcPr>
            <w:tcW w:w="1967" w:type="dxa"/>
            <w:tcBorders/>
          </w:tcPr>
          <w:p w14:paraId="BFC8B805">
            <w:pPr>
              <w:pStyle w:val="style0"/>
              <w:rPr/>
            </w:pPr>
            <w:r>
              <w:rPr>
                <w:b w:val="false"/>
                <w:sz w:val="12"/>
              </w:rPr>
              <w:t>Abgeschlossen</w:t>
            </w:r>
          </w:p>
        </w:tc>
      </w:tr>
      <w:tr w14:paraId="020EABB6">
        <w:tblPrEx/>
        <w:trPr>
          <w:jc w:val="center"/>
        </w:trPr>
        <w:tc>
          <w:tcPr>
            <w:tcW w:w="1967" w:type="dxa"/>
            <w:tcBorders/>
          </w:tcPr>
          <w:p w14:paraId="7F7C990E">
            <w:pPr>
              <w:pStyle w:val="style0"/>
              <w:rPr/>
            </w:pPr>
            <w:r>
              <w:rPr>
                <w:b w:val="false"/>
                <w:sz w:val="12"/>
              </w:rPr>
              <w:t>CHG-0012</w:t>
            </w:r>
          </w:p>
        </w:tc>
        <w:tc>
          <w:tcPr>
            <w:tcW w:w="1967" w:type="dxa"/>
            <w:tcBorders/>
          </w:tcPr>
          <w:p w14:paraId="D87CFB4F">
            <w:pPr>
              <w:pStyle w:val="style0"/>
              <w:rPr/>
            </w:pPr>
            <w:r>
              <w:rPr>
                <w:b w:val="false"/>
                <w:sz w:val="12"/>
              </w:rPr>
              <w:t>06.08.2026</w:t>
            </w:r>
          </w:p>
        </w:tc>
        <w:tc>
          <w:tcPr>
            <w:tcW w:w="1967" w:type="dxa"/>
            <w:tcBorders/>
          </w:tcPr>
          <w:p w14:paraId="B20EE866">
            <w:pPr>
              <w:pStyle w:val="style0"/>
              <w:rPr/>
            </w:pPr>
            <w:r>
              <w:rPr>
                <w:b w:val="false"/>
                <w:sz w:val="12"/>
              </w:rPr>
              <w:t>Konflikt- und Abhängigkeitsregister v0.2 → v0.3; Anforderungsregister v0.9 → v0.10; Änderungsprotokoll v0.10 → v0.11; Dokumentenregister 1.9 → 2.0</w:t>
            </w:r>
          </w:p>
        </w:tc>
        <w:tc>
          <w:tcPr>
            <w:tcW w:w="1967" w:type="dxa"/>
            <w:tcBorders/>
          </w:tcPr>
          <w:p w14:paraId="E225ABC7">
            <w:pPr>
              <w:pStyle w:val="style0"/>
              <w:rPr/>
            </w:pPr>
            <w:r>
              <w:rPr>
                <w:b w:val="false"/>
                <w:sz w:val="12"/>
              </w:rPr>
              <w:t>CON-001 bis CON-005 und CON-008 wurden gegen die aktuellen Entscheidungen neu klassifiziert. CON-002 wurde zugangsneutral präzisiert und blockiert Milestone 1 nicht. CON-009 wurde aufgenommen und durch eindeutige Umnummerierung der doppelt vergebenen Anforderungen gelöst: REQ-EVA-008, REQ-DAT-003, REQ-NFR-007 und REQ-EVA-009. Historische Querverweise in CHG-0004 und CHG-0005 wurden entsprechend eindeutig berichtigt.</w:t>
            </w:r>
          </w:p>
        </w:tc>
        <w:tc>
          <w:tcPr>
            <w:tcW w:w="1967" w:type="dxa"/>
            <w:tcBorders/>
          </w:tcPr>
          <w:p w14:paraId="D5464D30">
            <w:pPr>
              <w:pStyle w:val="style0"/>
              <w:rPr/>
            </w:pPr>
            <w:r>
              <w:rPr>
                <w:b w:val="false"/>
                <w:sz w:val="12"/>
              </w:rPr>
              <w:t>Prüfung und Abstimmung im Chat „Projektsteuerung und Integrationsmanagement“; DEC-001, DEC-006 bis DEC-008, DEC-011, DEC-015, DEC-016, DEC-019 und DEC-021</w:t>
            </w:r>
          </w:p>
        </w:tc>
        <w:tc>
          <w:tcPr>
            <w:tcW w:w="1967" w:type="dxa"/>
            <w:tcBorders/>
          </w:tcPr>
          <w:p w14:paraId="196E5601">
            <w:pPr>
              <w:pStyle w:val="style0"/>
              <w:rPr/>
            </w:pPr>
            <w:r>
              <w:rPr>
                <w:b w:val="false"/>
                <w:sz w:val="12"/>
              </w:rPr>
              <w:t>Bereinigte Konflikt- und Abhängigkeitslage als Grundlage für die Definition des ersten Milestones. Automatischer kicker-Direktzugriff ist weder für Milestone 1 noch zwingend für die spätere Produktivfreigabe vorausgesetzt; geprüfte teilautomatische, dateibasierte oder manuelle Wege bleiben zulässig.</w:t>
            </w:r>
          </w:p>
        </w:tc>
        <w:tc>
          <w:tcPr>
            <w:tcW w:w="1967" w:type="dxa"/>
            <w:tcBorders/>
          </w:tcPr>
          <w:p w14:paraId="0237AA2A">
            <w:pPr>
              <w:pStyle w:val="style0"/>
              <w:rPr/>
            </w:pPr>
            <w:r>
              <w:rPr>
                <w:b w:val="false"/>
                <w:sz w:val="12"/>
              </w:rPr>
              <w:t>Projektteam</w:t>
            </w:r>
          </w:p>
        </w:tc>
        <w:tc>
          <w:tcPr>
            <w:tcW w:w="1967" w:type="dxa"/>
            <w:tcBorders/>
          </w:tcPr>
          <w:p w14:paraId="D8B6F4E5">
            <w:pPr>
              <w:pStyle w:val="style0"/>
              <w:rPr/>
            </w:pPr>
            <w:r>
              <w:rPr>
                <w:b w:val="false"/>
                <w:sz w:val="12"/>
              </w:rPr>
              <w:t>Abgeschlossen</w:t>
            </w:r>
          </w:p>
        </w:tc>
      </w:tr>
      <w:tr w14:paraId="7FB1F8B3">
        <w:tblPrEx/>
        <w:trPr>
          <w:jc w:val="center"/>
        </w:trPr>
        <w:tc>
          <w:tcPr>
            <w:tcW w:w="1967" w:type="dxa"/>
            <w:tcBorders/>
          </w:tcPr>
          <w:p w14:paraId="40AC2018">
            <w:pPr>
              <w:pStyle w:val="style0"/>
              <w:rPr/>
            </w:pPr>
            <w:r>
              <w:rPr>
                <w:b w:val="false"/>
                <w:sz w:val="12"/>
              </w:rPr>
              <w:t>CHG-0013</w:t>
            </w:r>
          </w:p>
        </w:tc>
        <w:tc>
          <w:tcPr>
            <w:tcW w:w="1967" w:type="dxa"/>
            <w:tcBorders/>
          </w:tcPr>
          <w:p w14:paraId="7146E7A5">
            <w:pPr>
              <w:pStyle w:val="style0"/>
              <w:rPr/>
            </w:pPr>
            <w:r>
              <w:rPr>
                <w:b w:val="false"/>
                <w:sz w:val="12"/>
              </w:rPr>
              <w:t>06.08.2026</w:t>
            </w:r>
          </w:p>
        </w:tc>
        <w:tc>
          <w:tcPr>
            <w:tcW w:w="1967" w:type="dxa"/>
            <w:tcBorders/>
          </w:tcPr>
          <w:p w14:paraId="B632AC3F">
            <w:pPr>
              <w:pStyle w:val="style0"/>
              <w:rPr/>
            </w:pPr>
            <w:r>
              <w:rPr>
                <w:b w:val="false"/>
                <w:sz w:val="12"/>
              </w:rPr>
              <w:t>Neues Steuerungsdokument DOC-006 v0.1; Änderungsprotokoll v0.11 → v0.12; Dokumentenregister 2.0 → 2.1</w:t>
            </w:r>
          </w:p>
        </w:tc>
        <w:tc>
          <w:tcPr>
            <w:tcW w:w="1967" w:type="dxa"/>
            <w:tcBorders/>
          </w:tcPr>
          <w:p w14:paraId="B091EFC5">
            <w:pPr>
              <w:pStyle w:val="style0"/>
              <w:rPr/>
            </w:pPr>
            <w:r>
              <w:rPr>
                <w:b w:val="false"/>
                <w:sz w:val="12"/>
              </w:rPr>
              <w:t>Milestone 1 „Festlegung von Datenmodell und Dateistruktur“ wurde mit Zielzustand, 15 Abnahmekriterien, Bearbeitungswellen, einheitlichem Liefer- und Übergabeformat, Liefergegenständen je Fach-Chat, Integrationspunkten und formaler Abnahmelogik verbindlich festgelegt. Welle 0 wurde damit abgeschlossen.</w:t>
            </w:r>
          </w:p>
        </w:tc>
        <w:tc>
          <w:tcPr>
            <w:tcW w:w="1967" w:type="dxa"/>
            <w:tcBorders/>
          </w:tcPr>
          <w:p w14:paraId="9AD544FE">
            <w:pPr>
              <w:pStyle w:val="style0"/>
              <w:rPr/>
            </w:pPr>
            <w:r>
              <w:rPr>
                <w:b w:val="false"/>
                <w:sz w:val="12"/>
              </w:rPr>
              <w:t>Abstimmung im Chat „Projektsteuerung und Integrationsmanagement“ auf Grundlage der aktuellen DEC-, REQ-, CON- und Fach-Chat-Quellen.</w:t>
            </w:r>
          </w:p>
        </w:tc>
        <w:tc>
          <w:tcPr>
            <w:tcW w:w="1967" w:type="dxa"/>
            <w:tcBorders/>
          </w:tcPr>
          <w:p w14:paraId="6EDD2872">
            <w:pPr>
              <w:pStyle w:val="style0"/>
              <w:rPr/>
            </w:pPr>
            <w:r>
              <w:rPr>
                <w:b w:val="false"/>
                <w:sz w:val="12"/>
              </w:rPr>
              <w:t>Verbindliche Steuerungsgrundlage für die gestufte Arbeit der Fach-Chats. Welle 1 kann nach Erteilung des Arbeitsauftrags beginnen; produktiver kicker-Zugriff und technische Implementierung bleiben außerhalb von Milestone 1.</w:t>
            </w:r>
          </w:p>
        </w:tc>
        <w:tc>
          <w:tcPr>
            <w:tcW w:w="1967" w:type="dxa"/>
            <w:tcBorders/>
          </w:tcPr>
          <w:p w14:paraId="65442273">
            <w:pPr>
              <w:pStyle w:val="style0"/>
              <w:rPr/>
            </w:pPr>
            <w:r>
              <w:rPr>
                <w:b w:val="false"/>
                <w:sz w:val="12"/>
              </w:rPr>
              <w:t>Projektteam</w:t>
            </w:r>
          </w:p>
        </w:tc>
        <w:tc>
          <w:tcPr>
            <w:tcW w:w="1967" w:type="dxa"/>
            <w:tcBorders/>
          </w:tcPr>
          <w:p w14:paraId="F9E284B4">
            <w:pPr>
              <w:pStyle w:val="style0"/>
              <w:rPr/>
            </w:pPr>
            <w:r>
              <w:rPr>
                <w:b w:val="false"/>
                <w:sz w:val="12"/>
              </w:rPr>
              <w:t>Abgeschlossen</w:t>
            </w:r>
          </w:p>
        </w:tc>
      </w:tr>
      <w:tr w14:paraId="A36DA446">
        <w:tblPrEx/>
        <w:trPr>
          <w:jc w:val="center"/>
        </w:trPr>
        <w:tc>
          <w:tcPr>
            <w:tcW w:w="1967" w:type="dxa"/>
            <w:tcBorders/>
          </w:tcPr>
          <w:p w14:paraId="B414768B">
            <w:pPr>
              <w:pStyle w:val="style0"/>
              <w:rPr/>
            </w:pPr>
            <w:r>
              <w:rPr>
                <w:b w:val="false"/>
                <w:sz w:val="12"/>
              </w:rPr>
              <w:t>CHG-0014</w:t>
            </w:r>
          </w:p>
        </w:tc>
        <w:tc>
          <w:tcPr>
            <w:tcW w:w="1967" w:type="dxa"/>
            <w:tcBorders/>
          </w:tcPr>
          <w:p w14:paraId="236D93DE">
            <w:pPr>
              <w:pStyle w:val="style0"/>
              <w:rPr/>
            </w:pPr>
            <w:r>
              <w:rPr>
                <w:b w:val="false"/>
                <w:sz w:val="12"/>
              </w:rPr>
              <w:t>07.08.2026</w:t>
            </w:r>
          </w:p>
        </w:tc>
        <w:tc>
          <w:tcPr>
            <w:tcW w:w="1967" w:type="dxa"/>
            <w:tcBorders/>
          </w:tcPr>
          <w:p w14:paraId="4907022B">
            <w:pPr>
              <w:pStyle w:val="style0"/>
              <w:rPr/>
            </w:pPr>
            <w:r>
              <w:rPr>
                <w:b w:val="false"/>
                <w:sz w:val="12"/>
              </w:rPr>
              <w:t>Entscheidungsregister v0.10 → v0.11; Anforderungsregister v0.10 → v0.11; Konfliktregister v0.3 → v0.4; Regeltechnisches Fachkonzept Welle 1 v0.1 → v0.2; Änderungsprotokoll v0.12 → v0.13; Dokumentenregister 2.1 → 2.2</w:t>
            </w:r>
          </w:p>
        </w:tc>
        <w:tc>
          <w:tcPr>
            <w:tcW w:w="1967" w:type="dxa"/>
            <w:tcBorders/>
          </w:tcPr>
          <w:p w14:paraId="75F319A3">
            <w:pPr>
              <w:pStyle w:val="style0"/>
              <w:rPr/>
            </w:pPr>
            <w:r>
              <w:rPr>
                <w:b w:val="false"/>
                <w:sz w:val="12"/>
              </w:rPr>
              <w:t>Aufnahme der Beschlüsse zu GF-RW-001 bis GF-RW-005 sowie GF-RW-006 (Semantik leerer Zellen). Ergänzt wurden DEC-022 bis DEC-027 und Folgeanforderungen. CON-003 und CON-004 wurden fachlich geklärt. Das regeltechnische Fachkonzept wurde integriert, fachlich freigegeben und als DOC-007 in die zentralen Projektquellen aufgenommen.</w:t>
            </w:r>
          </w:p>
        </w:tc>
        <w:tc>
          <w:tcPr>
            <w:tcW w:w="1967" w:type="dxa"/>
            <w:tcBorders/>
          </w:tcPr>
          <w:p w14:paraId="0778F07C">
            <w:pPr>
              <w:pStyle w:val="style0"/>
              <w:rPr/>
            </w:pPr>
            <w:r>
              <w:rPr>
                <w:b w:val="false"/>
                <w:sz w:val="12"/>
              </w:rPr>
              <w:t>Beschlüsse im Chat „Grundsatzfragen“ nach Übergabe aus „Dokumentation Regelwerk“; Regeltechnisches Fachkonzept Welle 1 v0.1</w:t>
            </w:r>
          </w:p>
        </w:tc>
        <w:tc>
          <w:tcPr>
            <w:tcW w:w="1967" w:type="dxa"/>
            <w:tcBorders/>
          </w:tcPr>
          <w:p w14:paraId="7087D86D">
            <w:pPr>
              <w:pStyle w:val="style0"/>
              <w:rPr/>
            </w:pPr>
            <w:r>
              <w:rPr>
                <w:b w:val="false"/>
                <w:sz w:val="12"/>
              </w:rPr>
              <w:t>Die Beschlüsse DEC-022 bis DEC-027 und die daraus abgeleiteten Registerfortschreibungen bleiben bestehen. Die in diesem Eintrag zugleich dokumentierte fachliche Freigabe und Aufnahme des regeltechnischen Fachkonzepts als DOC-007 erfolgte jedoch prozessual verfrüht und wird durch CHG-0015 rückgängig gemacht.</w:t>
            </w:r>
          </w:p>
        </w:tc>
        <w:tc>
          <w:tcPr>
            <w:tcW w:w="1967" w:type="dxa"/>
            <w:tcBorders/>
          </w:tcPr>
          <w:p w14:paraId="EDD8AC6C">
            <w:pPr>
              <w:pStyle w:val="style0"/>
              <w:rPr/>
            </w:pPr>
            <w:r>
              <w:rPr>
                <w:b w:val="false"/>
                <w:sz w:val="12"/>
              </w:rPr>
              <w:t>Projektteam</w:t>
            </w:r>
          </w:p>
        </w:tc>
        <w:tc>
          <w:tcPr>
            <w:tcW w:w="1967" w:type="dxa"/>
            <w:tcBorders/>
          </w:tcPr>
          <w:p w14:paraId="31331531">
            <w:pPr>
              <w:pStyle w:val="style0"/>
              <w:rPr/>
            </w:pPr>
            <w:r>
              <w:rPr>
                <w:b w:val="false"/>
                <w:sz w:val="12"/>
              </w:rPr>
              <w:t>Teilweise korrigiert durch CHG-0015</w:t>
            </w:r>
          </w:p>
        </w:tc>
      </w:tr>
      <w:tr w14:paraId="0FE14B5E">
        <w:tblPrEx/>
        <w:trPr>
          <w:jc w:val="center"/>
        </w:trPr>
        <w:tc>
          <w:tcPr>
            <w:tcW w:w="1967" w:type="dxa"/>
            <w:tcBorders/>
          </w:tcPr>
          <w:p w14:paraId="D51FF55E">
            <w:pPr>
              <w:pStyle w:val="style0"/>
              <w:rPr/>
            </w:pPr>
            <w:r>
              <w:rPr>
                <w:b w:val="false"/>
                <w:sz w:val="12"/>
              </w:rPr>
              <w:t>CHG-0015</w:t>
            </w:r>
          </w:p>
        </w:tc>
        <w:tc>
          <w:tcPr>
            <w:tcW w:w="1967" w:type="dxa"/>
            <w:tcBorders/>
          </w:tcPr>
          <w:p w14:paraId="5E8EF7E3">
            <w:pPr>
              <w:pStyle w:val="style0"/>
              <w:rPr/>
            </w:pPr>
            <w:r>
              <w:rPr>
                <w:b w:val="false"/>
                <w:sz w:val="12"/>
              </w:rPr>
              <w:t>07.08.2026</w:t>
            </w:r>
          </w:p>
        </w:tc>
        <w:tc>
          <w:tcPr>
            <w:tcW w:w="1967" w:type="dxa"/>
            <w:tcBorders/>
          </w:tcPr>
          <w:p w14:paraId="88B83092">
            <w:pPr>
              <w:pStyle w:val="style0"/>
              <w:rPr/>
            </w:pPr>
            <w:r>
              <w:rPr>
                <w:b w:val="false"/>
                <w:sz w:val="12"/>
              </w:rPr>
              <w:t>Änderungsprotokoll v0.13 → v0.14; Dokumentenregister 2.2 → 2.3</w:t>
            </w:r>
          </w:p>
        </w:tc>
        <w:tc>
          <w:tcPr>
            <w:tcW w:w="1967" w:type="dxa"/>
            <w:tcBorders/>
          </w:tcPr>
          <w:p w14:paraId="00DC04E3">
            <w:pPr>
              <w:pStyle w:val="style0"/>
              <w:rPr/>
            </w:pPr>
            <w:r>
              <w:rPr>
                <w:b w:val="false"/>
                <w:sz w:val="12"/>
              </w:rPr>
              <w:t>Korrektur der in CHG-0014 verfrüht dokumentierten Freigabe und zentralen Aufnahme des „Regeltechnischen Fachkonzepts Welle 1 v0.2“. DOC-007 wird aus dem Dokumentenregister entfernt. Das Fachkonzept bleibt Arbeitsergebnis für den zuständigen Fach-Chat „Dokumentation Regelwerk“, der auf Grundlage der beschlossenen DEC-022 bis DEC-027 eine abschließende Fachfassung erstellt und zur Integrationsprüfung an „Projektsteuerung und Integrationsmanagement“ übergibt.</w:t>
            </w:r>
          </w:p>
        </w:tc>
        <w:tc>
          <w:tcPr>
            <w:tcW w:w="1967" w:type="dxa"/>
            <w:tcBorders/>
          </w:tcPr>
          <w:p w14:paraId="679D6714">
            <w:pPr>
              <w:pStyle w:val="style0"/>
              <w:rPr/>
            </w:pPr>
            <w:r>
              <w:rPr>
                <w:b w:val="false"/>
                <w:sz w:val="12"/>
              </w:rPr>
              <w:t>Governance-Korrektur im Chat „Grundsatzfragen“: fachliche Erstellung/Fortschreibung durch den zuständigen Fach-Chat; anschließende Integrationsprüfung und projektweite Freigabe durch „Projektsteuerung und Integrationsmanagement“.</w:t>
            </w:r>
          </w:p>
        </w:tc>
        <w:tc>
          <w:tcPr>
            <w:tcW w:w="1967" w:type="dxa"/>
            <w:tcBorders/>
          </w:tcPr>
          <w:p w14:paraId="D6440125">
            <w:pPr>
              <w:pStyle w:val="style0"/>
              <w:rPr/>
            </w:pPr>
            <w:r>
              <w:rPr>
                <w:b w:val="false"/>
                <w:sz w:val="12"/>
              </w:rPr>
              <w:t>DEC-022 bis DEC-027, Anforderungsregister v0.11 und Konfliktregister v0.4 bleiben inhaltlich unverändert. Das Regeltechnische Fachkonzept Welle 1 v0.2 ist keine verbindliche zentrale Projektquelle. Eine spätere Aufnahme als DOC-007 erfolgt erst nach ordnungsgemäßer Fachfortschreibung und Integrationsfreigabe.</w:t>
            </w:r>
          </w:p>
        </w:tc>
        <w:tc>
          <w:tcPr>
            <w:tcW w:w="1967" w:type="dxa"/>
            <w:tcBorders/>
          </w:tcPr>
          <w:p w14:paraId="CBE3644D">
            <w:pPr>
              <w:pStyle w:val="style0"/>
              <w:rPr/>
            </w:pPr>
            <w:r>
              <w:rPr>
                <w:b w:val="false"/>
                <w:sz w:val="12"/>
              </w:rPr>
              <w:t>Projektteam</w:t>
            </w:r>
          </w:p>
        </w:tc>
        <w:tc>
          <w:tcPr>
            <w:tcW w:w="1967" w:type="dxa"/>
            <w:tcBorders/>
          </w:tcPr>
          <w:p w14:paraId="97468099">
            <w:pPr>
              <w:pStyle w:val="style0"/>
              <w:rPr/>
            </w:pPr>
            <w:r>
              <w:rPr>
                <w:b w:val="false"/>
                <w:sz w:val="12"/>
              </w:rPr>
              <w:t>Abgeschlossen</w:t>
            </w:r>
          </w:p>
        </w:tc>
      </w:tr>
      <w:tr w14:paraId="89AA4920">
        <w:tblPrEx/>
        <w:trPr>
          <w:jc w:val="center"/>
        </w:trPr>
        <w:tc>
          <w:tcPr>
            <w:tcW w:w="1967" w:type="dxa"/>
            <w:tcBorders/>
          </w:tcPr>
          <w:p w14:paraId="0B760399">
            <w:pPr>
              <w:pStyle w:val="style0"/>
              <w:rPr/>
            </w:pPr>
            <w:r>
              <w:rPr>
                <w:b w:val="false"/>
                <w:sz w:val="12"/>
              </w:rPr>
              <w:t>CHG-0016</w:t>
            </w:r>
          </w:p>
        </w:tc>
        <w:tc>
          <w:tcPr>
            <w:tcW w:w="1967" w:type="dxa"/>
            <w:tcBorders/>
          </w:tcPr>
          <w:p w14:paraId="D9CF1B95">
            <w:pPr>
              <w:pStyle w:val="style0"/>
              <w:rPr/>
            </w:pPr>
            <w:r>
              <w:rPr>
                <w:b w:val="false"/>
                <w:sz w:val="12"/>
              </w:rPr>
              <w:t>07.08.2026</w:t>
            </w:r>
          </w:p>
        </w:tc>
        <w:tc>
          <w:tcPr>
            <w:tcW w:w="1967" w:type="dxa"/>
            <w:tcBorders/>
          </w:tcPr>
          <w:p w14:paraId="F6E2EBA5">
            <w:pPr>
              <w:pStyle w:val="style0"/>
              <w:rPr/>
            </w:pPr>
            <w:r>
              <w:rPr>
                <w:b w:val="false"/>
                <w:sz w:val="12"/>
              </w:rPr>
              <w:t>Regeltechnisches Fachkonzept Welle 1 v0.4; Änderungsprotokoll v0.14 → v0.15; Dokumentenregister 2.3 → 2.4</w:t>
            </w:r>
          </w:p>
        </w:tc>
        <w:tc>
          <w:tcPr>
            <w:tcW w:w="1967" w:type="dxa"/>
            <w:tcBorders/>
          </w:tcPr>
          <w:p w14:paraId="8AB626A2">
            <w:pPr>
              <w:pStyle w:val="style0"/>
              <w:rPr/>
            </w:pPr>
            <w:r>
              <w:rPr>
                <w:b w:val="false"/>
                <w:sz w:val="12"/>
              </w:rPr>
              <w:t>Unabhängige Integrationsprüfung der Abschlusslieferung aus Welle 1 abgeschlossen. Das regeltechnische Fachkonzept v0.4 wird als DOC-007 freigegeben und in das Dokumentenregister aufgenommen. FA-RW-001 wird als gemeinsamer Integrationsauftrag für das konsolidierte Statusmodell in Welle 2 geführt; FA-RW-002 wird primär dem Monitoring und nachgelagert den Kontrollmechanismen zugeordnet.</w:t>
            </w:r>
          </w:p>
        </w:tc>
        <w:tc>
          <w:tcPr>
            <w:tcW w:w="1967" w:type="dxa"/>
            <w:tcBorders/>
          </w:tcPr>
          <w:p w14:paraId="1A7D2031">
            <w:pPr>
              <w:pStyle w:val="style0"/>
              <w:rPr/>
            </w:pPr>
            <w:r>
              <w:rPr>
                <w:b w:val="false"/>
                <w:sz w:val="12"/>
              </w:rPr>
              <w:t>Abschlusslieferung des Fach-Chats „Dokumentation Regelwerk“ v0.4; Integrationsprüfung durch „Projektsteuerung und Integrationsmanagement“ gegen DOC-006, DEC-/REQ-/CON-Register und die Zuständigkeitsgrenzen der Welle 2.</w:t>
            </w:r>
          </w:p>
        </w:tc>
        <w:tc>
          <w:tcPr>
            <w:tcW w:w="1967" w:type="dxa"/>
            <w:tcBorders/>
          </w:tcPr>
          <w:p w14:paraId="B44B37F6">
            <w:pPr>
              <w:pStyle w:val="style0"/>
              <w:rPr/>
            </w:pPr>
            <w:r>
              <w:rPr>
                <w:b w:val="false"/>
                <w:sz w:val="12"/>
              </w:rPr>
              <w:t>Welle 1 ist formal abgeschlossen und DOC-007 v0.4 wird verbindliche Eingabe für Welle 2. SSOT und Monitoring können parallel beauftragt werden. FA-RW-001 darf keine fremde Datenhoheit erzeugen; FA-RW-002 begründet keine Kategorienlogik in der SSOT. Keine Änderung an Entscheidungs-, Anforderungs- oder Konfliktregister erforderlich.</w:t>
            </w:r>
          </w:p>
        </w:tc>
        <w:tc>
          <w:tcPr>
            <w:tcW w:w="1967" w:type="dxa"/>
            <w:tcBorders/>
          </w:tcPr>
          <w:p w14:paraId="FA4F7277">
            <w:pPr>
              <w:pStyle w:val="style0"/>
              <w:rPr/>
            </w:pPr>
            <w:r>
              <w:rPr>
                <w:b w:val="false"/>
                <w:sz w:val="12"/>
              </w:rPr>
              <w:t>Projektteam</w:t>
            </w:r>
          </w:p>
        </w:tc>
        <w:tc>
          <w:tcPr>
            <w:tcW w:w="1967" w:type="dxa"/>
            <w:tcBorders/>
          </w:tcPr>
          <w:p w14:paraId="972C460C">
            <w:pPr>
              <w:pStyle w:val="style0"/>
              <w:rPr/>
            </w:pPr>
            <w:r>
              <w:rPr>
                <w:b w:val="false"/>
                <w:sz w:val="12"/>
              </w:rPr>
              <w:t>Abgeschlossen</w:t>
            </w:r>
          </w:p>
        </w:tc>
      </w:tr>
      <w:tr w14:paraId="DF552D3A">
        <w:tblPrEx/>
        <w:trPr>
          <w:jc w:val="center"/>
        </w:trPr>
        <w:tc>
          <w:tcPr>
            <w:tcW w:w="1967" w:type="dxa"/>
            <w:tcBorders/>
          </w:tcPr>
          <w:p w14:paraId="8BE82A2B">
            <w:pPr>
              <w:pStyle w:val="style0"/>
              <w:rPr/>
            </w:pPr>
            <w:r>
              <w:rPr>
                <w:b w:val="false"/>
                <w:sz w:val="12"/>
              </w:rPr>
              <w:t>CHG-0017</w:t>
            </w:r>
          </w:p>
        </w:tc>
        <w:tc>
          <w:tcPr>
            <w:tcW w:w="1967" w:type="dxa"/>
            <w:tcBorders/>
          </w:tcPr>
          <w:p w14:paraId="DF1CD5EA">
            <w:pPr>
              <w:pStyle w:val="style0"/>
              <w:rPr/>
            </w:pPr>
            <w:r>
              <w:rPr>
                <w:b w:val="false"/>
                <w:sz w:val="12"/>
              </w:rPr>
              <w:t>07.08.2026</w:t>
            </w:r>
          </w:p>
        </w:tc>
        <w:tc>
          <w:tcPr>
            <w:tcW w:w="1967" w:type="dxa"/>
            <w:tcBorders/>
          </w:tcPr>
          <w:p w14:paraId="8CBB6A64">
            <w:pPr>
              <w:pStyle w:val="style0"/>
              <w:rPr/>
            </w:pPr>
            <w:r>
              <w:rPr>
                <w:b w:val="false"/>
                <w:sz w:val="12"/>
              </w:rPr>
              <w:t>Entscheidungsregister v0.11 → v0.12; Anforderungsregister v0.11 → v0.12; Änderungsprotokoll v0.15 → v0.16; Dokumentenregister 2.4 → 2.5</w:t>
            </w:r>
          </w:p>
        </w:tc>
        <w:tc>
          <w:tcPr>
            <w:tcW w:w="1967" w:type="dxa"/>
            <w:tcBorders/>
          </w:tcPr>
          <w:p w14:paraId="2C1FBAF4">
            <w:pPr>
              <w:pStyle w:val="style0"/>
              <w:rPr/>
            </w:pPr>
            <w:r>
              <w:rPr>
                <w:b w:val="false"/>
                <w:sz w:val="12"/>
              </w:rPr>
              <w:t>Aufnahme von DEC-028 und REQ-SSOT-004 zur Begrenzung dauerhafter Spielerinformationen in der SSOT für MS1 auf tatsächlich erforderliche Identifikations-, Zuordnungs-, Mapping- und Reproduzierbarkeitsdaten. Weitere personenbezogene oder sportliche Stammdaten werden nicht vorsorglich aufgenommen und bedürfen eines konkreten fachlichen Bedarfs.</w:t>
            </w:r>
          </w:p>
        </w:tc>
        <w:tc>
          <w:tcPr>
            <w:tcW w:w="1967" w:type="dxa"/>
            <w:tcBorders/>
          </w:tcPr>
          <w:p w14:paraId="845AE079">
            <w:pPr>
              <w:pStyle w:val="style0"/>
              <w:rPr/>
            </w:pPr>
            <w:r>
              <w:rPr>
                <w:b w:val="false"/>
                <w:sz w:val="12"/>
              </w:rPr>
              <w:t>GF-SSOT-001 aus Welle 2; bestätigter Vorschlag aus „Projektsteuerung und Integrationsmanagement“ im Chat „Grundsatzfragen“.</w:t>
            </w:r>
          </w:p>
        </w:tc>
        <w:tc>
          <w:tcPr>
            <w:tcW w:w="1967" w:type="dxa"/>
            <w:tcBorders/>
          </w:tcPr>
          <w:p w14:paraId="F7184A9F">
            <w:pPr>
              <w:pStyle w:val="style0"/>
              <w:rPr/>
            </w:pPr>
            <w:r>
              <w:rPr>
                <w:b w:val="false"/>
                <w:sz w:val="12"/>
              </w:rPr>
              <w:t>Der MS1-SSOT-Pflichtumfang wird auf einen begründeten Minimalbestand begrenzt. Der Fach-Chat „Erstellung SSOT“ muss die konkreten Pflichtfelder ableiten; Monitoring, Rohdaten und spätere Module können bei nachgewiesenem Bedarf Erweiterungen auslösen.</w:t>
            </w:r>
          </w:p>
        </w:tc>
        <w:tc>
          <w:tcPr>
            <w:tcW w:w="1967" w:type="dxa"/>
            <w:tcBorders/>
          </w:tcPr>
          <w:p w14:paraId="BAD8306D">
            <w:pPr>
              <w:pStyle w:val="style0"/>
              <w:rPr/>
            </w:pPr>
            <w:r>
              <w:rPr>
                <w:b w:val="false"/>
                <w:sz w:val="12"/>
              </w:rPr>
              <w:t>Projektteam</w:t>
            </w:r>
          </w:p>
        </w:tc>
        <w:tc>
          <w:tcPr>
            <w:tcW w:w="1967" w:type="dxa"/>
            <w:tcBorders/>
          </w:tcPr>
          <w:p w14:paraId="91CAC91B">
            <w:pPr>
              <w:pStyle w:val="style0"/>
              <w:rPr/>
            </w:pPr>
            <w:r>
              <w:rPr>
                <w:b w:val="false"/>
                <w:sz w:val="12"/>
              </w:rPr>
              <w:t>Abgeschlossen</w:t>
            </w:r>
          </w:p>
        </w:tc>
      </w:tr>
      <w:tr w14:paraId="87121A4A">
        <w:tblPrEx/>
        <w:trPr>
          <w:jc w:val="center"/>
        </w:trPr>
        <w:tc>
          <w:tcPr>
            <w:tcW w:w="1967" w:type="dxa"/>
            <w:tcBorders/>
          </w:tcPr>
          <w:p w14:paraId="A86C6B24">
            <w:pPr>
              <w:pStyle w:val="style0"/>
              <w:rPr/>
            </w:pPr>
            <w:r>
              <w:rPr>
                <w:b w:val="false"/>
                <w:sz w:val="12"/>
              </w:rPr>
              <w:t>CHG-0018</w:t>
            </w:r>
          </w:p>
        </w:tc>
        <w:tc>
          <w:tcPr>
            <w:tcW w:w="1967" w:type="dxa"/>
            <w:tcBorders/>
          </w:tcPr>
          <w:p w14:paraId="ECACB506">
            <w:pPr>
              <w:pStyle w:val="style0"/>
              <w:rPr/>
            </w:pPr>
            <w:r>
              <w:rPr>
                <w:b w:val="false"/>
                <w:sz w:val="12"/>
              </w:rPr>
              <w:t>07.08.2026</w:t>
            </w:r>
          </w:p>
        </w:tc>
        <w:tc>
          <w:tcPr>
            <w:tcW w:w="1967" w:type="dxa"/>
            <w:tcBorders/>
          </w:tcPr>
          <w:p w14:paraId="E140289E">
            <w:pPr>
              <w:pStyle w:val="style0"/>
              <w:rPr/>
            </w:pPr>
            <w:r>
              <w:rPr>
                <w:b w:val="false"/>
                <w:sz w:val="12"/>
              </w:rPr>
              <w:t>Entscheidungsregister v0.12 → v0.13; Anforderungsregister v0.12 → v0.13; SSOT-Fachkonzept Welle 2 v0.1; Monitoring-Fachkonzept Welle 2 v0.3; Änderungsprotokoll v0.16 → v0.17; Dokumentenregister 2.5 → 2.6</w:t>
            </w:r>
          </w:p>
        </w:tc>
        <w:tc>
          <w:tcPr>
            <w:tcW w:w="1967" w:type="dxa"/>
            <w:tcBorders/>
          </w:tcPr>
          <w:p w14:paraId="3550674D">
            <w:pPr>
              <w:pStyle w:val="style0"/>
              <w:rPr/>
            </w:pPr>
            <w:r>
              <w:rPr>
                <w:b w:val="false"/>
                <w:sz w:val="12"/>
              </w:rPr>
              <w:t>Formaler Abschluss von Welle 2. Aufnahme von DEC-029 und REQ-MON-016 zur vorausschauenden Sperr- und Re-Check-Planung. Die fachlich abgenommenen Abschlussfassungen von SSOT und Monitoring werden als DOC-008 und DOC-009 in die verbindlichen Projektquellen aufgenommen. Die SSOT-/Monitoring-Schnittstelle wird mit SSOT_PROCESSABLE/SSOT_BLOCKED versus Monitoring-ELIGIBILITY als konsistent bestätigt. FA-RW-001 und FA-RW-002 gelten für Welle 2 als fachlich integriert. Zusätzlich wird TODO-DOC-001 erledigt: DOC-007 erhält ohne Inhalts-/Versionsänderung den fortlaufenden Dateinamen 07_Regeltechnisches_Fachkonzept_Welle1_v0.4.docx.</w:t>
            </w:r>
          </w:p>
        </w:tc>
        <w:tc>
          <w:tcPr>
            <w:tcW w:w="1967" w:type="dxa"/>
            <w:tcBorders/>
          </w:tcPr>
          <w:p w14:paraId="98ECB68D">
            <w:pPr>
              <w:pStyle w:val="style0"/>
              <w:rPr/>
            </w:pPr>
            <w:r>
              <w:rPr>
                <w:b w:val="false"/>
                <w:sz w:val="12"/>
              </w:rPr>
              <w:t>Integrationsprüfung Welle 2 durch Projektsteuerung; bestätigte SSOT-Abschlussfassung; Monitoring-Abschlussfassung v0.3; Nutzerbeschluss zur Re-Check-Planung.</w:t>
            </w:r>
          </w:p>
        </w:tc>
        <w:tc>
          <w:tcPr>
            <w:tcW w:w="1967" w:type="dxa"/>
            <w:tcBorders/>
          </w:tcPr>
          <w:p w14:paraId="E7928E9E">
            <w:pPr>
              <w:pStyle w:val="style0"/>
              <w:rPr/>
            </w:pPr>
            <w:r>
              <w:rPr>
                <w:b w:val="false"/>
                <w:sz w:val="12"/>
              </w:rPr>
              <w:t>Welle 2 ist formal abgeschlossen. SSOT und Monitoring bilden verbindliche Eingaben für die nachfolgenden Wellen. Die technische Zeitauflösung der SSOT-Vereinszuordnung bleibt als nicht blockierende Detailentscheidung für die Rohdatenanalyse offen. Keine Änderung am Konfliktregister erforderlich.</w:t>
            </w:r>
          </w:p>
        </w:tc>
        <w:tc>
          <w:tcPr>
            <w:tcW w:w="1967" w:type="dxa"/>
            <w:tcBorders/>
          </w:tcPr>
          <w:p w14:paraId="B377A24E">
            <w:pPr>
              <w:pStyle w:val="style0"/>
              <w:rPr/>
            </w:pPr>
            <w:r>
              <w:rPr>
                <w:b w:val="false"/>
                <w:sz w:val="12"/>
              </w:rPr>
              <w:t>Projektteam</w:t>
            </w:r>
          </w:p>
        </w:tc>
        <w:tc>
          <w:tcPr>
            <w:tcW w:w="1967" w:type="dxa"/>
            <w:tcBorders/>
          </w:tcPr>
          <w:p w14:paraId="502ED0C6">
            <w:pPr>
              <w:pStyle w:val="style0"/>
              <w:rPr/>
            </w:pPr>
            <w:r>
              <w:rPr>
                <w:b w:val="false"/>
                <w:sz w:val="12"/>
              </w:rPr>
              <w:t>Abgeschlossen</w:t>
            </w:r>
          </w:p>
        </w:tc>
      </w:tr>
      <w:tr w14:paraId="2F28DE79">
        <w:tblPrEx/>
        <w:trPr>
          <w:jc w:val="center"/>
        </w:trPr>
        <w:tc>
          <w:tcPr>
            <w:tcW w:w="1967" w:type="dxa"/>
            <w:tcBorders/>
          </w:tcPr>
          <w:p w14:paraId="9F5B2A0A">
            <w:pPr>
              <w:pStyle w:val="style0"/>
              <w:rPr/>
            </w:pPr>
            <w:r>
              <w:rPr>
                <w:b w:val="false"/>
                <w:sz w:val="12"/>
              </w:rPr>
              <w:t>CHG-0019</w:t>
            </w:r>
          </w:p>
        </w:tc>
        <w:tc>
          <w:tcPr>
            <w:tcW w:w="1967" w:type="dxa"/>
            <w:tcBorders/>
          </w:tcPr>
          <w:p w14:paraId="1AF3425E">
            <w:pPr>
              <w:pStyle w:val="style0"/>
              <w:rPr/>
            </w:pPr>
            <w:r>
              <w:rPr>
                <w:b w:val="false"/>
                <w:sz w:val="12"/>
              </w:rPr>
              <w:t>07.08.2026</w:t>
            </w:r>
          </w:p>
        </w:tc>
        <w:tc>
          <w:tcPr>
            <w:tcW w:w="1967" w:type="dxa"/>
            <w:tcBorders/>
          </w:tcPr>
          <w:p w14:paraId="0B27DBE1">
            <w:pPr>
              <w:pStyle w:val="style0"/>
              <w:rPr/>
            </w:pPr>
            <w:r>
              <w:rPr>
                <w:b w:val="false"/>
                <w:sz w:val="12"/>
              </w:rPr>
              <w:t>Monitoring-Fachkonzept Welle 2 v0.3 → v0.4; Änderungsprotokoll v0.17 → v0.18; Dokumentenregister 2.6 → 2.7</w:t>
            </w:r>
          </w:p>
        </w:tc>
        <w:tc>
          <w:tcPr>
            <w:tcW w:w="1967" w:type="dxa"/>
            <w:tcBorders/>
          </w:tcPr>
          <w:p w14:paraId="ABFD9F6B">
            <w:pPr>
              <w:pStyle w:val="style0"/>
              <w:rPr/>
            </w:pPr>
            <w:r>
              <w:rPr>
                <w:b w:val="false"/>
                <w:sz w:val="12"/>
              </w:rPr>
              <w:t>Administrative Synchronisation von DOC-009 nach der bereits erfolgten Welle-2-Freigabe. Der interne Dokumentstatus wird von „zur projektweiten Freigabe“ auf „projektweit freigegeben“ gesetzt; die Re-Check-Traceability wird auf DEC-029 / REQ-MON-016 aktualisiert. Das fachliche Monitoring-Modell bleibt unverändert.</w:t>
            </w:r>
          </w:p>
        </w:tc>
        <w:tc>
          <w:tcPr>
            <w:tcW w:w="1967" w:type="dxa"/>
            <w:tcBorders/>
          </w:tcPr>
          <w:p w14:paraId="C2E7FF96">
            <w:pPr>
              <w:pStyle w:val="style0"/>
              <w:rPr/>
            </w:pPr>
            <w:r>
              <w:rPr>
                <w:b w:val="false"/>
                <w:sz w:val="12"/>
              </w:rPr>
              <w:t>Abschließende Vollständigkeits- und Widerspruchsprüfung der verbindlichen Projektquellen durch Projektsteuerung; CON-008 (Chat-/Datei-/Register-Synchronisation).</w:t>
            </w:r>
          </w:p>
        </w:tc>
        <w:tc>
          <w:tcPr>
            <w:tcW w:w="1967" w:type="dxa"/>
            <w:tcBorders/>
          </w:tcPr>
          <w:p w14:paraId="07D947D4">
            <w:pPr>
              <w:pStyle w:val="style0"/>
              <w:rPr/>
            </w:pPr>
            <w:r>
              <w:rPr>
                <w:b w:val="false"/>
                <w:sz w:val="12"/>
              </w:rPr>
              <w:t>Formaler Widerspruch zwischen Dokumentenregister 2.6 und internem Status von DOC-009 beseitigt. DOC-009 v0.4 ist die synchronisierte verbindliche Fassung. Keine Änderung an Entscheidungs-, Anforderungs- oder Konfliktregister erforderlich.</w:t>
            </w:r>
          </w:p>
        </w:tc>
        <w:tc>
          <w:tcPr>
            <w:tcW w:w="1967" w:type="dxa"/>
            <w:tcBorders/>
          </w:tcPr>
          <w:p w14:paraId="1C10165C">
            <w:pPr>
              <w:pStyle w:val="style0"/>
              <w:rPr/>
            </w:pPr>
            <w:r>
              <w:rPr>
                <w:b w:val="false"/>
                <w:sz w:val="12"/>
              </w:rPr>
              <w:t>Projektteam</w:t>
            </w:r>
          </w:p>
        </w:tc>
        <w:tc>
          <w:tcPr>
            <w:tcW w:w="1967" w:type="dxa"/>
            <w:tcBorders/>
          </w:tcPr>
          <w:p w14:paraId="426D030F">
            <w:pPr>
              <w:pStyle w:val="style0"/>
              <w:rPr/>
            </w:pPr>
            <w:r>
              <w:rPr>
                <w:b w:val="false"/>
                <w:sz w:val="12"/>
              </w:rPr>
              <w:t>Abgeschlossen</w:t>
            </w:r>
          </w:p>
        </w:tc>
      </w:tr>
      <w:tr w14:paraId="CFFF47F0">
        <w:tblPrEx/>
        <w:trPr>
          <w:jc w:val="center"/>
        </w:trPr>
        <w:tc>
          <w:tcPr>
            <w:tcW w:w="1967" w:type="dxa"/>
            <w:tcBorders/>
          </w:tcPr>
          <w:p w14:paraId="85F5E80C">
            <w:pPr>
              <w:pStyle w:val="style0"/>
              <w:rPr/>
            </w:pPr>
            <w:r>
              <w:rPr>
                <w:b w:val="false"/>
                <w:sz w:val="12"/>
              </w:rPr>
              <w:t>CHG-0020</w:t>
            </w:r>
          </w:p>
        </w:tc>
        <w:tc>
          <w:tcPr>
            <w:tcW w:w="1967" w:type="dxa"/>
            <w:tcBorders/>
          </w:tcPr>
          <w:p w14:paraId="8215D3C4">
            <w:pPr>
              <w:pStyle w:val="style0"/>
              <w:rPr/>
            </w:pPr>
            <w:r>
              <w:rPr>
                <w:b w:val="false"/>
                <w:sz w:val="12"/>
              </w:rPr>
              <w:t>07.08.2026</w:t>
            </w:r>
          </w:p>
        </w:tc>
        <w:tc>
          <w:tcPr>
            <w:tcW w:w="1967" w:type="dxa"/>
            <w:tcBorders/>
          </w:tcPr>
          <w:p w14:paraId="67524F39">
            <w:pPr>
              <w:pStyle w:val="style0"/>
              <w:rPr/>
            </w:pPr>
            <w:r>
              <w:rPr>
                <w:b w:val="false"/>
                <w:sz w:val="12"/>
              </w:rPr>
              <w:t>Rohdaten-Fachkonzept Welle 4 v0.1 → v0.2; Änderungsprotokoll v0.18 → v0.19; Dokumentenregister 2.7 → 2.8</w:t>
            </w:r>
          </w:p>
        </w:tc>
        <w:tc>
          <w:tcPr>
            <w:tcW w:w="1967" w:type="dxa"/>
            <w:tcBorders/>
          </w:tcPr>
          <w:p w14:paraId="A7AFDD28">
            <w:pPr>
              <w:pStyle w:val="style0"/>
              <w:rPr/>
            </w:pPr>
            <w:r>
              <w:rPr>
                <w:b w:val="false"/>
                <w:sz w:val="12"/>
              </w:rPr>
              <w:t>Integrationsprüfung und formaler Abschluss von Welle 4. Externe Quellen-/Nutzungsaussagen erhalten konkrete Nachweisreferenzen mit Abrufstand; die Konfliktstatus-Semantik wird datentypabhängig präzisiert (allgemeiner conflict_status getrennt von assertion_status für qualitative Quelleninformationen). Das Fachkonzept wird als DOC-010 in die verbindlichen Projektquellen aufgenommen.</w:t>
            </w:r>
          </w:p>
        </w:tc>
        <w:tc>
          <w:tcPr>
            <w:tcW w:w="1967" w:type="dxa"/>
            <w:tcBorders/>
          </w:tcPr>
          <w:p w14:paraId="B0348284">
            <w:pPr>
              <w:pStyle w:val="style0"/>
              <w:rPr/>
            </w:pPr>
            <w:r>
              <w:rPr>
                <w:b w:val="false"/>
                <w:sz w:val="12"/>
              </w:rPr>
              <w:t>Integrationsprüfung durch Projektsteuerung; Rohdaten-Fachkonzept Welle 4 v0.1; DEC-016, DEC-019, DEC-024, DEC-029; CON-002, CON-008; MS1-K06/K14/K15</w:t>
            </w:r>
          </w:p>
        </w:tc>
        <w:tc>
          <w:tcPr>
            <w:tcW w:w="1967" w:type="dxa"/>
            <w:tcBorders/>
          </w:tcPr>
          <w:p w14:paraId="31CDDD5D">
            <w:pPr>
              <w:pStyle w:val="style0"/>
              <w:rPr/>
            </w:pPr>
            <w:r>
              <w:rPr>
                <w:b w:val="false"/>
                <w:sz w:val="12"/>
              </w:rPr>
              <w:t>Welle 4 ist formal abgeschlossen und DOC-010 v0.2 verbindliche Eingabe für Welle 5. Rechtliche/nutzungsbezogene Automationsfragen bleiben ausdrücklich offen und werden nicht durch die Freigabe vorweggenommen. Keine Änderung an DEC-, REQ- oder CON-Registern erforderlich.</w:t>
            </w:r>
          </w:p>
        </w:tc>
        <w:tc>
          <w:tcPr>
            <w:tcW w:w="1967" w:type="dxa"/>
            <w:tcBorders/>
          </w:tcPr>
          <w:p w14:paraId="858AAF50">
            <w:pPr>
              <w:pStyle w:val="style0"/>
              <w:rPr/>
            </w:pPr>
            <w:r>
              <w:rPr>
                <w:b w:val="false"/>
                <w:sz w:val="12"/>
              </w:rPr>
              <w:t>Projektteam</w:t>
            </w:r>
          </w:p>
        </w:tc>
        <w:tc>
          <w:tcPr>
            <w:tcW w:w="1967" w:type="dxa"/>
            <w:tcBorders/>
          </w:tcPr>
          <w:p w14:paraId="D3CF8722">
            <w:pPr>
              <w:pStyle w:val="style0"/>
              <w:rPr/>
            </w:pPr>
            <w:r>
              <w:rPr>
                <w:b w:val="false"/>
                <w:sz w:val="12"/>
              </w:rPr>
              <w:t>Abgeschlossen</w:t>
            </w:r>
          </w:p>
        </w:tc>
      </w:tr>
      <w:tr w14:paraId="948ECB1D">
        <w:tblPrEx/>
        <w:trPr>
          <w:jc w:val="center"/>
        </w:trPr>
        <w:tc>
          <w:tcPr>
            <w:tcW w:w="1967" w:type="dxa"/>
            <w:tcBorders/>
          </w:tcPr>
          <w:p w14:paraId="15082237">
            <w:pPr>
              <w:pStyle w:val="style0"/>
              <w:rPr/>
            </w:pPr>
            <w:r>
              <w:rPr>
                <w:b w:val="false"/>
                <w:sz w:val="12"/>
              </w:rPr>
              <w:t>CHG-0021</w:t>
            </w:r>
          </w:p>
        </w:tc>
        <w:tc>
          <w:tcPr>
            <w:tcW w:w="1967" w:type="dxa"/>
            <w:tcBorders/>
          </w:tcPr>
          <w:p w14:paraId="866892FE">
            <w:pPr>
              <w:pStyle w:val="style0"/>
              <w:rPr/>
            </w:pPr>
            <w:r>
              <w:rPr>
                <w:b w:val="false"/>
                <w:sz w:val="12"/>
              </w:rPr>
              <w:t>08.08.2026</w:t>
            </w:r>
          </w:p>
        </w:tc>
        <w:tc>
          <w:tcPr>
            <w:tcW w:w="1967" w:type="dxa"/>
            <w:tcBorders/>
          </w:tcPr>
          <w:p w14:paraId="093A5153">
            <w:pPr>
              <w:pStyle w:val="style0"/>
              <w:rPr/>
            </w:pPr>
            <w:r>
              <w:rPr>
                <w:b w:val="false"/>
                <w:sz w:val="12"/>
              </w:rPr>
              <w:t>Integrationsprotokoll Welle 5 v0.1; Änderungsprotokoll v0.19 → v0.20; Dokumentenregister 2.8 → 2.9</w:t>
            </w:r>
          </w:p>
        </w:tc>
        <w:tc>
          <w:tcPr>
            <w:tcW w:w="1967" w:type="dxa"/>
            <w:tcBorders/>
          </w:tcPr>
          <w:p w14:paraId="58F6804F">
            <w:pPr>
              <w:pStyle w:val="style0"/>
              <w:rPr/>
            </w:pPr>
            <w:r>
              <w:rPr>
                <w:b w:val="false"/>
                <w:sz w:val="12"/>
              </w:rPr>
              <w:t>Formaler Abschluss von Welle 5 / Integrationspunkt 2. Die fachlich abgenommene SSOT-Rückkopplung und Monitoring-Rückkopplung v0.3 werden in einem gemeinsamen Integrationsprotokoll als DOC-011 konsolidiert. Verbindliche technische Präzisierungen für SSOT (TP-01 bis TP-05) und Monitoring (TP-MON-W5-01 bis -06) werden als Umsetzungs-/Schnittstellenvorgaben festgehalten. Zusätzlich wird die Quellenstrategie zur späteren Konsolidierung nach MS1 dokumentiert.</w:t>
            </w:r>
          </w:p>
        </w:tc>
        <w:tc>
          <w:tcPr>
            <w:tcW w:w="1967" w:type="dxa"/>
            <w:tcBorders/>
          </w:tcPr>
          <w:p w14:paraId="02086CD9">
            <w:pPr>
              <w:pStyle w:val="style0"/>
              <w:rPr/>
            </w:pPr>
            <w:r>
              <w:rPr>
                <w:b w:val="false"/>
                <w:sz w:val="12"/>
              </w:rPr>
              <w:t>Integrationsprüfung durch Projektsteuerung auf Basis von DOC-008 v0.1, DOC-009 v0.4, DOC-010 v0.2 sowie den abgenommenen Welle-5-Rückmeldungen; Quellenplatz- und Governancebedarf.</w:t>
            </w:r>
          </w:p>
        </w:tc>
        <w:tc>
          <w:tcPr>
            <w:tcW w:w="1967" w:type="dxa"/>
            <w:tcBorders/>
          </w:tcPr>
          <w:p w14:paraId="3C1B4EBB">
            <w:pPr>
              <w:pStyle w:val="style0"/>
              <w:rPr/>
            </w:pPr>
            <w:r>
              <w:rPr>
                <w:b w:val="false"/>
                <w:sz w:val="12"/>
              </w:rPr>
              <w:t>Welle 5 ist abgeschlossen; Integrationspunkt 2 bestanden. Keine neue DEC/REQ/CON erforderlich. Die einzelnen Welle-5-Rückmeldedateien werden nicht als dauerhafte zentrale Projektquellen registriert; DOC-011 übernimmt den verbindlichen Nachweis. Welle 6 kann beginnen. Nach MS1 ist ein konsolidierender Quellenbereinigungsschritt vorgesehen.</w:t>
            </w:r>
          </w:p>
        </w:tc>
        <w:tc>
          <w:tcPr>
            <w:tcW w:w="1967" w:type="dxa"/>
            <w:tcBorders/>
          </w:tcPr>
          <w:p w14:paraId="C00C7C7B">
            <w:pPr>
              <w:pStyle w:val="style0"/>
              <w:rPr/>
            </w:pPr>
            <w:r>
              <w:rPr>
                <w:b w:val="false"/>
                <w:sz w:val="12"/>
              </w:rPr>
              <w:t>Projektteam</w:t>
            </w:r>
          </w:p>
        </w:tc>
        <w:tc>
          <w:tcPr>
            <w:tcW w:w="1967" w:type="dxa"/>
            <w:tcBorders/>
          </w:tcPr>
          <w:p w14:paraId="3E2EB2A8">
            <w:pPr>
              <w:pStyle w:val="style0"/>
              <w:rPr/>
            </w:pPr>
            <w:r>
              <w:rPr>
                <w:b w:val="false"/>
                <w:sz w:val="12"/>
              </w:rPr>
              <w:t>Abgeschlossen</w:t>
            </w:r>
          </w:p>
        </w:tc>
      </w:tr>
      <w:tr w14:paraId="15D952B9">
        <w:tblPrEx/>
        <w:trPr>
          <w:jc w:val="center"/>
        </w:trPr>
        <w:tc>
          <w:tcPr>
            <w:tcW w:w="1967" w:type="dxa"/>
            <w:tcBorders/>
          </w:tcPr>
          <w:p w14:paraId="8D69C12F">
            <w:pPr>
              <w:pStyle w:val="style0"/>
              <w:rPr/>
            </w:pPr>
            <w:r>
              <w:rPr>
                <w:b w:val="false"/>
                <w:sz w:val="12"/>
              </w:rPr>
              <w:t>CHG-0022</w:t>
            </w:r>
          </w:p>
        </w:tc>
        <w:tc>
          <w:tcPr>
            <w:tcW w:w="1967" w:type="dxa"/>
            <w:tcBorders/>
          </w:tcPr>
          <w:p w14:paraId="5949C154">
            <w:pPr>
              <w:pStyle w:val="style0"/>
              <w:rPr/>
            </w:pPr>
            <w:r>
              <w:rPr>
                <w:b w:val="false"/>
                <w:sz w:val="12"/>
              </w:rPr>
              <w:t>08.08.2026</w:t>
            </w:r>
          </w:p>
        </w:tc>
        <w:tc>
          <w:tcPr>
            <w:tcW w:w="1967" w:type="dxa"/>
            <w:tcBorders/>
          </w:tcPr>
          <w:p w14:paraId="082D928C">
            <w:pPr>
              <w:pStyle w:val="style0"/>
              <w:rPr/>
            </w:pPr>
            <w:r>
              <w:rPr>
                <w:b w:val="false"/>
                <w:sz w:val="12"/>
              </w:rPr>
              <w:t>Kontrollmechanismen-Fachkonzept Welle 6 v0.6; Änderungsprotokoll v0.20 → v0.22; Dokumentenregister 3.0 (Registerlücke wird im Folgeschritt korrigiert)</w:t>
            </w:r>
          </w:p>
        </w:tc>
        <w:tc>
          <w:tcPr>
            <w:tcW w:w="1967" w:type="dxa"/>
            <w:tcBorders/>
          </w:tcPr>
          <w:p w14:paraId="BCC75DFE">
            <w:pPr>
              <w:pStyle w:val="style0"/>
              <w:rPr/>
            </w:pPr>
            <w:r>
              <w:rPr>
                <w:b w:val="false"/>
                <w:sz w:val="12"/>
              </w:rPr>
              <w:t>Formaler Abschluss von Welle 6. DOC-012 v0.6 wurde nach Integrationsprüfung als fachlich vollständig, widerspruchsfrei und übergabereif abgenommen.</w:t>
            </w:r>
          </w:p>
        </w:tc>
        <w:tc>
          <w:tcPr>
            <w:tcW w:w="1967" w:type="dxa"/>
            <w:tcBorders/>
          </w:tcPr>
          <w:p w14:paraId="DF10BBA9">
            <w:pPr>
              <w:pStyle w:val="style0"/>
              <w:rPr/>
            </w:pPr>
            <w:r>
              <w:rPr>
                <w:b w:val="false"/>
                <w:sz w:val="12"/>
              </w:rPr>
              <w:t>Integrationsprüfung durch Projektsteuerung; DOC-012 v0.6.</w:t>
            </w:r>
          </w:p>
        </w:tc>
        <w:tc>
          <w:tcPr>
            <w:tcW w:w="1967" w:type="dxa"/>
            <w:tcBorders/>
          </w:tcPr>
          <w:p w14:paraId="21A78236">
            <w:pPr>
              <w:pStyle w:val="style0"/>
              <w:rPr/>
            </w:pPr>
            <w:r>
              <w:rPr>
                <w:b w:val="false"/>
                <w:sz w:val="12"/>
              </w:rPr>
              <w:t>Welle 6 abgeschlossen. Keine neue DEC/REQ/CON erforderlich. DOC-012 ist verbindliche Kontroll-, Fehler-, Blockade- und Freigabegrundlage für MS1.</w:t>
            </w:r>
          </w:p>
        </w:tc>
        <w:tc>
          <w:tcPr>
            <w:tcW w:w="1967" w:type="dxa"/>
            <w:tcBorders/>
          </w:tcPr>
          <w:p w14:paraId="4273A2DE">
            <w:pPr>
              <w:pStyle w:val="style0"/>
              <w:rPr/>
            </w:pPr>
            <w:r>
              <w:rPr>
                <w:b w:val="false"/>
                <w:sz w:val="12"/>
              </w:rPr>
              <w:t>Projektteam</w:t>
            </w:r>
          </w:p>
        </w:tc>
        <w:tc>
          <w:tcPr>
            <w:tcW w:w="1967" w:type="dxa"/>
            <w:tcBorders/>
          </w:tcPr>
          <w:p w14:paraId="9E52C8E1">
            <w:pPr>
              <w:pStyle w:val="style0"/>
              <w:rPr/>
            </w:pPr>
            <w:r>
              <w:rPr>
                <w:b w:val="false"/>
                <w:sz w:val="12"/>
              </w:rPr>
              <w:t>Abgeschlossen</w:t>
            </w:r>
          </w:p>
        </w:tc>
      </w:tr>
      <w:tr w14:paraId="599DB0C8">
        <w:tblPrEx/>
        <w:trPr>
          <w:jc w:val="center"/>
        </w:trPr>
        <w:tc>
          <w:tcPr>
            <w:tcW w:w="1967" w:type="dxa"/>
            <w:tcBorders/>
          </w:tcPr>
          <w:p w14:paraId="1632D26A">
            <w:pPr>
              <w:pStyle w:val="style0"/>
              <w:rPr/>
            </w:pPr>
            <w:r>
              <w:rPr>
                <w:b w:val="false"/>
                <w:sz w:val="12"/>
              </w:rPr>
              <w:t>CHG-0023</w:t>
            </w:r>
          </w:p>
        </w:tc>
        <w:tc>
          <w:tcPr>
            <w:tcW w:w="1967" w:type="dxa"/>
            <w:tcBorders/>
          </w:tcPr>
          <w:p w14:paraId="73134E73">
            <w:pPr>
              <w:pStyle w:val="style0"/>
              <w:rPr/>
            </w:pPr>
            <w:r>
              <w:rPr>
                <w:b w:val="false"/>
                <w:sz w:val="12"/>
              </w:rPr>
              <w:t>08.08.2026</w:t>
            </w:r>
          </w:p>
        </w:tc>
        <w:tc>
          <w:tcPr>
            <w:tcW w:w="1967" w:type="dxa"/>
            <w:tcBorders/>
          </w:tcPr>
          <w:p w14:paraId="4A87847D">
            <w:pPr>
              <w:pStyle w:val="style0"/>
              <w:rPr/>
            </w:pPr>
            <w:r>
              <w:rPr>
                <w:b w:val="false"/>
                <w:sz w:val="12"/>
              </w:rPr>
              <w:t>MS1-Abnahmeprotokoll DOC-013 v0.1; Änderungsprotokoll v0.20 → v0.22; Dokumentenregister 3.0 → 3.1</w:t>
            </w:r>
          </w:p>
        </w:tc>
        <w:tc>
          <w:tcPr>
            <w:tcW w:w="1967" w:type="dxa"/>
            <w:tcBorders/>
          </w:tcPr>
          <w:p w14:paraId="CE3F4A8E">
            <w:pPr>
              <w:pStyle w:val="style0"/>
              <w:rPr/>
            </w:pPr>
            <w:r>
              <w:rPr>
                <w:b w:val="false"/>
                <w:sz w:val="12"/>
              </w:rPr>
              <w:t>Formale Abnahme von MS1 „Festlegung von Datenmodell und Dateistruktur“. MS1-K01 bis MS1-K15 wurden gegen DOC-006, die aktuellen Fachquellen DOC-007 bis DOC-012 sowie die Welle-7-Abnahmenachweise geprüft und als erfüllt bestätigt. Gleichzeitig wird die in Register 3.0 verbliebene DOC-004-Versionierungsabweichung bereinigt.</w:t>
            </w:r>
          </w:p>
        </w:tc>
        <w:tc>
          <w:tcPr>
            <w:tcW w:w="1967" w:type="dxa"/>
            <w:tcBorders/>
          </w:tcPr>
          <w:p w14:paraId="1A764CCE">
            <w:pPr>
              <w:pStyle w:val="style0"/>
              <w:rPr/>
            </w:pPr>
            <w:r>
              <w:rPr>
                <w:b w:val="false"/>
                <w:sz w:val="12"/>
              </w:rPr>
              <w:t>Welle 8 / Projektsteuerung; W7-Projektdokumentation v0.4; W7-Regelkonsolidierung v0.1; DOC-006.</w:t>
            </w:r>
          </w:p>
        </w:tc>
        <w:tc>
          <w:tcPr>
            <w:tcW w:w="1967" w:type="dxa"/>
            <w:tcBorders/>
          </w:tcPr>
          <w:p w14:paraId="5BF634F0">
            <w:pPr>
              <w:pStyle w:val="style0"/>
              <w:rPr/>
            </w:pPr>
            <w:r>
              <w:rPr>
                <w:b w:val="false"/>
                <w:sz w:val="12"/>
              </w:rPr>
              <w:t>MS1 ist abgenommen. Keine neue DEC/REQ/CON. Quellenkonsolidierung bleibt ausdrücklich ein separater Folgeschritt nach dieser Abnahme. DOC-013 wird als verbindlicher Abnahmenachweis registriert.</w:t>
            </w:r>
          </w:p>
        </w:tc>
        <w:tc>
          <w:tcPr>
            <w:tcW w:w="1967" w:type="dxa"/>
            <w:tcBorders/>
          </w:tcPr>
          <w:p w14:paraId="DDF857F8">
            <w:pPr>
              <w:pStyle w:val="style0"/>
              <w:rPr/>
            </w:pPr>
            <w:r>
              <w:rPr>
                <w:b w:val="false"/>
                <w:sz w:val="12"/>
              </w:rPr>
              <w:t>Projektteam</w:t>
            </w:r>
          </w:p>
        </w:tc>
        <w:tc>
          <w:tcPr>
            <w:tcW w:w="1967" w:type="dxa"/>
            <w:tcBorders/>
          </w:tcPr>
          <w:p w14:paraId="8A027B50">
            <w:pPr>
              <w:pStyle w:val="style0"/>
              <w:rPr/>
            </w:pPr>
            <w:r>
              <w:rPr>
                <w:b w:val="false"/>
                <w:sz w:val="12"/>
              </w:rPr>
              <w:t>Abgeschlossen</w:t>
            </w:r>
          </w:p>
        </w:tc>
      </w:tr>
      <w:tr w14:paraId="9731ECB5">
        <w:tblPrEx/>
        <w:trPr>
          <w:jc w:val="center"/>
        </w:trPr>
        <w:tc>
          <w:tcPr>
            <w:tcW w:w="1967" w:type="dxa"/>
            <w:tcBorders/>
          </w:tcPr>
          <w:p w14:paraId="6CC352F4">
            <w:pPr>
              <w:pStyle w:val="style0"/>
              <w:rPr/>
            </w:pPr>
            <w:r>
              <w:rPr>
                <w:b w:val="false"/>
                <w:sz w:val="12"/>
              </w:rPr>
              <w:t>CHG-0024</w:t>
            </w:r>
          </w:p>
        </w:tc>
        <w:tc>
          <w:tcPr>
            <w:tcW w:w="1967" w:type="dxa"/>
            <w:tcBorders/>
          </w:tcPr>
          <w:p w14:paraId="99423F43">
            <w:pPr>
              <w:pStyle w:val="style0"/>
              <w:rPr/>
            </w:pPr>
            <w:r>
              <w:rPr>
                <w:b w:val="false"/>
                <w:sz w:val="12"/>
              </w:rPr>
              <w:t>08.08.2026</w:t>
            </w:r>
          </w:p>
        </w:tc>
        <w:tc>
          <w:tcPr>
            <w:tcW w:w="1967" w:type="dxa"/>
            <w:tcBorders/>
          </w:tcPr>
          <w:p w14:paraId="3F06F914">
            <w:pPr>
              <w:pStyle w:val="style0"/>
              <w:rPr/>
            </w:pPr>
            <w:r>
              <w:rPr>
                <w:b w:val="false"/>
                <w:sz w:val="12"/>
              </w:rPr>
              <w:t>Änderungsprotokoll v0.22 → v0.23; Dokumentenregister 3.1 → 3.2</w:t>
            </w:r>
          </w:p>
        </w:tc>
        <w:tc>
          <w:tcPr>
            <w:tcW w:w="1967" w:type="dxa"/>
            <w:tcBorders/>
          </w:tcPr>
          <w:p w14:paraId="8E763A00">
            <w:pPr>
              <w:pStyle w:val="style0"/>
              <w:rPr/>
            </w:pPr>
            <w:r>
              <w:rPr>
                <w:b w:val="false"/>
                <w:sz w:val="12"/>
              </w:rPr>
              <w:t>Governance-Korrektur nach interner Qualitätsprüfung der MS1-Projektquellen: DOC-012 v0.6 wird wieder vollständig als aktuelle verbindliche Projektquelle in das Dokumentenregister aufgenommen. Gleichzeitig wird der in Register 3.1 doppelt enthaltene Eintrag für DOC-REG-001 auf genau einen aktuellen Registereintrag bereinigt.</w:t>
            </w:r>
          </w:p>
        </w:tc>
        <w:tc>
          <w:tcPr>
            <w:tcW w:w="1967" w:type="dxa"/>
            <w:tcBorders/>
          </w:tcPr>
          <w:p w14:paraId="DDBFCEDE">
            <w:pPr>
              <w:pStyle w:val="style0"/>
              <w:rPr/>
            </w:pPr>
            <w:r>
              <w:rPr>
                <w:b w:val="false"/>
                <w:sz w:val="12"/>
              </w:rPr>
              <w:t>Interne Qualitätsprüfung auf Widerspruchsfreiheit und Vollständigkeit gegen MS1-K01 bis MS1-K15; CON-008; CHG-0022 und CHG-0023.</w:t>
            </w:r>
          </w:p>
        </w:tc>
        <w:tc>
          <w:tcPr>
            <w:tcW w:w="1967" w:type="dxa"/>
            <w:tcBorders/>
          </w:tcPr>
          <w:p w14:paraId="78D83DFB">
            <w:pPr>
              <w:pStyle w:val="style0"/>
              <w:rPr/>
            </w:pPr>
            <w:r>
              <w:rPr>
                <w:b w:val="false"/>
                <w:sz w:val="12"/>
              </w:rPr>
              <w:t>Rein administrative Konsistenzkorrektur. Keine Änderung an Fachmodellen, DEC-, REQ- oder CON-Registern und keine Änderung des MS1-Abnahmeurteils. DOC-012 bleibt unverändert verbindliche Kontrollgrundlage; Register und Änderungsprotokoll sind wieder widerspruchsfrei.</w:t>
            </w:r>
          </w:p>
        </w:tc>
        <w:tc>
          <w:tcPr>
            <w:tcW w:w="1967" w:type="dxa"/>
            <w:tcBorders/>
          </w:tcPr>
          <w:p w14:paraId="049A7E99">
            <w:pPr>
              <w:pStyle w:val="style0"/>
              <w:rPr/>
            </w:pPr>
            <w:r>
              <w:rPr>
                <w:b w:val="false"/>
                <w:sz w:val="12"/>
              </w:rPr>
              <w:t>Projektteam</w:t>
            </w:r>
          </w:p>
        </w:tc>
        <w:tc>
          <w:tcPr>
            <w:tcW w:w="1967" w:type="dxa"/>
            <w:tcBorders/>
          </w:tcPr>
          <w:p w14:paraId="A5E5E215">
            <w:pPr>
              <w:pStyle w:val="style0"/>
              <w:rPr/>
            </w:pPr>
            <w:r>
              <w:rPr>
                <w:b w:val="false"/>
                <w:sz w:val="12"/>
              </w:rPr>
              <w:t>Abgeschlossen</w:t>
            </w:r>
          </w:p>
        </w:tc>
      </w:tr>
      <w:tr w14:paraId="0ADD1113">
        <w:tblPrEx/>
        <w:trPr>
          <w:jc w:val="center"/>
        </w:trPr>
        <w:tc>
          <w:tcPr>
            <w:tcW w:w="1967" w:type="dxa"/>
            <w:tcBorders/>
          </w:tcPr>
          <w:p w14:paraId="3FA7318D">
            <w:pPr>
              <w:pStyle w:val="style0"/>
              <w:rPr/>
            </w:pPr>
            <w:r>
              <w:t>CHG-0025</w:t>
            </w:r>
          </w:p>
        </w:tc>
        <w:tc>
          <w:tcPr>
            <w:tcW w:w="1967" w:type="dxa"/>
            <w:tcBorders/>
          </w:tcPr>
          <w:p w14:paraId="551EA811">
            <w:pPr>
              <w:pStyle w:val="style0"/>
              <w:rPr/>
            </w:pPr>
            <w:r>
              <w:t>09.08.2026</w:t>
            </w:r>
          </w:p>
        </w:tc>
        <w:tc>
          <w:tcPr>
            <w:tcW w:w="1967" w:type="dxa"/>
            <w:tcBorders/>
          </w:tcPr>
          <w:p w14:paraId="4A405D19">
            <w:pPr>
              <w:pStyle w:val="style0"/>
              <w:rPr/>
            </w:pPr>
            <w:r>
              <w:t>Quellenkonsolidierung nach MS1; DOC-014 v0.2; DOC-015 v0.3; DOC-REG-001 3.2 → 3.3</w:t>
            </w:r>
          </w:p>
        </w:tc>
        <w:tc>
          <w:tcPr>
            <w:tcW w:w="1967" w:type="dxa"/>
            <w:tcBorders/>
          </w:tcPr>
          <w:p w14:paraId="53E43730">
            <w:pPr>
              <w:pStyle w:val="style0"/>
              <w:rPr/>
            </w:pPr>
            <w:r>
              <w:t>Freigabe der nach MS1 konsolidierten Kernquellen. QK-2 wird als DOC-014 und QK-3 als DOC-015 verbindlich registriert. DOC-001 bis DOC-012 werden als aktive Einzelquellen durch DOC-014/DOC-015 ersetzt. DOC-013 bleibt separat. QK-1/4–8 v0.3 bleibt Bibliotheks-/Auditnachweis und wird nicht als aktive Projektquelle registriert.</w:t>
            </w:r>
          </w:p>
        </w:tc>
        <w:tc>
          <w:tcPr>
            <w:tcW w:w="1967" w:type="dxa"/>
            <w:tcBorders/>
          </w:tcPr>
          <w:p w14:paraId="22FC3EB2">
            <w:pPr>
              <w:pStyle w:val="style0"/>
              <w:rPr/>
            </w:pPr>
            <w:r>
              <w:t>Unabhängige Integrations- und Qualitätsprüfung der Quellenkonsolidierung durch Projektsteuerung; vollständige Übernahme, Widerspruchsfreiheit, lückenlose DEC-/REQ-/CON-/CHG-Traceability und eigenständige Nachweisbarkeit von MS1-K01 bis MS1-K15 bestätigt.</w:t>
            </w:r>
          </w:p>
        </w:tc>
        <w:tc>
          <w:tcPr>
            <w:tcW w:w="1967" w:type="dxa"/>
            <w:tcBorders/>
          </w:tcPr>
          <w:p w14:paraId="91C07D5D">
            <w:pPr>
              <w:pStyle w:val="style0"/>
              <w:rPr/>
            </w:pPr>
            <w:r>
              <w:t>Aktiver Projektquellenbestand wird auf DOC-013, DOC-014, DOC-015 und DOC-REG-001 reduziert. Historische Einzelquellen bleiben unverändert im Archiv / in der Bibliothek. Keine neue DEC/REQ/CON und keine Änderung des MS1-Abnahmeurteils.</w:t>
            </w:r>
          </w:p>
        </w:tc>
        <w:tc>
          <w:tcPr>
            <w:tcW w:w="1967" w:type="dxa"/>
            <w:tcBorders/>
          </w:tcPr>
          <w:p w14:paraId="5EE30F82">
            <w:pPr>
              <w:pStyle w:val="style0"/>
              <w:rPr/>
            </w:pPr>
            <w:r>
              <w:t>Projektteam</w:t>
            </w:r>
          </w:p>
        </w:tc>
        <w:tc>
          <w:tcPr>
            <w:tcW w:w="1967" w:type="dxa"/>
            <w:tcBorders/>
          </w:tcPr>
          <w:p w14:paraId="41AB47EA">
            <w:pPr>
              <w:pStyle w:val="style0"/>
              <w:rPr/>
            </w:pPr>
            <w:r>
              <w:t>Abgeschlossen</w:t>
            </w:r>
          </w:p>
        </w:tc>
      </w:tr>
      <w:tr w14:paraId="28BDDBE4">
        <w:tblPrEx/>
        <w:trPr>
          <w:jc w:val="center"/>
        </w:trPr>
        <w:tc>
          <w:tcPr>
            <w:tcW w:w="1967" w:type="dxa"/>
            <w:tcBorders/>
          </w:tcPr>
          <w:p w14:paraId="BE4F9246">
            <w:pPr>
              <w:pStyle w:val="style0"/>
              <w:rPr/>
            </w:pPr>
            <w:r>
              <w:t>CHG-0026</w:t>
            </w:r>
          </w:p>
        </w:tc>
        <w:tc>
          <w:tcPr>
            <w:tcW w:w="1967" w:type="dxa"/>
            <w:tcBorders/>
          </w:tcPr>
          <w:p w14:paraId="5375768B">
            <w:pPr>
              <w:pStyle w:val="style0"/>
              <w:rPr/>
            </w:pPr>
            <w:r>
              <w:t>09.08.2026</w:t>
            </w:r>
          </w:p>
        </w:tc>
        <w:tc>
          <w:tcPr>
            <w:tcW w:w="1967" w:type="dxa"/>
            <w:tcBorders/>
          </w:tcPr>
          <w:p w14:paraId="46018073">
            <w:pPr>
              <w:pStyle w:val="style0"/>
              <w:rPr/>
            </w:pPr>
            <w:r>
              <w:t>DOC-014 v0.2 → v0.3; DOC-015 v0.3 → v0.4; DOC-REG-001 3.3 → 3.4</w:t>
            </w:r>
          </w:p>
        </w:tc>
        <w:tc>
          <w:tcPr>
            <w:tcW w:w="1967" w:type="dxa"/>
            <w:tcBorders/>
          </w:tcPr>
          <w:p w14:paraId="522572A0">
            <w:pPr>
              <w:pStyle w:val="style0"/>
              <w:rPr/>
            </w:pPr>
            <w:r>
              <w:t>Redaktionelle Governance-/Traceability-Bereinigung des konsolidierten Kernbestands nach interner Qualitätsprüfung: Die operative Pflege der logischen Entscheidungs-, Anforderungs-, Konflikt-/Abhängigkeits- und Änderungsregister wird eindeutig innerhalb von DOC-014 verankert; die früheren Einzeldateien DOC-001 bis DOC-004 bleiben ausschließlich historische Herkunft. In DOC-015 wird die formale MS1-K01-bis-K15-Nachweismatrix auf aktuelle Kernquellen- und Abschnittsbezüge umgestellt; historische Altquellenverweise bleiben nur als Provenienz erhalten.</w:t>
            </w:r>
          </w:p>
        </w:tc>
        <w:tc>
          <w:tcPr>
            <w:tcW w:w="1967" w:type="dxa"/>
            <w:tcBorders/>
          </w:tcPr>
          <w:p w14:paraId="057CA1CA">
            <w:pPr>
              <w:pStyle w:val="style0"/>
              <w:rPr/>
            </w:pPr>
            <w:r>
              <w:t>Interne Qualitätsprüfung des aktiven Kernbestands Stand 3.3; keine fachliche Änderung, keine neue DEC-/REQ-/CON-ID.</w:t>
            </w:r>
          </w:p>
        </w:tc>
        <w:tc>
          <w:tcPr>
            <w:tcW w:w="1967" w:type="dxa"/>
            <w:tcBorders/>
          </w:tcPr>
          <w:p w14:paraId="3FAF08F2">
            <w:pPr>
              <w:pStyle w:val="style0"/>
              <w:rPr/>
            </w:pPr>
            <w:r>
              <w:t>Formale Selbsttragfähigkeit des Vier-Dateien-Kernbestands präzisiert; MS1-Abnahmeurteil unverändert.</w:t>
            </w:r>
          </w:p>
        </w:tc>
        <w:tc>
          <w:tcPr>
            <w:tcW w:w="1967" w:type="dxa"/>
            <w:tcBorders/>
          </w:tcPr>
          <w:p w14:paraId="9F52ED55">
            <w:pPr>
              <w:pStyle w:val="style0"/>
              <w:rPr/>
            </w:pPr>
            <w:r>
              <w:t>Projektsteuerung und Integrationsmanagement</w:t>
            </w:r>
          </w:p>
        </w:tc>
        <w:tc>
          <w:tcPr>
            <w:tcW w:w="1967" w:type="dxa"/>
            <w:tcBorders/>
          </w:tcPr>
          <w:p w14:paraId="72719424">
            <w:pPr>
              <w:pStyle w:val="style0"/>
              <w:rPr/>
            </w:pPr>
            <w:r>
              <w:t>Abgeschlossen</w:t>
            </w:r>
          </w:p>
        </w:tc>
      </w:tr>
      <w:tr w14:paraId="6462AC8A">
        <w:tblPrEx/>
        <w:trPr>
          <w:jc w:val="center"/>
        </w:trPr>
        <w:tc>
          <w:tcPr>
            <w:tcW w:w="1967" w:type="dxa"/>
            <w:tcBorders/>
          </w:tcPr>
          <w:p w14:paraId="E508CA90">
            <w:pPr>
              <w:pStyle w:val="style0"/>
              <w:rPr/>
            </w:pPr>
            <w:r>
              <w:t>CHG-0027</w:t>
            </w:r>
          </w:p>
        </w:tc>
        <w:tc>
          <w:tcPr>
            <w:tcW w:w="1967" w:type="dxa"/>
            <w:tcBorders/>
          </w:tcPr>
          <w:p w14:paraId="51FEDF3A">
            <w:pPr>
              <w:pStyle w:val="style0"/>
              <w:rPr/>
            </w:pPr>
            <w:r>
              <w:t>09.08.2026</w:t>
            </w:r>
          </w:p>
        </w:tc>
        <w:tc>
          <w:tcPr>
            <w:tcW w:w="1967" w:type="dxa"/>
            <w:tcBorders/>
          </w:tcPr>
          <w:p w14:paraId="6BA07E14">
            <w:pPr>
              <w:pStyle w:val="style0"/>
              <w:rPr/>
            </w:pPr>
            <w:r>
              <w:t>DOC-014 v0.3 → v0.4; DOC-REG-001 3.4 → 3.5</w:t>
            </w:r>
          </w:p>
        </w:tc>
        <w:tc>
          <w:tcPr>
            <w:tcW w:w="1967" w:type="dxa"/>
            <w:tcBorders/>
          </w:tcPr>
          <w:p w14:paraId="FA734C11">
            <w:pPr>
              <w:pStyle w:val="style0"/>
              <w:rPr/>
            </w:pPr>
            <w:r>
              <w:t>Rein redaktionelle Präzisierung der Verbindlichkeits-, Versions- und Quellenregeln in DOC-014 §1: Die bislang missverständlichen Selbstreferenzen „dieses Dokumentenregister“ / „dieses Register“ werden ausdrücklich durch DOC-REG-001 ersetzt. Auch Folgeformulierungen zur Registerfortschreibung und -freigabe beziehen sich nun eindeutig auf DOC-REG-001.</w:t>
            </w:r>
          </w:p>
        </w:tc>
        <w:tc>
          <w:tcPr>
            <w:tcW w:w="1967" w:type="dxa"/>
            <w:tcBorders/>
          </w:tcPr>
          <w:p w14:paraId="DD69CEED">
            <w:pPr>
              <w:pStyle w:val="style0"/>
              <w:rPr/>
            </w:pPr>
            <w:r>
              <w:t>Interne Qualitätsprüfung des aktiven Kernbestands Stand 3.4; Beseitigung der letzten redaktionellen Referenzunschärfe.</w:t>
            </w:r>
          </w:p>
        </w:tc>
        <w:tc>
          <w:tcPr>
            <w:tcW w:w="1967" w:type="dxa"/>
            <w:tcBorders/>
          </w:tcPr>
          <w:p w14:paraId="9968915E">
            <w:pPr>
              <w:pStyle w:val="style0"/>
              <w:rPr/>
            </w:pPr>
            <w:r>
              <w:t>Keine fachliche Änderung, keine neue DEC-/REQ-/CON-ID und keine Änderung des MS1-Abnahmeurteils. Der aktive Vier-Dateien-Kernbestand bleibt unverändert.</w:t>
            </w:r>
          </w:p>
        </w:tc>
        <w:tc>
          <w:tcPr>
            <w:tcW w:w="1967" w:type="dxa"/>
            <w:tcBorders/>
          </w:tcPr>
          <w:p w14:paraId="B0D68901">
            <w:pPr>
              <w:pStyle w:val="style0"/>
              <w:rPr/>
            </w:pPr>
            <w:r>
              <w:t>Projektsteuerung und Integrationsmanagement</w:t>
            </w:r>
          </w:p>
        </w:tc>
        <w:tc>
          <w:tcPr>
            <w:tcW w:w="1967" w:type="dxa"/>
            <w:tcBorders/>
          </w:tcPr>
          <w:p w14:paraId="9015B510">
            <w:pPr>
              <w:pStyle w:val="style0"/>
              <w:rPr/>
            </w:pPr>
            <w:r>
              <w:t>Abgeschlossen</w:t>
            </w:r>
          </w:p>
        </w:tc>
      </w:tr>
      <w:tr w14:paraId="CA976483">
        <w:tblPrEx/>
        <w:trPr>
          <w:jc w:val="center"/>
        </w:trPr>
        <w:tc>
          <w:tcPr>
            <w:tcW w:w="1967" w:type="dxa"/>
            <w:tcBorders/>
          </w:tcPr>
          <w:p w14:paraId="DC2E7BDA">
            <w:pPr>
              <w:pStyle w:val="style0"/>
              <w:rPr/>
            </w:pPr>
            <w:r>
              <w:t>CHG-0028</w:t>
            </w:r>
          </w:p>
        </w:tc>
        <w:tc>
          <w:tcPr>
            <w:tcW w:w="1967" w:type="dxa"/>
            <w:tcBorders/>
          </w:tcPr>
          <w:p w14:paraId="8709E964">
            <w:pPr>
              <w:pStyle w:val="style0"/>
              <w:rPr/>
            </w:pPr>
            <w:r>
              <w:t>11.08.2026</w:t>
            </w:r>
          </w:p>
        </w:tc>
        <w:tc>
          <w:tcPr>
            <w:tcW w:w="1967" w:type="dxa"/>
            <w:tcBorders/>
          </w:tcPr>
          <w:p w14:paraId="CD351C2F">
            <w:pPr>
              <w:pStyle w:val="style0"/>
              <w:rPr/>
            </w:pPr>
            <w:r>
              <w:t>DOC-016 v0.2; DOC-014 v0.4 → v0.5; DOC-REG-001 3.5 → 3.6</w:t>
            </w:r>
          </w:p>
        </w:tc>
        <w:tc>
          <w:tcPr>
            <w:tcW w:w="1967" w:type="dxa"/>
            <w:tcBorders/>
          </w:tcPr>
          <w:p w14:paraId="F82F25C4">
            <w:pPr>
              <w:pStyle w:val="style0"/>
              <w:rPr/>
            </w:pPr>
            <w:r>
              <w:t>Formale Freigabe und Aktivierung von MS2 „Umsetzung und Pilotierung“. DOC-016 v0.2 wird als verbindliche MS2-Steuerungsquelle aufgenommen. Verbindlich festgelegt werden insbesondere MS2-K01 bis K12, die Wellen MS2-W0 bis W7, die Integrationsgates MS2-IG0 bis IG8, „Evidence by execution“, der strikte Minimal-Scope für W0/W1 sowie das 13-Fälle-TC6-Mindestset für den Fault-Pilot MS2-IG6.</w:t>
            </w:r>
          </w:p>
        </w:tc>
        <w:tc>
          <w:tcPr>
            <w:tcW w:w="1967" w:type="dxa"/>
            <w:tcBorders/>
          </w:tcPr>
          <w:p w14:paraId="ED253398">
            <w:pPr>
              <w:pStyle w:val="style0"/>
              <w:rPr/>
            </w:pPr>
            <w:r>
              <w:t>Intern qualitätsgeprüfter DOC-016-Entwurf v0.2; Projektsteuerungsbeschluss vom 11.08.2026; Ausgangsbasis DOC-REG-001 Stand 3.5 sowie DOC-013 v0.1, DOC-014 v0.4 und DOC-015 v0.4.</w:t>
            </w:r>
          </w:p>
        </w:tc>
        <w:tc>
          <w:tcPr>
            <w:tcW w:w="1967" w:type="dxa"/>
            <w:tcBorders/>
          </w:tcPr>
          <w:p w14:paraId="F73FBB2A">
            <w:pPr>
              <w:pStyle w:val="style0"/>
              <w:rPr/>
            </w:pPr>
            <w:r>
              <w:t>MS2 ist aktiviert und kann mit MS2-W0/IG0 beginnen. Der aktive Projektquellenbestand wird um DOC-016 erweitert. DOC-015 v0.4 und DOC-013 v0.1 bleiben unverändert; keine neue DEC-/REQ-/CON-ID und keine Änderung des MS1-Abnahmeurteils.</w:t>
            </w:r>
          </w:p>
        </w:tc>
        <w:tc>
          <w:tcPr>
            <w:tcW w:w="1967" w:type="dxa"/>
            <w:tcBorders/>
          </w:tcPr>
          <w:p w14:paraId="4A1C6066">
            <w:pPr>
              <w:pStyle w:val="style0"/>
              <w:rPr/>
            </w:pPr>
            <w:r>
              <w:t>Projektsteuerung und Integrationsmanagement</w:t>
            </w:r>
          </w:p>
        </w:tc>
        <w:tc>
          <w:tcPr>
            <w:tcW w:w="1967" w:type="dxa"/>
            <w:tcBorders/>
          </w:tcPr>
          <w:p w14:paraId="35495609">
            <w:pPr>
              <w:pStyle w:val="style0"/>
              <w:rPr/>
            </w:pPr>
            <w:r>
              <w:t>Abgeschlossen</w:t>
            </w:r>
          </w:p>
        </w:tc>
      </w:tr>
      <w:tr w14:paraId="2B47D444">
        <w:tblPrEx/>
        <w:trPr>
          <w:jc w:val="center"/>
        </w:trPr>
        <w:tc>
          <w:tcPr>
            <w:tcW w:w="1967" w:type="dxa"/>
            <w:tcBorders/>
          </w:tcPr>
          <w:p w14:paraId="26A8386E">
            <w:pPr>
              <w:pStyle w:val="style0"/>
              <w:rPr/>
            </w:pPr>
            <w:r>
              <w:t>CHG-0029</w:t>
            </w:r>
          </w:p>
        </w:tc>
        <w:tc>
          <w:tcPr>
            <w:tcW w:w="1967" w:type="dxa"/>
            <w:tcBorders/>
          </w:tcPr>
          <w:p w14:paraId="99E37F82">
            <w:pPr>
              <w:pStyle w:val="style0"/>
              <w:rPr/>
            </w:pPr>
            <w:r>
              <w:t>02.09.2026</w:t>
            </w:r>
          </w:p>
        </w:tc>
        <w:tc>
          <w:tcPr>
            <w:tcW w:w="1967" w:type="dxa"/>
            <w:tcBorders/>
          </w:tcPr>
          <w:p w14:paraId="26CA2C38">
            <w:pPr>
              <w:pStyle w:val="style0"/>
              <w:rPr/>
            </w:pPr>
            <w:r>
              <w:t>DOC-014 v0.5 → v0.6; DOC-015 v0.4 → v0.5; DOC-REG-001 3.6 → 3.7</w:t>
            </w:r>
          </w:p>
        </w:tc>
        <w:tc>
          <w:tcPr>
            <w:tcW w:w="1967" w:type="dxa"/>
            <w:tcBorders/>
          </w:tcPr>
          <w:p w14:paraId="51A7E864">
            <w:pPr>
              <w:pStyle w:val="style0"/>
              <w:rPr/>
            </w:pPr>
            <w:r>
              <w:t>Governance-Übernahme der Grundsatzentscheidung zur Erstlegitimation interner SSOT-Identitäten. DEC-030 definiert den positiven Bootstrap-Pfad, REQ-SSOT-005 macht ihn prüfbar und DOC-015 ergänzt den positiven Akzeptanzfall TC6-048 samt Kontrollzuordnung. Wegen bereits belegter TC6-046 und TC6-047 wird konfliktfrei TC6-048 verwendet.</w:t>
            </w:r>
          </w:p>
        </w:tc>
        <w:tc>
          <w:tcPr>
            <w:tcW w:w="1967" w:type="dxa"/>
            <w:tcBorders/>
          </w:tcPr>
          <w:p w14:paraId="FCC29B33">
            <w:pPr>
              <w:pStyle w:val="style0"/>
              <w:rPr/>
            </w:pPr>
            <w:r>
              <w:t>GF-SSOT-BOOTSTRAP-001; DEC-001/012/015/016/028/030; REQ-SSOT-001/003/004/005; CON-001/008</w:t>
            </w:r>
          </w:p>
        </w:tc>
        <w:tc>
          <w:tcPr>
            <w:tcW w:w="1967" w:type="dxa"/>
            <w:tcBorders/>
          </w:tcPr>
          <w:p w14:paraId="7E322637">
            <w:pPr>
              <w:pStyle w:val="style0"/>
              <w:rPr/>
            </w:pPr>
            <w:r>
              <w:t>Die bisherige Negativ- und Schutzlogik bleibt unverändert. Keine neue CON, da kein fortbestehender Regelwiderspruch besteht. W2-C3 ist fachlich grundsätzlich entsperrbar, aber erst nach Erstellung/Freigabe eines legitimen positiven Seed-/Fixture-Falls, Prüfung von Evidence und legitimation_ref sowie erneuter P&amp;I-Startprüfung technisch startbereit.</w:t>
            </w:r>
          </w:p>
        </w:tc>
        <w:tc>
          <w:tcPr>
            <w:tcW w:w="1967" w:type="dxa"/>
            <w:tcBorders/>
          </w:tcPr>
          <w:p w14:paraId="A9C41791">
            <w:pPr>
              <w:pStyle w:val="style0"/>
              <w:rPr/>
            </w:pPr>
            <w:r>
              <w:t>Projektsteuerung und Integrationsmanagement</w:t>
            </w:r>
          </w:p>
        </w:tc>
        <w:tc>
          <w:tcPr>
            <w:tcW w:w="1967" w:type="dxa"/>
            <w:tcBorders/>
          </w:tcPr>
          <w:p w14:paraId="289087FC">
            <w:pPr>
              <w:pStyle w:val="style0"/>
              <w:rPr/>
            </w:pPr>
            <w:r>
              <w:t>Abgeschlossen</w:t>
            </w:r>
          </w:p>
        </w:tc>
      </w:tr>
      <w:tr w14:paraId="31816F0B">
        <w:tblPrEx/>
        <w:trPr>
          <w:jc w:val="center"/>
        </w:trPr>
        <w:tc>
          <w:tcPr>
            <w:tcW w:w="1967" w:type="dxa"/>
            <w:tcBorders/>
          </w:tcPr>
          <w:p w14:paraId="D7E3E0BF">
            <w:pPr>
              <w:pStyle w:val="style0"/>
              <w:rPr/>
            </w:pPr>
            <w:r>
              <w:t>CHG-0030</w:t>
            </w:r>
          </w:p>
        </w:tc>
        <w:tc>
          <w:tcPr>
            <w:tcW w:w="1967" w:type="dxa"/>
            <w:tcBorders/>
          </w:tcPr>
          <w:p w14:paraId="002C8741">
            <w:pPr>
              <w:pStyle w:val="style0"/>
              <w:rPr/>
            </w:pPr>
            <w:r>
              <w:t>04.09.2026</w:t>
            </w:r>
          </w:p>
        </w:tc>
        <w:tc>
          <w:tcPr>
            <w:tcW w:w="1967" w:type="dxa"/>
            <w:tcBorders/>
          </w:tcPr>
          <w:p w14:paraId="C595C04A">
            <w:pPr>
              <w:pStyle w:val="style0"/>
              <w:rPr/>
            </w:pPr>
            <w:r>
              <w:t>DOC-014 v0.6 → v0.7; DOC-015 v0.5 → v0.6; DOC-REG-001 3.7 → 3.8</w:t>
            </w:r>
          </w:p>
        </w:tc>
        <w:tc>
          <w:tcPr>
            <w:tcW w:w="1967" w:type="dxa"/>
            <w:tcBorders/>
          </w:tcPr>
          <w:p w14:paraId="C6F6CCC0">
            <w:pPr>
              <w:pStyle w:val="style0"/>
              <w:rPr/>
            </w:pPr>
            <w:r>
              <w:t>Governance-Übernahme der Grundsatzentscheidung GF-UI-001 zum minimalen Manager-Interface für den MS2-Pilot. DEC-031 und REQ-UI-001 werden ergänzt. DOC-015 wird um eine fachlich ausdrücklich hoheitsfreie Präsentations-/Interaktionsschicht und den Pilot-Testfall TC6-049 ergänzt.</w:t>
            </w:r>
          </w:p>
        </w:tc>
        <w:tc>
          <w:tcPr>
            <w:tcW w:w="1967" w:type="dxa"/>
            <w:tcBorders/>
          </w:tcPr>
          <w:p w14:paraId="D1DF0FB7">
            <w:pPr>
              <w:pStyle w:val="style0"/>
              <w:rPr/>
            </w:pPr>
            <w:r>
              <w:t>GF-UI-001; DEC-017/020/027/029/031; REQ-DEC-005, REQ-MON-009/016, REQ-NFR-004/006, REQ-UI-001</w:t>
            </w:r>
          </w:p>
        </w:tc>
        <w:tc>
          <w:tcPr>
            <w:tcW w:w="1967" w:type="dxa"/>
            <w:tcBorders/>
          </w:tcPr>
          <w:p w14:paraId="A9382657">
            <w:pPr>
              <w:pStyle w:val="style0"/>
              <w:rPr/>
            </w:pPr>
            <w:r>
              <w:t>Keine neue CON. Bestehende Trennung von Modellfreigabe, Snapshot, Managerentscheidung und wirksamer Aufstellung bleibt unverändert. UI erhält keine Fachlogik oder Datenhoheit. DOC-016 v0.2 bleibt unverändert; DEC-031/REQ-UI-001 ergänzen den W3-Pilotnachweis ohne Änderung der W3-/IG3-Steuerung.</w:t>
            </w:r>
          </w:p>
        </w:tc>
        <w:tc>
          <w:tcPr>
            <w:tcW w:w="1967" w:type="dxa"/>
            <w:tcBorders/>
          </w:tcPr>
          <w:p w14:paraId="F06E5154">
            <w:pPr>
              <w:pStyle w:val="style0"/>
              <w:rPr/>
            </w:pPr>
            <w:r>
              <w:t>Grundsatzfragen; Projektsteuerung und Integrationsmanagement</w:t>
            </w:r>
          </w:p>
        </w:tc>
        <w:tc>
          <w:tcPr>
            <w:tcW w:w="1967" w:type="dxa"/>
            <w:tcBorders/>
          </w:tcPr>
          <w:p w14:paraId="4DF5B245">
            <w:pPr>
              <w:pStyle w:val="style0"/>
              <w:rPr/>
            </w:pPr>
            <w:r>
              <w:t>Abgeschlossen</w:t>
            </w:r>
          </w:p>
        </w:tc>
      </w:tr>
      <w:tr w14:paraId="C6715D0C">
        <w:tblPrEx/>
        <w:trPr>
          <w:jc w:val="center"/>
        </w:trPr>
        <w:tc>
          <w:tcPr>
            <w:tcW w:w="1967" w:type="dxa"/>
            <w:tcBorders/>
          </w:tcPr>
          <w:p w14:paraId="426EC606">
            <w:pPr>
              <w:pStyle w:val="style0"/>
              <w:rPr/>
            </w:pPr>
            <w:r>
              <w:t>CHG-0031</w:t>
            </w:r>
          </w:p>
        </w:tc>
        <w:tc>
          <w:tcPr>
            <w:tcW w:w="1967" w:type="dxa"/>
            <w:tcBorders/>
          </w:tcPr>
          <w:p w14:paraId="1F8AB1D1">
            <w:pPr>
              <w:pStyle w:val="style0"/>
              <w:rPr/>
            </w:pPr>
            <w:r>
              <w:t>06.09.2026</w:t>
            </w:r>
          </w:p>
        </w:tc>
        <w:tc>
          <w:tcPr>
            <w:tcW w:w="1967" w:type="dxa"/>
            <w:tcBorders/>
          </w:tcPr>
          <w:p w14:paraId="CB137CCA">
            <w:pPr>
              <w:pStyle w:val="style0"/>
              <w:rPr/>
            </w:pPr>
            <w:r>
              <w:t>DOC-014 v0.7 → v0.8; DOC-015 v0.6 → v0.7; DOC-REG-001 3.8 → 3.9</w:t>
            </w:r>
          </w:p>
        </w:tc>
        <w:tc>
          <w:tcPr>
            <w:tcW w:w="1967" w:type="dxa"/>
            <w:tcBorders/>
          </w:tcPr>
          <w:p w14:paraId="BDFF87B6">
            <w:pPr>
              <w:pStyle w:val="style0"/>
              <w:rPr/>
            </w:pPr>
            <w:r>
              <w:t>Governance-Übernahme der Grundsatzentscheidung zur stichtagsbezogenen Vereinszugehörigkeitsbestätigung. DEC-032 und REQ-SSOT-006 trennen Current-State-Nachweise ausdrücklich von historischen Spieler–Verein-Intervallen. DOC-015 ergänzt das SSOT-Objekt PLAYER_CLUB_STATE_CONFIRMATION, Präzisierung TP-06, Kontrollfall CTL-K2-008 und TC6-050.</w:t>
            </w:r>
          </w:p>
        </w:tc>
        <w:tc>
          <w:tcPr>
            <w:tcW w:w="1967" w:type="dxa"/>
            <w:tcBorders/>
          </w:tcPr>
          <w:p w14:paraId="99587DC6">
            <w:pPr>
              <w:pStyle w:val="style0"/>
              <w:rPr/>
            </w:pPr>
            <w:r>
              <w:t>GF-SSOT-002; DEC-001/012/015/028/030/032; REQ-SSOT-001/002/003/004/005/006; TP-02; CON-001/008</w:t>
            </w:r>
          </w:p>
        </w:tc>
        <w:tc>
          <w:tcPr>
            <w:tcW w:w="1967" w:type="dxa"/>
            <w:tcBorders/>
          </w:tcPr>
          <w:p w14:paraId="C72024F4">
            <w:pPr>
              <w:pStyle w:val="style0"/>
              <w:rPr/>
            </w:pPr>
            <w:r>
              <w:t>Keine neue CON. Keine synthetischen club_valid_from. Historische Intervallzuordnung bleibt unverändert; Current-State-Bestätigung darf nur punktuell am belegten as_of die Vereinsdimension für SSOT_PROCESSABLE erfüllen. Frühere Evidence/SSOT-Versionen bleiben unverändert; DOC-016 v0.2 bleibt unverändert.</w:t>
            </w:r>
          </w:p>
        </w:tc>
        <w:tc>
          <w:tcPr>
            <w:tcW w:w="1967" w:type="dxa"/>
            <w:tcBorders/>
          </w:tcPr>
          <w:p w14:paraId="F5C21039">
            <w:pPr>
              <w:pStyle w:val="style0"/>
              <w:rPr/>
            </w:pPr>
            <w:r>
              <w:t>Grundsatzfragen + Projektsteuerung und Integrationsmanagement</w:t>
            </w:r>
          </w:p>
        </w:tc>
        <w:tc>
          <w:tcPr>
            <w:tcW w:w="1967" w:type="dxa"/>
            <w:tcBorders/>
          </w:tcPr>
          <w:p w14:paraId="9830884D">
            <w:pPr>
              <w:pStyle w:val="style0"/>
              <w:rPr/>
            </w:pPr>
            <w:r>
              <w:t>Abgeschlossen</w:t>
            </w:r>
          </w:p>
        </w:tc>
      </w:tr>
      <w:tr>
        <w:tc>
          <w:tcPr>
            <w:tcW w:w="1967" w:type="dxa"/>
            <w:tcBorders/>
          </w:tcPr>
          <w:p>
            <w:pPr/>
            <w:r>
              <w:rPr/>
              <w:t>CHG-0032</w:t>
            </w:r>
          </w:p>
        </w:tc>
        <w:tc>
          <w:tcPr>
            <w:tcW w:w="1967" w:type="dxa"/>
            <w:tcBorders/>
          </w:tcPr>
          <w:p>
            <w:pPr/>
            <w:r>
              <w:rPr/>
              <w:t>06.09.2026</w:t>
            </w:r>
          </w:p>
        </w:tc>
        <w:tc>
          <w:tcPr>
            <w:tcW w:w="1967" w:type="dxa"/>
            <w:tcBorders/>
          </w:tcPr>
          <w:p>
            <w:pPr/>
            <w:r>
              <w:rPr/>
              <w:t>DOC-014 v0.8 → v0.9; DOC-015 v0.7 → v0.8; DOC-REG-001 3.9 → 4.0</w:t>
            </w:r>
          </w:p>
        </w:tc>
        <w:tc>
          <w:tcPr>
            <w:tcW w:w="1967" w:type="dxa"/>
            <w:tcBorders/>
          </w:tcPr>
          <w:p>
            <w:pPr/>
            <w:r>
              <w:rPr/>
              <w:t>Governance-Übernahme der Grundsatzentscheidung zum negativen Bundesliga-Stichtagsstatus. DEC-033 und REQ-SSOT-007 werden ergänzt. DOC-015 integriert PLAYER_BUNDESLIGA_STATE_CONFIRMATION / OUTSIDE_BUNDESLIGA, TP-07, die angepasste K2-/G3- und K3-/Eligibility-Semantik sowie TC6-051.</w:t>
            </w:r>
          </w:p>
        </w:tc>
        <w:tc>
          <w:tcPr>
            <w:tcW w:w="1967" w:type="dxa"/>
            <w:tcBorders/>
          </w:tcPr>
          <w:p>
            <w:pPr/>
            <w:r>
              <w:rPr/>
              <w:t>GF-SSOT-003; DEC-001/012/015/028/030/032/033; REQ-SSOT-003/004/005/006/007; TP-04/06; CTL-K2-003/006/008; CTL-K3-006/007</w:t>
            </w:r>
          </w:p>
        </w:tc>
        <w:tc>
          <w:tcPr>
            <w:tcW w:w="1967" w:type="dxa"/>
            <w:tcBorders/>
          </w:tcPr>
          <w:p>
            <w:pPr/>
            <w:r>
              <w:rPr/>
              <w:t>Keine neue CON. Ein positiv belegter negativer Bundesliga-Status ist geklärte SSOT-Wahrheit und darf SSOT_PROCESSABLE erhalten; sportliche Nicht-Aufstellbarkeit wird erst im Monitoring als INELIGIBLE abgeleitet. Keine Dummy-Vereine, keine synthetischen Zeitgrenzen oder Locks. Spieleridentität bleibt für Historie, Versteigerung/Joker und mögliche Rückkehr stabil erhalten. DOC-016 v0.2 bleibt unverändert.</w:t>
            </w:r>
          </w:p>
        </w:tc>
        <w:tc>
          <w:tcPr>
            <w:tcW w:w="1967" w:type="dxa"/>
            <w:tcBorders/>
          </w:tcPr>
          <w:p>
            <w:pPr/>
            <w:r>
              <w:rPr/>
              <w:t>Grundsatzfragen + Projektsteuerung und Integrationsmanagement</w:t>
            </w:r>
          </w:p>
        </w:tc>
        <w:tc>
          <w:tcPr>
            <w:tcW w:w="1967" w:type="dxa"/>
            <w:tcBorders/>
          </w:tcPr>
          <w:p>
            <w:pPr/>
            <w:r>
              <w:rPr/>
              <w:t>Abgeschlossen</w:t>
            </w:r>
          </w:p>
        </w:tc>
      </w:tr>
      <w:tr>
        <w:tc>
          <w:tcPr>
            <w:tcW w:w="1967" w:type="dxa"/>
            <w:tcBorders/>
          </w:tcPr>
          <w:p>
            <w:r/>
            <w:r>
              <w:rPr>
                <w:b w:val="0"/>
              </w:rPr>
              <w:t>CHG-0033</w:t>
            </w:r>
          </w:p>
        </w:tc>
        <w:tc>
          <w:tcPr>
            <w:tcW w:w="1967" w:type="dxa"/>
            <w:tcBorders/>
          </w:tcPr>
          <w:p>
            <w:r/>
            <w:r>
              <w:rPr>
                <w:b w:val="0"/>
              </w:rPr>
              <w:t>15.09.2026</w:t>
            </w:r>
          </w:p>
        </w:tc>
        <w:tc>
          <w:tcPr>
            <w:tcW w:w="1967" w:type="dxa"/>
            <w:tcBorders/>
          </w:tcPr>
          <w:p>
            <w:r/>
            <w:r>
              <w:rPr>
                <w:b w:val="0"/>
              </w:rPr>
              <w:t>DOC-014 v0.9 → v1.0; DOC-016 v0.2 → v0.3; DOC-REG-001 4.0 → 4.1</w:t>
            </w:r>
          </w:p>
        </w:tc>
        <w:tc>
          <w:tcPr>
            <w:tcW w:w="1967" w:type="dxa"/>
            <w:tcBorders/>
          </w:tcPr>
          <w:p>
            <w:r/>
            <w:r>
              <w:rPr>
                <w:b w:val="0"/>
              </w:rPr>
              <w:t>Governance-Übernahme der Grundsatzentscheidung zur strategischen Fortsetzung von MS2 nach dem datenlimitierten Mathias-/GW2-W3.2-Pilot. DEC-034 verankert den Ablauf A current run close → C bounded source check → B new pilot → D only by new decision. DOC-016 ergänzt Start-/Stop-Regeln, die historische Schließung des GW2-Laufs und die Blockade von W3.3/W3.4 bis zu einem validen W3.2-/G5-Zustand.</w:t>
            </w:r>
          </w:p>
        </w:tc>
        <w:tc>
          <w:tcPr>
            <w:tcW w:w="1967" w:type="dxa"/>
            <w:tcBorders/>
          </w:tcPr>
          <w:p>
            <w:r/>
            <w:r>
              <w:rPr>
                <w:b w:val="0"/>
              </w:rPr>
              <w:t>Grundsatzfragen – Übergabe/Strategieentscheidung vom 15.09.2026; W3_2_MATHIAS_PILOT_PATH = DATA_LIMITED / RELEASE_BLOCKED; DEC-034</w:t>
            </w:r>
          </w:p>
        </w:tc>
        <w:tc>
          <w:tcPr>
            <w:tcW w:w="1967" w:type="dxa"/>
            <w:tcBorders/>
          </w:tcPr>
          <w:p>
            <w:r/>
            <w:r>
              <w:rPr>
                <w:b w:val="0"/>
              </w:rPr>
              <w:t>CURRENT_GW2 wird unveränderlich als CLOSED_DATA_LIMITED historisiert. Option C ist als begrenzter Machbarkeitscheck autorisiert, Option B erst nach Readiness-Preflight; Option D bleibt gesperrt. W3.3/W3.4, G5/G6/IG3 bleiben bis zu einem validen W3.2-/G5-Stand blockiert. Keine neue REQ/CON; DOC-015 v0.8 unverändert.</w:t>
            </w:r>
          </w:p>
        </w:tc>
        <w:tc>
          <w:tcPr>
            <w:tcW w:w="1967" w:type="dxa"/>
            <w:tcBorders/>
          </w:tcPr>
          <w:p>
            <w:r/>
            <w:r>
              <w:rPr>
                <w:b w:val="0"/>
              </w:rPr>
              <w:t>Grundsatzfragen + Projektsteuerung und Integrationsmanagement 2</w:t>
            </w:r>
          </w:p>
        </w:tc>
        <w:tc>
          <w:tcPr>
            <w:tcW w:w="1967" w:type="dxa"/>
            <w:tcBorders/>
          </w:tcPr>
          <w:p>
            <w:r/>
            <w:r>
              <w:rPr>
                <w:b w:val="0"/>
              </w:rPr>
              <w:t>Abgeschlossen</w:t>
            </w:r>
          </w:p>
        </w:tc>
      </w:tr>
    </w:tbl>
    <w:p w14:paraId="CE0DA690">
      <w:pPr>
        <w:pStyle w:val="style0"/>
        <w:rPr/>
      </w:pPr>
      <w:r>
        <w:t>Historischer Quellenanker für CHG-0001 bis CHG-0024: DOC-004 – Tabelle 1 der verbindlichen Fassung gemäß DOC-REG-001 Stand 3.2. CHG-0025 wurde mit Freigabe von DOC-014 als erster originärer Änderungseintrag dieser konsolidierten Governance-Kernquelle ergänzt; CHG-0026 dokumentiert die redaktionelle Selbsttragfähigkeitsbereinigung von DOC-014/DOC-015 und Registerstand 3.4. CHG-0027 beseitigt die letzte redaktionelle Selbstreferenz-Unschärfe in §1. CHG-0028 dokumentiert die formale Freigabe und Aktivierung von MS2 sowie die Aufnahme von DOC-016 v0.2 in den verbindlichen Projektquellenbestand. CHG-0033 dokumentiert die Governance-Übernahme von DEC-034, die Fortschreibung von DOC-016 auf v0.3 und DOC-REG-001 auf Stand 4.1; DOC-015 bleibt unverändert.</w:t>
      </w:r>
    </w:p>
    <w:p w14:paraId="B4810510">
      <w:pPr>
        <w:pStyle w:val="style1"/>
        <w:rPr/>
      </w:pPr>
      <w:r>
        <w:t>7. MS1-Steuerung und Abnahmebezug</w:t>
      </w:r>
    </w:p>
    <w:p w14:paraId="1254561E">
      <w:pPr>
        <w:pStyle w:val="style0"/>
        <w:rPr/>
      </w:pPr>
      <w:r>
        <w:t>Die MS1-Steuerungsinhalte aus DOC-006 werden vollständig als Governance- und Historienbezug erhalten. Das formale Abnahmeurteil selbst verbleibt in DOC-013 als separatem Abnahmenachweis. Die folgenden Unterabschnitte ändern weder die damalige Wellensteuerung noch das heutige Abnahmeurteil.</w:t>
      </w:r>
    </w:p>
    <w:p w14:paraId="41718999">
      <w:pPr>
        <w:pStyle w:val="style2"/>
        <w:rPr/>
      </w:pPr>
      <w:r>
        <w:t>7.1 Zweck, Verbindlichkeit, Zielzustand und Abgrenzung</w:t>
      </w:r>
    </w:p>
    <w:p w14:paraId="7C7B4AF8">
      <w:pPr>
        <w:pStyle w:val="style3"/>
        <w:rPr/>
      </w:pPr>
      <w:r>
        <w:t>DOC-006 – 1. Zweck und Verbindlichkeit</w:t>
      </w:r>
    </w:p>
    <w:p w14:paraId="A1F22DDE">
      <w:pPr>
        <w:pStyle w:val="style0"/>
        <w:rPr/>
      </w:pPr>
      <w:r>
        <w:t>Dieses Dokument steuert die Vorbereitung, Bearbeitung, Integration und formale Abnahme des ersten Projektmeilensteins „Festlegung von Datenmodell und Dateistruktur“. Es bündelt die im Chat „Projektsteuerung und Integrationsmanagement“ abgestimmten Kriterien, Bearbeitungswellen, Lieferformate und Integrationspunkte. Es trifft keine neuen fachlichen Regeln. Maßgeblich bleiben die im Dokumentenregister ausgewiesenen aktuellen Fassungen der DEC-, REQ-, CON- und CHG-Register.</w:t>
      </w:r>
    </w:p>
    <w:p w14:paraId="81F0EA5A">
      <w:pPr>
        <w:pStyle w:val="style0"/>
        <w:rPr/>
      </w:pPr>
      <w:r>
        <w:t>Neue Grundsatzfragen oder Konflikte werden nicht stillschweigend entschieden. Sie sind mit kurzer Problembeschreibung und betroffenen DEC-/REQ-/CON-IDs an den zuständigen Chat zu übergeben. Verbindliche Ergebnisse werden anschließend in den zentralen Registern fortgeschrieben.</w:t>
      </w:r>
    </w:p>
    <w:p w14:paraId="F9072637">
      <w:pPr>
        <w:pStyle w:val="style3"/>
        <w:rPr/>
      </w:pPr>
      <w:r>
        <w:t>DOC-006 – 2. Zielzustand und Abgrenzung</w:t>
      </w:r>
    </w:p>
    <w:p w14:paraId="1D8156DA">
      <w:pPr>
        <w:pStyle w:val="style0"/>
        <w:rPr/>
      </w:pPr>
      <w:r>
        <w:t>Milestone 1 ist erreicht, wenn ein gemeinsames, widerspruchsfreies und versionierbares Sollkonzept für Datenobjekte, Schlüssel, Beziehungen, Dateigrenzen, Zuständigkeiten, Statusmodelle und Datenflüsse vorliegt. Die Festlegungen müssen so konkret sein, dass die anschließende Umsetzung ohne stillschweigende fachliche Annahmen beginnen kann.</w:t>
      </w:r>
    </w:p>
    <w:p w14:paraId="5CAA89F4">
      <w:pPr>
        <w:pStyle w:val="style0"/>
        <w:rPr/>
      </w:pPr>
      <w:r>
        <w:t>Nicht erforderlich sind eine vollständige technische Implementierung, ein produktiver Zugriff auf kicker.de, eine produktionsreife Aufstellungsoptimierung, endgültige Modellgewichtungen, eine abgeschlossene Pilotmessung oder die vollständige Testausführung.</w:t>
      </w:r>
    </w:p>
    <w:p w14:paraId="E4C239BF">
      <w:pPr>
        <w:pStyle w:val="style0"/>
        <w:rPr/>
      </w:pPr>
      <w:r>
        <w:t>Der konkrete technische Importweg bleibt zugangsneutral. Vollautomatische, teilautomatische, dateibasierte und manuelle Verfahren können später produktiv freigegeben werden, sofern sie die verbindlichen Qualitäts-, Nachweis- und Kontrollanforderungen erfüllen.</w:t>
      </w:r>
    </w:p>
    <w:p w14:paraId="D1C52576">
      <w:pPr>
        <w:pStyle w:val="style0"/>
        <w:rPr/>
      </w:pPr>
      <w:r>
        <w:t>Der Milestone beschreibt den fachlich-technischen Zielzustand und die verbindlichen Schnittstellen, nicht die endgültige technische Plattform oder jedes konkrete Dateiformat.</w:t>
      </w:r>
    </w:p>
    <w:p w14:paraId="A1BA6A14">
      <w:pPr>
        <w:pStyle w:val="style2"/>
        <w:rPr/>
      </w:pPr>
      <w:r>
        <w:t>7.2 MS1-K01 bis MS1-K15 – Abnahmekriterien</w:t>
      </w:r>
    </w:p>
    <w:tbl>
      <w:tblPr>
        <w:tblStyle w:val="style154"/>
        <w:tblW w:w="0" w:type="auto"/>
        <w:jc w:val="center"/>
        <w:tblLook w:val="04A0" w:firstRow="1" w:lastRow="0" w:firstColumn="1" w:lastColumn="0" w:noHBand="0" w:noVBand="1"/>
      </w:tblPr>
      <w:tblGrid>
        <w:gridCol w:w="3935"/>
        <w:gridCol w:w="3935"/>
        <w:gridCol w:w="3935"/>
        <w:gridCol w:w="3935"/>
      </w:tblGrid>
      <w:tr w14:paraId="0A93A38E">
        <w:trPr>
          <w:tblHeader/>
          <w:jc w:val="center"/>
        </w:trPr>
        <w:tc>
          <w:tcPr>
            <w:tcW w:w="3935" w:type="dxa"/>
            <w:tcBorders/>
            <w:shd w:val="nil" w:color="auto" w:fill="d9eaf7"/>
          </w:tcPr>
          <w:p w14:paraId="ACEC16A6">
            <w:pPr>
              <w:pStyle w:val="style0"/>
              <w:rPr/>
            </w:pPr>
            <w:r>
              <w:rPr>
                <w:b/>
                <w:sz w:val="13"/>
              </w:rPr>
              <w:t>ID</w:t>
            </w:r>
          </w:p>
        </w:tc>
        <w:tc>
          <w:tcPr>
            <w:tcW w:w="3935" w:type="dxa"/>
            <w:tcBorders/>
            <w:shd w:val="nil" w:color="auto" w:fill="d9eaf7"/>
          </w:tcPr>
          <w:p w14:paraId="D3EA6A4E">
            <w:pPr>
              <w:pStyle w:val="style0"/>
              <w:rPr/>
            </w:pPr>
            <w:r>
              <w:rPr>
                <w:b/>
                <w:sz w:val="13"/>
              </w:rPr>
              <w:t>Kriterium</w:t>
            </w:r>
          </w:p>
        </w:tc>
        <w:tc>
          <w:tcPr>
            <w:tcW w:w="3935" w:type="dxa"/>
            <w:tcBorders/>
            <w:shd w:val="nil" w:color="auto" w:fill="d9eaf7"/>
          </w:tcPr>
          <w:p w14:paraId="11C8EB5E">
            <w:pPr>
              <w:pStyle w:val="style0"/>
              <w:rPr/>
            </w:pPr>
            <w:r>
              <w:rPr>
                <w:b/>
                <w:sz w:val="13"/>
              </w:rPr>
              <w:t>Verbindlicher Inhalt</w:t>
            </w:r>
          </w:p>
        </w:tc>
        <w:tc>
          <w:tcPr>
            <w:tcW w:w="3935" w:type="dxa"/>
            <w:tcBorders/>
            <w:shd w:val="nil" w:color="auto" w:fill="d9eaf7"/>
          </w:tcPr>
          <w:p w14:paraId="CCC50889">
            <w:pPr>
              <w:pStyle w:val="style0"/>
              <w:rPr/>
            </w:pPr>
            <w:r>
              <w:rPr>
                <w:b/>
                <w:sz w:val="13"/>
              </w:rPr>
              <w:t>Nachweis</w:t>
            </w:r>
          </w:p>
        </w:tc>
      </w:tr>
      <w:tr w14:paraId="F9FA9E28">
        <w:tblPrEx/>
        <w:trPr>
          <w:jc w:val="center"/>
        </w:trPr>
        <w:tc>
          <w:tcPr>
            <w:tcW w:w="3935" w:type="dxa"/>
            <w:tcBorders/>
          </w:tcPr>
          <w:p w14:paraId="6F3FDD8D">
            <w:pPr>
              <w:pStyle w:val="style0"/>
              <w:rPr/>
            </w:pPr>
            <w:r>
              <w:rPr>
                <w:b w:val="false"/>
                <w:sz w:val="13"/>
              </w:rPr>
              <w:t>MS1-K01</w:t>
            </w:r>
          </w:p>
        </w:tc>
        <w:tc>
          <w:tcPr>
            <w:tcW w:w="3935" w:type="dxa"/>
            <w:tcBorders/>
          </w:tcPr>
          <w:p w14:paraId="8E8EDCCE">
            <w:pPr>
              <w:pStyle w:val="style0"/>
              <w:rPr/>
            </w:pPr>
            <w:r>
              <w:rPr>
                <w:b w:val="false"/>
                <w:sz w:val="13"/>
              </w:rPr>
              <w:t>Vollständiges fachliches Datenobjektmodell</w:t>
            </w:r>
          </w:p>
        </w:tc>
        <w:tc>
          <w:tcPr>
            <w:tcW w:w="3935" w:type="dxa"/>
            <w:tcBorders/>
          </w:tcPr>
          <w:p w14:paraId="49FD85D7">
            <w:pPr>
              <w:pStyle w:val="style0"/>
              <w:rPr/>
            </w:pPr>
            <w:r>
              <w:rPr>
                <w:b w:val="false"/>
                <w:sz w:val="13"/>
              </w:rPr>
              <w:t>Alle für Kernprozess, Stammdaten, Rohdaten, Spieltag, Prognose, Aufstellung, Empfehlung, Entscheidung, Ergebnis, Snapshot, Evaluation und Statusführung benötigten Datenobjekte sind definiert und abgegrenzt.</w:t>
            </w:r>
          </w:p>
        </w:tc>
        <w:tc>
          <w:tcPr>
            <w:tcW w:w="3935" w:type="dxa"/>
            <w:tcBorders/>
          </w:tcPr>
          <w:p w14:paraId="2F0DE3F7">
            <w:pPr>
              <w:pStyle w:val="style0"/>
              <w:rPr/>
            </w:pPr>
            <w:r>
              <w:rPr>
                <w:b w:val="false"/>
                <w:sz w:val="13"/>
              </w:rPr>
              <w:t>Konsolidierter Objektkatalog mit Definition, Eigentümer, Lebenszyklus und DEC-/REQ-Bezug.</w:t>
            </w:r>
          </w:p>
        </w:tc>
      </w:tr>
      <w:tr w14:paraId="E87EECC6">
        <w:tblPrEx/>
        <w:trPr>
          <w:jc w:val="center"/>
        </w:trPr>
        <w:tc>
          <w:tcPr>
            <w:tcW w:w="3935" w:type="dxa"/>
            <w:tcBorders/>
          </w:tcPr>
          <w:p w14:paraId="4724D613">
            <w:pPr>
              <w:pStyle w:val="style0"/>
              <w:rPr/>
            </w:pPr>
            <w:r>
              <w:rPr>
                <w:b w:val="false"/>
                <w:sz w:val="13"/>
              </w:rPr>
              <w:t>MS1-K02</w:t>
            </w:r>
          </w:p>
        </w:tc>
        <w:tc>
          <w:tcPr>
            <w:tcW w:w="3935" w:type="dxa"/>
            <w:tcBorders/>
          </w:tcPr>
          <w:p w14:paraId="F94B34E9">
            <w:pPr>
              <w:pStyle w:val="style0"/>
              <w:rPr/>
            </w:pPr>
            <w:r>
              <w:rPr>
                <w:b w:val="false"/>
                <w:sz w:val="13"/>
              </w:rPr>
              <w:t>Eindeutige Identifikatoren und Beziehungen</w:t>
            </w:r>
          </w:p>
        </w:tc>
        <w:tc>
          <w:tcPr>
            <w:tcW w:w="3935" w:type="dxa"/>
            <w:tcBorders/>
          </w:tcPr>
          <w:p w14:paraId="9BDD323D">
            <w:pPr>
              <w:pStyle w:val="style0"/>
              <w:rPr/>
            </w:pPr>
            <w:r>
              <w:rPr>
                <w:b w:val="false"/>
                <w:sz w:val="13"/>
              </w:rPr>
              <w:t>Für jedes relevante Objekt sind eindeutige Schlüssel, Pflicht- und optionale Beziehungen, Saison- und Spieltagsbezug sowie Historisierung festgelegt. Verknüpfungen beruhen nicht allein auf Namen oder Freitext.</w:t>
            </w:r>
          </w:p>
        </w:tc>
        <w:tc>
          <w:tcPr>
            <w:tcW w:w="3935" w:type="dxa"/>
            <w:tcBorders/>
          </w:tcPr>
          <w:p w14:paraId="97A403FB">
            <w:pPr>
              <w:pStyle w:val="style0"/>
              <w:rPr/>
            </w:pPr>
            <w:r>
              <w:rPr>
                <w:b w:val="false"/>
                <w:sz w:val="13"/>
              </w:rPr>
              <w:t>Schlüssel- und Beziehungsmatrix oder gleichwertiges fachliches Datenmodell.</w:t>
            </w:r>
          </w:p>
        </w:tc>
      </w:tr>
      <w:tr w14:paraId="A8508215">
        <w:tblPrEx/>
        <w:trPr>
          <w:jc w:val="center"/>
        </w:trPr>
        <w:tc>
          <w:tcPr>
            <w:tcW w:w="3935" w:type="dxa"/>
            <w:tcBorders/>
          </w:tcPr>
          <w:p w14:paraId="093139D8">
            <w:pPr>
              <w:pStyle w:val="style0"/>
              <w:rPr/>
            </w:pPr>
            <w:r>
              <w:rPr>
                <w:b w:val="false"/>
                <w:sz w:val="13"/>
              </w:rPr>
              <w:t>MS1-K03</w:t>
            </w:r>
          </w:p>
        </w:tc>
        <w:tc>
          <w:tcPr>
            <w:tcW w:w="3935" w:type="dxa"/>
            <w:tcBorders/>
          </w:tcPr>
          <w:p w14:paraId="4D369D3D">
            <w:pPr>
              <w:pStyle w:val="style0"/>
              <w:rPr/>
            </w:pPr>
            <w:r>
              <w:rPr>
                <w:b w:val="false"/>
                <w:sz w:val="13"/>
              </w:rPr>
              <w:t>Trennung der Datenschichten</w:t>
            </w:r>
          </w:p>
        </w:tc>
        <w:tc>
          <w:tcPr>
            <w:tcW w:w="3935" w:type="dxa"/>
            <w:tcBorders/>
          </w:tcPr>
          <w:p w14:paraId="33E5CE7D">
            <w:pPr>
              <w:pStyle w:val="style0"/>
              <w:rPr/>
            </w:pPr>
            <w:r>
              <w:rPr>
                <w:b w:val="false"/>
                <w:sz w:val="13"/>
              </w:rPr>
              <w:t>Ungeprüfte Rohdaten, Prüf- und Arbeitsdaten, verbindliche SSOT-/Projektdaten, Berechnungs- und Prognosedaten, unveränderliche Snapshots sowie Evaluations- und Nachweisdaten sind logisch getrennt. Zulässige Übergänge und Freigabepunkte sind definiert.</w:t>
            </w:r>
          </w:p>
        </w:tc>
        <w:tc>
          <w:tcPr>
            <w:tcW w:w="3935" w:type="dxa"/>
            <w:tcBorders/>
          </w:tcPr>
          <w:p w14:paraId="434DE729">
            <w:pPr>
              <w:pStyle w:val="style0"/>
              <w:rPr/>
            </w:pPr>
            <w:r>
              <w:rPr>
                <w:b w:val="false"/>
                <w:sz w:val="13"/>
              </w:rPr>
              <w:t>Schichtenmodell mit Übergängen, Verantwortungen und Freigaben.</w:t>
            </w:r>
          </w:p>
        </w:tc>
      </w:tr>
      <w:tr w14:paraId="94A715C4">
        <w:tblPrEx/>
        <w:trPr>
          <w:jc w:val="center"/>
        </w:trPr>
        <w:tc>
          <w:tcPr>
            <w:tcW w:w="3935" w:type="dxa"/>
            <w:tcBorders/>
          </w:tcPr>
          <w:p w14:paraId="A305328A">
            <w:pPr>
              <w:pStyle w:val="style0"/>
              <w:rPr/>
            </w:pPr>
            <w:r>
              <w:rPr>
                <w:b w:val="false"/>
                <w:sz w:val="13"/>
              </w:rPr>
              <w:t>MS1-K04</w:t>
            </w:r>
          </w:p>
        </w:tc>
        <w:tc>
          <w:tcPr>
            <w:tcW w:w="3935" w:type="dxa"/>
            <w:tcBorders/>
          </w:tcPr>
          <w:p w14:paraId="D0ED5AF8">
            <w:pPr>
              <w:pStyle w:val="style0"/>
              <w:rPr/>
            </w:pPr>
            <w:r>
              <w:rPr>
                <w:b w:val="false"/>
                <w:sz w:val="13"/>
              </w:rPr>
              <w:t>Festgelegte Dateistruktur</w:t>
            </w:r>
          </w:p>
        </w:tc>
        <w:tc>
          <w:tcPr>
            <w:tcW w:w="3935" w:type="dxa"/>
            <w:tcBorders/>
          </w:tcPr>
          <w:p w14:paraId="AF74BEC2">
            <w:pPr>
              <w:pStyle w:val="style0"/>
              <w:rPr/>
            </w:pPr>
            <w:r>
              <w:rPr>
                <w:b w:val="false"/>
                <w:sz w:val="13"/>
              </w:rPr>
              <w:t>Für jede Projektdatei oder jeden logisch eigenständigen Datenbestand sind Zweck, Inhalt, Verantwortlichkeit, Lese-/Schreibzugriffe, Schnittstellen, Versionierung, Archivierung und Schichtzuordnung beschrieben.</w:t>
            </w:r>
          </w:p>
        </w:tc>
        <w:tc>
          <w:tcPr>
            <w:tcW w:w="3935" w:type="dxa"/>
            <w:tcBorders/>
          </w:tcPr>
          <w:p w14:paraId="A06219E4">
            <w:pPr>
              <w:pStyle w:val="style0"/>
              <w:rPr/>
            </w:pPr>
            <w:r>
              <w:rPr>
                <w:b w:val="false"/>
                <w:sz w:val="13"/>
              </w:rPr>
              <w:t>Dateiverzeichnis bzw. Artefaktkatalog.</w:t>
            </w:r>
          </w:p>
        </w:tc>
      </w:tr>
      <w:tr w14:paraId="3EE71EAA">
        <w:tblPrEx/>
        <w:trPr>
          <w:jc w:val="center"/>
        </w:trPr>
        <w:tc>
          <w:tcPr>
            <w:tcW w:w="3935" w:type="dxa"/>
            <w:tcBorders/>
          </w:tcPr>
          <w:p w14:paraId="805B193A">
            <w:pPr>
              <w:pStyle w:val="style0"/>
              <w:rPr/>
            </w:pPr>
            <w:r>
              <w:rPr>
                <w:b w:val="false"/>
                <w:sz w:val="13"/>
              </w:rPr>
              <w:t>MS1-K05</w:t>
            </w:r>
          </w:p>
        </w:tc>
        <w:tc>
          <w:tcPr>
            <w:tcW w:w="3935" w:type="dxa"/>
            <w:tcBorders/>
          </w:tcPr>
          <w:p w14:paraId="D7464007">
            <w:pPr>
              <w:pStyle w:val="style0"/>
              <w:rPr/>
            </w:pPr>
            <w:r>
              <w:rPr>
                <w:b w:val="false"/>
                <w:sz w:val="13"/>
              </w:rPr>
              <w:t>Quellenneutrales Importmodell</w:t>
            </w:r>
          </w:p>
        </w:tc>
        <w:tc>
          <w:tcPr>
            <w:tcW w:w="3935" w:type="dxa"/>
            <w:tcBorders/>
          </w:tcPr>
          <w:p w14:paraId="7D4346E5">
            <w:pPr>
              <w:pStyle w:val="style0"/>
              <w:rPr/>
            </w:pPr>
            <w:r>
              <w:rPr>
                <w:b w:val="false"/>
                <w:sz w:val="13"/>
              </w:rPr>
              <w:t>Direkte, teilautomatische, dateibasierte und manuelle Importe werden über einheitliche Quellen-, Zeit-, Datei-, Mapping-, Prüf-, Fehler- und Freigabemetadaten abgebildet.</w:t>
            </w:r>
          </w:p>
        </w:tc>
        <w:tc>
          <w:tcPr>
            <w:tcW w:w="3935" w:type="dxa"/>
            <w:tcBorders/>
          </w:tcPr>
          <w:p w14:paraId="DAF71C9C">
            <w:pPr>
              <w:pStyle w:val="style0"/>
              <w:rPr/>
            </w:pPr>
            <w:r>
              <w:rPr>
                <w:b w:val="false"/>
                <w:sz w:val="13"/>
              </w:rPr>
              <w:t>Import-Schnittstellenmodell sowie beispielhafte Datenflüsse für mindestens dateibasierten und manuellen Import.</w:t>
            </w:r>
          </w:p>
        </w:tc>
      </w:tr>
      <w:tr w14:paraId="FC4403A7">
        <w:tblPrEx/>
        <w:trPr>
          <w:jc w:val="center"/>
        </w:trPr>
        <w:tc>
          <w:tcPr>
            <w:tcW w:w="3935" w:type="dxa"/>
            <w:tcBorders/>
          </w:tcPr>
          <w:p w14:paraId="A01A1366">
            <w:pPr>
              <w:pStyle w:val="style0"/>
              <w:rPr/>
            </w:pPr>
            <w:r>
              <w:rPr>
                <w:b w:val="false"/>
                <w:sz w:val="13"/>
              </w:rPr>
              <w:t>MS1-K06</w:t>
            </w:r>
          </w:p>
        </w:tc>
        <w:tc>
          <w:tcPr>
            <w:tcW w:w="3935" w:type="dxa"/>
            <w:tcBorders/>
          </w:tcPr>
          <w:p w14:paraId="4E4F89C1">
            <w:pPr>
              <w:pStyle w:val="style0"/>
              <w:rPr/>
            </w:pPr>
            <w:r>
              <w:rPr>
                <w:b w:val="false"/>
                <w:sz w:val="13"/>
              </w:rPr>
              <w:t>Einheitliches Fehl- und Statusmodell</w:t>
            </w:r>
          </w:p>
        </w:tc>
        <w:tc>
          <w:tcPr>
            <w:tcW w:w="3935" w:type="dxa"/>
            <w:tcBorders/>
          </w:tcPr>
          <w:p w14:paraId="C86D2D45">
            <w:pPr>
              <w:pStyle w:val="style0"/>
              <w:rPr/>
            </w:pPr>
            <w:r>
              <w:rPr>
                <w:b w:val="false"/>
                <w:sz w:val="13"/>
              </w:rPr>
              <w:t>Tatsächliche Werte und fehlende Werte sind getrennt. Statuswerte wie nicht verfügbar, ungeprüft, widersprüchlich, vorläufig, vollständig, freigegeben und blockiert sind mit Geltungsebene und Übergängen definiert.</w:t>
            </w:r>
          </w:p>
        </w:tc>
        <w:tc>
          <w:tcPr>
            <w:tcW w:w="3935" w:type="dxa"/>
            <w:tcBorders/>
          </w:tcPr>
          <w:p w14:paraId="AC1E4D9C">
            <w:pPr>
              <w:pStyle w:val="style0"/>
              <w:rPr/>
            </w:pPr>
            <w:r>
              <w:rPr>
                <w:b w:val="false"/>
                <w:sz w:val="13"/>
              </w:rPr>
              <w:t>Statuskatalog mit Bedeutung, Ebene, Übergang und Systemreaktion.</w:t>
            </w:r>
          </w:p>
        </w:tc>
      </w:tr>
      <w:tr w14:paraId="E67C0425">
        <w:tblPrEx/>
        <w:trPr>
          <w:jc w:val="center"/>
        </w:trPr>
        <w:tc>
          <w:tcPr>
            <w:tcW w:w="3935" w:type="dxa"/>
            <w:tcBorders/>
          </w:tcPr>
          <w:p w14:paraId="B27DA9B9">
            <w:pPr>
              <w:pStyle w:val="style0"/>
              <w:rPr/>
            </w:pPr>
            <w:r>
              <w:rPr>
                <w:b w:val="false"/>
                <w:sz w:val="13"/>
              </w:rPr>
              <w:t>MS1-K07</w:t>
            </w:r>
          </w:p>
        </w:tc>
        <w:tc>
          <w:tcPr>
            <w:tcW w:w="3935" w:type="dxa"/>
            <w:tcBorders/>
          </w:tcPr>
          <w:p w14:paraId="77CCA945">
            <w:pPr>
              <w:pStyle w:val="style0"/>
              <w:rPr/>
            </w:pPr>
            <w:r>
              <w:rPr>
                <w:b w:val="false"/>
                <w:sz w:val="13"/>
              </w:rPr>
              <w:t>Kritikalitäts- und Blockadelogik</w:t>
            </w:r>
          </w:p>
        </w:tc>
        <w:tc>
          <w:tcPr>
            <w:tcW w:w="3935" w:type="dxa"/>
            <w:tcBorders/>
          </w:tcPr>
          <w:p w14:paraId="7F05668E">
            <w:pPr>
              <w:pStyle w:val="style0"/>
              <w:rPr/>
            </w:pPr>
            <w:r>
              <w:rPr>
                <w:b w:val="false"/>
                <w:sz w:val="13"/>
              </w:rPr>
              <w:t>Relevante Datenfelder sind als kritisch, nichtkritisch oder optional klassifiziert. Für kritische Lücken ist der blockierte Prozess festgelegt; zulässige Standardannahmen sind auf nichtkritische Prognosedaten begrenzt.</w:t>
            </w:r>
          </w:p>
        </w:tc>
        <w:tc>
          <w:tcPr>
            <w:tcW w:w="3935" w:type="dxa"/>
            <w:tcBorders/>
          </w:tcPr>
          <w:p w14:paraId="2787E6A8">
            <w:pPr>
              <w:pStyle w:val="style0"/>
              <w:rPr/>
            </w:pPr>
            <w:r>
              <w:rPr>
                <w:b w:val="false"/>
                <w:sz w:val="13"/>
              </w:rPr>
              <w:t>Kritikalitätsmatrix mit Funktion, Warnstufe und Reaktion.</w:t>
            </w:r>
          </w:p>
        </w:tc>
      </w:tr>
      <w:tr w14:paraId="F455076E">
        <w:tblPrEx/>
        <w:trPr>
          <w:jc w:val="center"/>
        </w:trPr>
        <w:tc>
          <w:tcPr>
            <w:tcW w:w="3935" w:type="dxa"/>
            <w:tcBorders/>
          </w:tcPr>
          <w:p w14:paraId="68EDFBE8">
            <w:pPr>
              <w:pStyle w:val="style0"/>
              <w:rPr/>
            </w:pPr>
            <w:r>
              <w:rPr>
                <w:b w:val="false"/>
                <w:sz w:val="13"/>
              </w:rPr>
              <w:t>MS1-K08</w:t>
            </w:r>
          </w:p>
        </w:tc>
        <w:tc>
          <w:tcPr>
            <w:tcW w:w="3935" w:type="dxa"/>
            <w:tcBorders/>
          </w:tcPr>
          <w:p w14:paraId="D0BC643E">
            <w:pPr>
              <w:pStyle w:val="style0"/>
              <w:rPr/>
            </w:pPr>
            <w:r>
              <w:rPr>
                <w:b w:val="false"/>
                <w:sz w:val="13"/>
              </w:rPr>
              <w:t>Technische Abbildbarkeit des Regelwerks</w:t>
            </w:r>
          </w:p>
        </w:tc>
        <w:tc>
          <w:tcPr>
            <w:tcW w:w="3935" w:type="dxa"/>
            <w:tcBorders/>
          </w:tcPr>
          <w:p w14:paraId="3398FE43">
            <w:pPr>
              <w:pStyle w:val="style0"/>
              <w:rPr/>
            </w:pPr>
            <w:r>
              <w:rPr>
                <w:b w:val="false"/>
                <w:sz w:val="13"/>
              </w:rPr>
              <w:t>Formation, Ersatzlogik, ng/oN/Wert, Sperrzeitpunkte, Vorwochenaufstellung, Rangpunkte, Gleichstände, Noten- und Gegentordurchschnitt, leere Mengen, vollständige Varianten und Ranking-Baseline sind strukturell abbildbar.</w:t>
            </w:r>
          </w:p>
        </w:tc>
        <w:tc>
          <w:tcPr>
            <w:tcW w:w="3935" w:type="dxa"/>
            <w:tcBorders/>
          </w:tcPr>
          <w:p w14:paraId="4243D136">
            <w:pPr>
              <w:pStyle w:val="style0"/>
              <w:rPr/>
            </w:pPr>
            <w:r>
              <w:rPr>
                <w:b w:val="false"/>
                <w:sz w:val="13"/>
              </w:rPr>
              <w:t>Zuordnungsmatrix Regel/DEC-ID zu Datenobjekten und Feldern.</w:t>
            </w:r>
          </w:p>
        </w:tc>
      </w:tr>
      <w:tr w14:paraId="AF20DDB7">
        <w:tblPrEx/>
        <w:trPr>
          <w:jc w:val="center"/>
        </w:trPr>
        <w:tc>
          <w:tcPr>
            <w:tcW w:w="3935" w:type="dxa"/>
            <w:tcBorders/>
          </w:tcPr>
          <w:p w14:paraId="A61DC170">
            <w:pPr>
              <w:pStyle w:val="style0"/>
              <w:rPr/>
            </w:pPr>
            <w:r>
              <w:rPr>
                <w:b w:val="false"/>
                <w:sz w:val="13"/>
              </w:rPr>
              <w:t>MS1-K09</w:t>
            </w:r>
          </w:p>
        </w:tc>
        <w:tc>
          <w:tcPr>
            <w:tcW w:w="3935" w:type="dxa"/>
            <w:tcBorders/>
          </w:tcPr>
          <w:p w14:paraId="81F16BB1">
            <w:pPr>
              <w:pStyle w:val="style0"/>
              <w:rPr/>
            </w:pPr>
            <w:r>
              <w:rPr>
                <w:b w:val="false"/>
                <w:sz w:val="13"/>
              </w:rPr>
              <w:t>Trennung der Bewertungsdimensionen</w:t>
            </w:r>
          </w:p>
        </w:tc>
        <w:tc>
          <w:tcPr>
            <w:tcW w:w="3935" w:type="dxa"/>
            <w:tcBorders/>
          </w:tcPr>
          <w:p w14:paraId="7CDBBE7D">
            <w:pPr>
              <w:pStyle w:val="style0"/>
              <w:rPr/>
            </w:pPr>
            <w:r>
              <w:rPr>
                <w:b w:val="false"/>
                <w:sz w:val="13"/>
              </w:rPr>
              <w:t>Historische Leistung, konkreter Spieltagskontext und aufstellungsabhängiger Nutzen sind unterscheidbar. Der Monitoring-Chat begründet, ob und wie getrennte Score-Ebenen eingesetzt werden.</w:t>
            </w:r>
          </w:p>
        </w:tc>
        <w:tc>
          <w:tcPr>
            <w:tcW w:w="3935" w:type="dxa"/>
            <w:tcBorders/>
          </w:tcPr>
          <w:p w14:paraId="9F95BBB1">
            <w:pPr>
              <w:pStyle w:val="style0"/>
              <w:rPr/>
            </w:pPr>
            <w:r>
              <w:rPr>
                <w:b w:val="false"/>
                <w:sz w:val="13"/>
              </w:rPr>
              <w:t>Fachkonzept zu Bewertungsdimensionen und Score-Ebenen.</w:t>
            </w:r>
          </w:p>
        </w:tc>
      </w:tr>
      <w:tr w14:paraId="6600A5F1">
        <w:tblPrEx/>
        <w:trPr>
          <w:jc w:val="center"/>
        </w:trPr>
        <w:tc>
          <w:tcPr>
            <w:tcW w:w="3935" w:type="dxa"/>
            <w:tcBorders/>
          </w:tcPr>
          <w:p w14:paraId="D5280A70">
            <w:pPr>
              <w:pStyle w:val="style0"/>
              <w:rPr/>
            </w:pPr>
            <w:r>
              <w:rPr>
                <w:b w:val="false"/>
                <w:sz w:val="13"/>
              </w:rPr>
              <w:t>MS1-K10</w:t>
            </w:r>
          </w:p>
        </w:tc>
        <w:tc>
          <w:tcPr>
            <w:tcW w:w="3935" w:type="dxa"/>
            <w:tcBorders/>
          </w:tcPr>
          <w:p w14:paraId="A32AC5E4">
            <w:pPr>
              <w:pStyle w:val="style0"/>
              <w:rPr/>
            </w:pPr>
            <w:r>
              <w:rPr>
                <w:b w:val="false"/>
                <w:sz w:val="13"/>
              </w:rPr>
              <w:t>Snapshot- und Versionsmodell</w:t>
            </w:r>
          </w:p>
        </w:tc>
        <w:tc>
          <w:tcPr>
            <w:tcW w:w="3935" w:type="dxa"/>
            <w:tcBorders/>
          </w:tcPr>
          <w:p w14:paraId="A88F48FC">
            <w:pPr>
              <w:pStyle w:val="style0"/>
              <w:rPr/>
            </w:pPr>
            <w:r>
              <w:rPr>
                <w:b w:val="false"/>
                <w:sz w:val="13"/>
              </w:rPr>
              <w:t>Empfehlungen sind über unveränderliche Snapshots mit Spieltag, Zeitpunkten, Datenstand, SSOT-/Modellversion, Parametern, Status, Lücken, Annahmen und Bezug zur Managerentscheidung reproduzierbar.</w:t>
            </w:r>
          </w:p>
        </w:tc>
        <w:tc>
          <w:tcPr>
            <w:tcW w:w="3935" w:type="dxa"/>
            <w:tcBorders/>
          </w:tcPr>
          <w:p w14:paraId="6F8196A5">
            <w:pPr>
              <w:pStyle w:val="style0"/>
              <w:rPr/>
            </w:pPr>
            <w:r>
              <w:rPr>
                <w:b w:val="false"/>
                <w:sz w:val="13"/>
              </w:rPr>
              <w:t>Snapshot-Schema sowie Versions- und Unveränderlichkeitsregel.</w:t>
            </w:r>
          </w:p>
        </w:tc>
      </w:tr>
      <w:tr w14:paraId="746FAF26">
        <w:tblPrEx/>
        <w:trPr>
          <w:jc w:val="center"/>
        </w:trPr>
        <w:tc>
          <w:tcPr>
            <w:tcW w:w="3935" w:type="dxa"/>
            <w:tcBorders/>
          </w:tcPr>
          <w:p w14:paraId="9EA6C2A2">
            <w:pPr>
              <w:pStyle w:val="style0"/>
              <w:rPr/>
            </w:pPr>
            <w:r>
              <w:rPr>
                <w:b w:val="false"/>
                <w:sz w:val="13"/>
              </w:rPr>
              <w:t>MS1-K11</w:t>
            </w:r>
          </w:p>
        </w:tc>
        <w:tc>
          <w:tcPr>
            <w:tcW w:w="3935" w:type="dxa"/>
            <w:tcBorders/>
          </w:tcPr>
          <w:p w14:paraId="41BD5870">
            <w:pPr>
              <w:pStyle w:val="style0"/>
              <w:rPr/>
            </w:pPr>
            <w:r>
              <w:rPr>
                <w:b w:val="false"/>
                <w:sz w:val="13"/>
              </w:rPr>
              <w:t>Trennung von Modell, Diskussion, Entscheidung und Ergebnis</w:t>
            </w:r>
          </w:p>
        </w:tc>
        <w:tc>
          <w:tcPr>
            <w:tcW w:w="3935" w:type="dxa"/>
            <w:tcBorders/>
          </w:tcPr>
          <w:p w14:paraId="D83EB7DF">
            <w:pPr>
              <w:pStyle w:val="style0"/>
              <w:rPr/>
            </w:pPr>
            <w:r>
              <w:rPr>
                <w:b w:val="false"/>
                <w:sz w:val="13"/>
              </w:rPr>
              <w:t>Modellempfehlung, Begründungsgrundlagen, Diskussion, Managerentscheidung, tatsächliche Aufstellung, Ergebnis und Evaluation sind getrennt gespeichert. Overrides verändern den Modell-Snapshot nicht.</w:t>
            </w:r>
          </w:p>
        </w:tc>
        <w:tc>
          <w:tcPr>
            <w:tcW w:w="3935" w:type="dxa"/>
            <w:tcBorders/>
          </w:tcPr>
          <w:p w14:paraId="12E483AA">
            <w:pPr>
              <w:pStyle w:val="style0"/>
              <w:rPr/>
            </w:pPr>
            <w:r>
              <w:rPr>
                <w:b w:val="false"/>
                <w:sz w:val="13"/>
              </w:rPr>
              <w:t>Objekt- und Datenflussdarstellung vom Vorschlag bis zur Evaluation.</w:t>
            </w:r>
          </w:p>
        </w:tc>
      </w:tr>
      <w:tr w14:paraId="E34DB8B5">
        <w:tblPrEx/>
        <w:trPr>
          <w:jc w:val="center"/>
        </w:trPr>
        <w:tc>
          <w:tcPr>
            <w:tcW w:w="3935" w:type="dxa"/>
            <w:tcBorders/>
          </w:tcPr>
          <w:p w14:paraId="98120F90">
            <w:pPr>
              <w:pStyle w:val="style0"/>
              <w:rPr/>
            </w:pPr>
            <w:r>
              <w:rPr>
                <w:b w:val="false"/>
                <w:sz w:val="13"/>
              </w:rPr>
              <w:t>MS1-K12</w:t>
            </w:r>
          </w:p>
        </w:tc>
        <w:tc>
          <w:tcPr>
            <w:tcW w:w="3935" w:type="dxa"/>
            <w:tcBorders/>
          </w:tcPr>
          <w:p w14:paraId="7548B664">
            <w:pPr>
              <w:pStyle w:val="style0"/>
              <w:rPr/>
            </w:pPr>
            <w:r>
              <w:rPr>
                <w:b w:val="false"/>
                <w:sz w:val="13"/>
              </w:rPr>
              <w:t>Definierte Fachbereichsschnittstellen</w:t>
            </w:r>
          </w:p>
        </w:tc>
        <w:tc>
          <w:tcPr>
            <w:tcW w:w="3935" w:type="dxa"/>
            <w:tcBorders/>
          </w:tcPr>
          <w:p w14:paraId="2CF9B475">
            <w:pPr>
              <w:pStyle w:val="style0"/>
              <w:rPr/>
            </w:pPr>
            <w:r>
              <w:rPr>
                <w:b w:val="false"/>
                <w:sz w:val="13"/>
              </w:rPr>
              <w:t>Für jede Übergabe sind Lieferant, Empfänger, Datenobjekte, Pflichtfelder, Status, Prüfverantwortung, Fehlerreaktion und Versionsbezug festgelegt.</w:t>
            </w:r>
          </w:p>
        </w:tc>
        <w:tc>
          <w:tcPr>
            <w:tcW w:w="3935" w:type="dxa"/>
            <w:tcBorders/>
          </w:tcPr>
          <w:p w14:paraId="4891EABA">
            <w:pPr>
              <w:pStyle w:val="style0"/>
              <w:rPr/>
            </w:pPr>
            <w:r>
              <w:rPr>
                <w:b w:val="false"/>
                <w:sz w:val="13"/>
              </w:rPr>
              <w:t>Schnittstellen- und Verantwortungsmatrix.</w:t>
            </w:r>
          </w:p>
        </w:tc>
      </w:tr>
      <w:tr w14:paraId="7F30B128">
        <w:tblPrEx/>
        <w:trPr>
          <w:jc w:val="center"/>
        </w:trPr>
        <w:tc>
          <w:tcPr>
            <w:tcW w:w="3935" w:type="dxa"/>
            <w:tcBorders/>
          </w:tcPr>
          <w:p w14:paraId="DB3A8825">
            <w:pPr>
              <w:pStyle w:val="style0"/>
              <w:rPr/>
            </w:pPr>
            <w:r>
              <w:rPr>
                <w:b w:val="false"/>
                <w:sz w:val="13"/>
              </w:rPr>
              <w:t>MS1-K13</w:t>
            </w:r>
          </w:p>
        </w:tc>
        <w:tc>
          <w:tcPr>
            <w:tcW w:w="3935" w:type="dxa"/>
            <w:tcBorders/>
          </w:tcPr>
          <w:p w14:paraId="FFF1708F">
            <w:pPr>
              <w:pStyle w:val="style0"/>
              <w:rPr/>
            </w:pPr>
            <w:r>
              <w:rPr>
                <w:b w:val="false"/>
                <w:sz w:val="13"/>
              </w:rPr>
              <w:t>Kontroll- und Freigabepunkte</w:t>
            </w:r>
          </w:p>
        </w:tc>
        <w:tc>
          <w:tcPr>
            <w:tcW w:w="3935" w:type="dxa"/>
            <w:tcBorders/>
          </w:tcPr>
          <w:p w14:paraId="678D12D2">
            <w:pPr>
              <w:pStyle w:val="style0"/>
              <w:rPr/>
            </w:pPr>
            <w:r>
              <w:rPr>
                <w:b w:val="false"/>
                <w:sz w:val="13"/>
              </w:rPr>
              <w:t>Für relevante Übernahmen sind automatische und manuelle Prüfungen, blockierende Fehler, Freigabebefugnisse und Ergebnisstatus festgelegt.</w:t>
            </w:r>
          </w:p>
        </w:tc>
        <w:tc>
          <w:tcPr>
            <w:tcW w:w="3935" w:type="dxa"/>
            <w:tcBorders/>
          </w:tcPr>
          <w:p w14:paraId="930EBE6F">
            <w:pPr>
              <w:pStyle w:val="style0"/>
              <w:rPr/>
            </w:pPr>
            <w:r>
              <w:rPr>
                <w:b w:val="false"/>
                <w:sz w:val="13"/>
              </w:rPr>
              <w:t>Kontrollmatrix mit Prüfobjekt, Prüfung, Status und Verantwortlichkeit.</w:t>
            </w:r>
          </w:p>
        </w:tc>
      </w:tr>
      <w:tr w14:paraId="E486ACFA">
        <w:tblPrEx/>
        <w:trPr>
          <w:jc w:val="center"/>
        </w:trPr>
        <w:tc>
          <w:tcPr>
            <w:tcW w:w="3935" w:type="dxa"/>
            <w:tcBorders/>
          </w:tcPr>
          <w:p w14:paraId="6BADCAB8">
            <w:pPr>
              <w:pStyle w:val="style0"/>
              <w:rPr/>
            </w:pPr>
            <w:r>
              <w:rPr>
                <w:b w:val="false"/>
                <w:sz w:val="13"/>
              </w:rPr>
              <w:t>MS1-K14</w:t>
            </w:r>
          </w:p>
        </w:tc>
        <w:tc>
          <w:tcPr>
            <w:tcW w:w="3935" w:type="dxa"/>
            <w:tcBorders/>
          </w:tcPr>
          <w:p w14:paraId="3D136E7B">
            <w:pPr>
              <w:pStyle w:val="style0"/>
              <w:rPr/>
            </w:pPr>
            <w:r>
              <w:rPr>
                <w:b w:val="false"/>
                <w:sz w:val="13"/>
              </w:rPr>
              <w:t>Nachvollziehbare Quellen- und Nachweisdaten</w:t>
            </w:r>
          </w:p>
        </w:tc>
        <w:tc>
          <w:tcPr>
            <w:tcW w:w="3935" w:type="dxa"/>
            <w:tcBorders/>
          </w:tcPr>
          <w:p w14:paraId="69359C0D">
            <w:pPr>
              <w:pStyle w:val="style0"/>
              <w:rPr/>
            </w:pPr>
            <w:r>
              <w:rPr>
                <w:b w:val="false"/>
                <w:sz w:val="13"/>
              </w:rPr>
              <w:t>Externe quantitative und qualitative Informationen erhalten mindestens Quelle/Art, Zeitbezug, Kurzinhalt, Verlässlichkeit/Konfliktstatus, Modellwirkung und Objektbezug.</w:t>
            </w:r>
          </w:p>
        </w:tc>
        <w:tc>
          <w:tcPr>
            <w:tcW w:w="3935" w:type="dxa"/>
            <w:tcBorders/>
          </w:tcPr>
          <w:p w14:paraId="EEEDD56E">
            <w:pPr>
              <w:pStyle w:val="style0"/>
              <w:rPr/>
            </w:pPr>
            <w:r>
              <w:rPr>
                <w:b w:val="false"/>
                <w:sz w:val="13"/>
              </w:rPr>
              <w:t>Nachweisschema und Aufbewahrungsregel.</w:t>
            </w:r>
          </w:p>
        </w:tc>
      </w:tr>
      <w:tr w14:paraId="E55A1A97">
        <w:tblPrEx/>
        <w:trPr>
          <w:jc w:val="center"/>
        </w:trPr>
        <w:tc>
          <w:tcPr>
            <w:tcW w:w="3935" w:type="dxa"/>
            <w:tcBorders/>
          </w:tcPr>
          <w:p w14:paraId="464B0622">
            <w:pPr>
              <w:pStyle w:val="style0"/>
              <w:rPr/>
            </w:pPr>
            <w:r>
              <w:rPr>
                <w:b w:val="false"/>
                <w:sz w:val="13"/>
              </w:rPr>
              <w:t>MS1-K15</w:t>
            </w:r>
          </w:p>
        </w:tc>
        <w:tc>
          <w:tcPr>
            <w:tcW w:w="3935" w:type="dxa"/>
            <w:tcBorders/>
          </w:tcPr>
          <w:p w14:paraId="C4CCA589">
            <w:pPr>
              <w:pStyle w:val="style0"/>
              <w:rPr/>
            </w:pPr>
            <w:r>
              <w:rPr>
                <w:b w:val="false"/>
                <w:sz w:val="13"/>
              </w:rPr>
              <w:t>Konsistenz und Traceability</w:t>
            </w:r>
          </w:p>
        </w:tc>
        <w:tc>
          <w:tcPr>
            <w:tcW w:w="3935" w:type="dxa"/>
            <w:tcBorders/>
          </w:tcPr>
          <w:p w14:paraId="4B4D12D9">
            <w:pPr>
              <w:pStyle w:val="style0"/>
              <w:rPr/>
            </w:pPr>
            <w:r>
              <w:rPr>
                <w:b w:val="false"/>
                <w:sz w:val="13"/>
              </w:rPr>
              <w:t>Jede verbindliche Festlegung ist einer DEC-/REQ-/CON-ID und einem Fachbereich zugeordnet, versioniert, konfliktgeprüft und für die Fortschreibung der Register vorbereitet.</w:t>
            </w:r>
          </w:p>
        </w:tc>
        <w:tc>
          <w:tcPr>
            <w:tcW w:w="3935" w:type="dxa"/>
            <w:tcBorders/>
          </w:tcPr>
          <w:p w14:paraId="E1EB6DA4">
            <w:pPr>
              <w:pStyle w:val="style0"/>
              <w:rPr/>
            </w:pPr>
            <w:r>
              <w:rPr>
                <w:b w:val="false"/>
                <w:sz w:val="13"/>
              </w:rPr>
              <w:t>Traceability-Matrix Milestone-Festlegung zu IDs, Fach-Chat und Lieferdokument.</w:t>
            </w:r>
          </w:p>
        </w:tc>
      </w:tr>
    </w:tbl>
    <w:p w14:paraId="48DE54EE">
      <w:pPr>
        <w:pStyle w:val="style0"/>
        <w:rPr/>
      </w:pPr>
      <w:r>
        <w:rPr>
          <w:i/>
          <w:sz w:val="16"/>
        </w:rPr>
        <w:t>Quellenanker: DOC-006 – Tabelle 2 der verbindlichen Fassung gemäß DOC-REG-001 Stand 3.2.</w:t>
      </w:r>
    </w:p>
    <w:p w14:paraId="296300D1">
      <w:pPr>
        <w:pStyle w:val="style2"/>
        <w:rPr/>
      </w:pPr>
      <w:r>
        <w:t>7.3 Bearbeitungswellen und Gates</w:t>
      </w:r>
    </w:p>
    <w:tbl>
      <w:tblPr>
        <w:tblStyle w:val="style154"/>
        <w:tblW w:w="0" w:type="auto"/>
        <w:jc w:val="center"/>
        <w:tblLook w:val="04A0" w:firstRow="1" w:lastRow="0" w:firstColumn="1" w:lastColumn="0" w:noHBand="0" w:noVBand="1"/>
      </w:tblPr>
      <w:tblGrid>
        <w:gridCol w:w="3935"/>
        <w:gridCol w:w="3935"/>
        <w:gridCol w:w="3935"/>
        <w:gridCol w:w="3935"/>
      </w:tblGrid>
      <w:tr w14:paraId="4C62718C">
        <w:trPr>
          <w:tblHeader/>
          <w:jc w:val="center"/>
        </w:trPr>
        <w:tc>
          <w:tcPr>
            <w:tcW w:w="3935" w:type="dxa"/>
            <w:tcBorders/>
            <w:shd w:val="nil" w:color="auto" w:fill="d9eaf7"/>
          </w:tcPr>
          <w:p w14:paraId="C0CADE3E">
            <w:pPr>
              <w:pStyle w:val="style0"/>
              <w:rPr/>
            </w:pPr>
            <w:r>
              <w:rPr>
                <w:b/>
                <w:sz w:val="13"/>
              </w:rPr>
              <w:t>Welle</w:t>
            </w:r>
          </w:p>
        </w:tc>
        <w:tc>
          <w:tcPr>
            <w:tcW w:w="3935" w:type="dxa"/>
            <w:tcBorders/>
            <w:shd w:val="nil" w:color="auto" w:fill="d9eaf7"/>
          </w:tcPr>
          <w:p w14:paraId="5D5E1618">
            <w:pPr>
              <w:pStyle w:val="style0"/>
              <w:rPr/>
            </w:pPr>
            <w:r>
              <w:rPr>
                <w:b/>
                <w:sz w:val="13"/>
              </w:rPr>
              <w:t>Zuständig</w:t>
            </w:r>
          </w:p>
        </w:tc>
        <w:tc>
          <w:tcPr>
            <w:tcW w:w="3935" w:type="dxa"/>
            <w:tcBorders/>
            <w:shd w:val="nil" w:color="auto" w:fill="d9eaf7"/>
          </w:tcPr>
          <w:p w14:paraId="71446429">
            <w:pPr>
              <w:pStyle w:val="style0"/>
              <w:rPr/>
            </w:pPr>
            <w:r>
              <w:rPr>
                <w:b/>
                <w:sz w:val="13"/>
              </w:rPr>
              <w:t>Auftrag</w:t>
            </w:r>
          </w:p>
        </w:tc>
        <w:tc>
          <w:tcPr>
            <w:tcW w:w="3935" w:type="dxa"/>
            <w:tcBorders/>
            <w:shd w:val="nil" w:color="auto" w:fill="d9eaf7"/>
          </w:tcPr>
          <w:p w14:paraId="EAC9424D">
            <w:pPr>
              <w:pStyle w:val="style0"/>
              <w:rPr/>
            </w:pPr>
            <w:r>
              <w:rPr>
                <w:b/>
                <w:sz w:val="13"/>
              </w:rPr>
              <w:t>Ergebnis / Gate</w:t>
            </w:r>
          </w:p>
        </w:tc>
      </w:tr>
      <w:tr w14:paraId="AC67934F">
        <w:tblPrEx/>
        <w:trPr>
          <w:jc w:val="center"/>
        </w:trPr>
        <w:tc>
          <w:tcPr>
            <w:tcW w:w="3935" w:type="dxa"/>
            <w:tcBorders/>
          </w:tcPr>
          <w:p w14:paraId="EC092213">
            <w:pPr>
              <w:pStyle w:val="style0"/>
              <w:rPr/>
            </w:pPr>
            <w:r>
              <w:rPr>
                <w:b w:val="false"/>
                <w:sz w:val="13"/>
              </w:rPr>
              <w:t>0</w:t>
            </w:r>
          </w:p>
        </w:tc>
        <w:tc>
          <w:tcPr>
            <w:tcW w:w="3935" w:type="dxa"/>
            <w:tcBorders/>
          </w:tcPr>
          <w:p w14:paraId="9CAF0434">
            <w:pPr>
              <w:pStyle w:val="style0"/>
              <w:rPr/>
            </w:pPr>
            <w:r>
              <w:rPr>
                <w:b w:val="false"/>
                <w:sz w:val="13"/>
              </w:rPr>
              <w:t>Projektsteuerung</w:t>
            </w:r>
          </w:p>
        </w:tc>
        <w:tc>
          <w:tcPr>
            <w:tcW w:w="3935" w:type="dxa"/>
            <w:tcBorders/>
          </w:tcPr>
          <w:p w14:paraId="2CC7832D">
            <w:pPr>
              <w:pStyle w:val="style0"/>
              <w:rPr/>
            </w:pPr>
            <w:r>
              <w:rPr>
                <w:b w:val="false"/>
                <w:sz w:val="13"/>
              </w:rPr>
              <w:t>Milestone-Kriterien, Bearbeitungswellen, gemeinsames Lieferformat, Integrations- und Abnahmepunkte festlegen.</w:t>
            </w:r>
          </w:p>
        </w:tc>
        <w:tc>
          <w:tcPr>
            <w:tcW w:w="3935" w:type="dxa"/>
            <w:tcBorders/>
          </w:tcPr>
          <w:p w14:paraId="223149B5">
            <w:pPr>
              <w:pStyle w:val="style0"/>
              <w:rPr/>
            </w:pPr>
            <w:r>
              <w:rPr>
                <w:b w:val="false"/>
                <w:sz w:val="13"/>
              </w:rPr>
              <w:t>Dieses Dokument; abgeschlossen mit Freigabe von DOC-006 v0.1.</w:t>
            </w:r>
          </w:p>
        </w:tc>
      </w:tr>
      <w:tr w14:paraId="506CB763">
        <w:tblPrEx/>
        <w:trPr>
          <w:jc w:val="center"/>
        </w:trPr>
        <w:tc>
          <w:tcPr>
            <w:tcW w:w="3935" w:type="dxa"/>
            <w:tcBorders/>
          </w:tcPr>
          <w:p w14:paraId="C3637F30">
            <w:pPr>
              <w:pStyle w:val="style0"/>
              <w:rPr/>
            </w:pPr>
            <w:r>
              <w:rPr>
                <w:b w:val="false"/>
                <w:sz w:val="13"/>
              </w:rPr>
              <w:t>1</w:t>
            </w:r>
          </w:p>
        </w:tc>
        <w:tc>
          <w:tcPr>
            <w:tcW w:w="3935" w:type="dxa"/>
            <w:tcBorders/>
          </w:tcPr>
          <w:p w14:paraId="7631531D">
            <w:pPr>
              <w:pStyle w:val="style0"/>
              <w:rPr/>
            </w:pPr>
            <w:r>
              <w:rPr>
                <w:b w:val="false"/>
                <w:sz w:val="13"/>
              </w:rPr>
              <w:t>Dokumentation Regelwerk</w:t>
            </w:r>
          </w:p>
        </w:tc>
        <w:tc>
          <w:tcPr>
            <w:tcW w:w="3935" w:type="dxa"/>
            <w:tcBorders/>
          </w:tcPr>
          <w:p w14:paraId="D35C666E">
            <w:pPr>
              <w:pStyle w:val="style0"/>
              <w:rPr/>
            </w:pPr>
            <w:r>
              <w:rPr>
                <w:b w:val="false"/>
                <w:sz w:val="13"/>
              </w:rPr>
              <w:t>Beschlossene Regeln in technisch eindeutige Begriffe, Status und Datenanforderungen übersetzen; keine neuen Regeln festlegen.</w:t>
            </w:r>
          </w:p>
        </w:tc>
        <w:tc>
          <w:tcPr>
            <w:tcW w:w="3935" w:type="dxa"/>
            <w:tcBorders/>
          </w:tcPr>
          <w:p w14:paraId="8F03335C">
            <w:pPr>
              <w:pStyle w:val="style0"/>
              <w:rPr/>
            </w:pPr>
            <w:r>
              <w:rPr>
                <w:b w:val="false"/>
                <w:sz w:val="13"/>
              </w:rPr>
              <w:t>Regeltechnischer Begriffskatalog und Regel-zu-Daten-Matrix.</w:t>
            </w:r>
          </w:p>
        </w:tc>
      </w:tr>
      <w:tr w14:paraId="DBE88FC7">
        <w:tblPrEx/>
        <w:trPr>
          <w:jc w:val="center"/>
        </w:trPr>
        <w:tc>
          <w:tcPr>
            <w:tcW w:w="3935" w:type="dxa"/>
            <w:tcBorders/>
          </w:tcPr>
          <w:p w14:paraId="76F21903">
            <w:pPr>
              <w:pStyle w:val="style0"/>
              <w:rPr/>
            </w:pPr>
            <w:r>
              <w:rPr>
                <w:b w:val="false"/>
                <w:sz w:val="13"/>
              </w:rPr>
              <w:t>2</w:t>
            </w:r>
          </w:p>
        </w:tc>
        <w:tc>
          <w:tcPr>
            <w:tcW w:w="3935" w:type="dxa"/>
            <w:tcBorders/>
          </w:tcPr>
          <w:p w14:paraId="D3516FF5">
            <w:pPr>
              <w:pStyle w:val="style0"/>
              <w:rPr/>
            </w:pPr>
            <w:r>
              <w:rPr>
                <w:b w:val="false"/>
                <w:sz w:val="13"/>
              </w:rPr>
              <w:t>Erstellung SSOT und Erstellung Monitoring-Datei – parallel</w:t>
            </w:r>
          </w:p>
        </w:tc>
        <w:tc>
          <w:tcPr>
            <w:tcW w:w="3935" w:type="dxa"/>
            <w:tcBorders/>
          </w:tcPr>
          <w:p w14:paraId="20AF501E">
            <w:pPr>
              <w:pStyle w:val="style0"/>
              <w:rPr/>
            </w:pPr>
            <w:r>
              <w:rPr>
                <w:b w:val="false"/>
                <w:sz w:val="13"/>
              </w:rPr>
              <w:t>SSOT: Stammdaten, IDs, Historisierung und Freigabe. Monitoring: Feldbedarf, Bewertungsdimensionen, Aufstellung, Snapshot und Evaluation.</w:t>
            </w:r>
          </w:p>
        </w:tc>
        <w:tc>
          <w:tcPr>
            <w:tcW w:w="3935" w:type="dxa"/>
            <w:tcBorders/>
          </w:tcPr>
          <w:p w14:paraId="06633BCD">
            <w:pPr>
              <w:pStyle w:val="style0"/>
              <w:rPr/>
            </w:pPr>
            <w:r>
              <w:rPr>
                <w:b w:val="false"/>
                <w:sz w:val="13"/>
              </w:rPr>
              <w:t>Je ein Zwischenentwurf mit Objekt-/Feldbedarf, Schlüsseln, Schnittstellen und offenen Abgrenzungen.</w:t>
            </w:r>
          </w:p>
        </w:tc>
      </w:tr>
      <w:tr w14:paraId="2B0E0A9D">
        <w:tblPrEx/>
        <w:trPr>
          <w:jc w:val="center"/>
        </w:trPr>
        <w:tc>
          <w:tcPr>
            <w:tcW w:w="3935" w:type="dxa"/>
            <w:tcBorders/>
          </w:tcPr>
          <w:p w14:paraId="C9A07B5D">
            <w:pPr>
              <w:pStyle w:val="style0"/>
              <w:rPr/>
            </w:pPr>
            <w:r>
              <w:rPr>
                <w:b w:val="false"/>
                <w:sz w:val="13"/>
              </w:rPr>
              <w:t>3</w:t>
            </w:r>
          </w:p>
        </w:tc>
        <w:tc>
          <w:tcPr>
            <w:tcW w:w="3935" w:type="dxa"/>
            <w:tcBorders/>
          </w:tcPr>
          <w:p w14:paraId="5A7831D2">
            <w:pPr>
              <w:pStyle w:val="style0"/>
              <w:rPr/>
            </w:pPr>
            <w:r>
              <w:rPr>
                <w:b w:val="false"/>
                <w:sz w:val="13"/>
              </w:rPr>
              <w:t>Projektsteuerung – Integrationspunkt 1</w:t>
            </w:r>
          </w:p>
        </w:tc>
        <w:tc>
          <w:tcPr>
            <w:tcW w:w="3935" w:type="dxa"/>
            <w:tcBorders/>
          </w:tcPr>
          <w:p w14:paraId="C8F827BC">
            <w:pPr>
              <w:pStyle w:val="style0"/>
              <w:rPr/>
            </w:pPr>
            <w:r>
              <w:rPr>
                <w:b w:val="false"/>
                <w:sz w:val="13"/>
              </w:rPr>
              <w:t>Zwischenergebnisse SSOT und Monitoring auf Überschneidungen, Lücken und widersprüchliche Zuständigkeiten prüfen.</w:t>
            </w:r>
          </w:p>
        </w:tc>
        <w:tc>
          <w:tcPr>
            <w:tcW w:w="3935" w:type="dxa"/>
            <w:tcBorders/>
          </w:tcPr>
          <w:p w14:paraId="CA3FA8E5">
            <w:pPr>
              <w:pStyle w:val="style0"/>
              <w:rPr/>
            </w:pPr>
            <w:r>
              <w:rPr>
                <w:b w:val="false"/>
                <w:sz w:val="13"/>
              </w:rPr>
              <w:t>Konsolidierte Schnittstellen- und Abgrenzungsentscheidung; ggf. Übergabe offener Grundsatzfragen.</w:t>
            </w:r>
          </w:p>
        </w:tc>
      </w:tr>
      <w:tr w14:paraId="703B796E">
        <w:tblPrEx/>
        <w:trPr>
          <w:jc w:val="center"/>
        </w:trPr>
        <w:tc>
          <w:tcPr>
            <w:tcW w:w="3935" w:type="dxa"/>
            <w:tcBorders/>
          </w:tcPr>
          <w:p w14:paraId="10FE2526">
            <w:pPr>
              <w:pStyle w:val="style0"/>
              <w:rPr/>
            </w:pPr>
            <w:r>
              <w:rPr>
                <w:b w:val="false"/>
                <w:sz w:val="13"/>
              </w:rPr>
              <w:t>4</w:t>
            </w:r>
          </w:p>
        </w:tc>
        <w:tc>
          <w:tcPr>
            <w:tcW w:w="3935" w:type="dxa"/>
            <w:tcBorders/>
          </w:tcPr>
          <w:p w14:paraId="668EEA5E">
            <w:pPr>
              <w:pStyle w:val="style0"/>
              <w:rPr/>
            </w:pPr>
            <w:r>
              <w:rPr>
                <w:b w:val="false"/>
                <w:sz w:val="13"/>
              </w:rPr>
              <w:t>Gewinnung Rohdaten</w:t>
            </w:r>
          </w:p>
        </w:tc>
        <w:tc>
          <w:tcPr>
            <w:tcW w:w="3935" w:type="dxa"/>
            <w:tcBorders/>
          </w:tcPr>
          <w:p w14:paraId="FB200B79">
            <w:pPr>
              <w:pStyle w:val="style0"/>
              <w:rPr/>
            </w:pPr>
            <w:r>
              <w:rPr>
                <w:b w:val="false"/>
                <w:sz w:val="13"/>
              </w:rPr>
              <w:t>Auf Basis des abgestimmten Bedarfs quellenneutrales Import-, Mapping- und Metadatenmodell erstellen.</w:t>
            </w:r>
          </w:p>
        </w:tc>
        <w:tc>
          <w:tcPr>
            <w:tcW w:w="3935" w:type="dxa"/>
            <w:tcBorders/>
          </w:tcPr>
          <w:p w14:paraId="18E58046">
            <w:pPr>
              <w:pStyle w:val="style0"/>
              <w:rPr/>
            </w:pPr>
            <w:r>
              <w:rPr>
                <w:b w:val="false"/>
                <w:sz w:val="13"/>
              </w:rPr>
              <w:t>Rohdatenmodell, Importwege, Mapping, Abweichungs- und Übergabestruktur.</w:t>
            </w:r>
          </w:p>
        </w:tc>
      </w:tr>
      <w:tr w14:paraId="F827EF27">
        <w:tblPrEx/>
        <w:trPr>
          <w:jc w:val="center"/>
        </w:trPr>
        <w:tc>
          <w:tcPr>
            <w:tcW w:w="3935" w:type="dxa"/>
            <w:tcBorders/>
          </w:tcPr>
          <w:p w14:paraId="76A1215D">
            <w:pPr>
              <w:pStyle w:val="style0"/>
              <w:rPr/>
            </w:pPr>
            <w:r>
              <w:rPr>
                <w:b w:val="false"/>
                <w:sz w:val="13"/>
              </w:rPr>
              <w:t>5</w:t>
            </w:r>
          </w:p>
        </w:tc>
        <w:tc>
          <w:tcPr>
            <w:tcW w:w="3935" w:type="dxa"/>
            <w:tcBorders/>
          </w:tcPr>
          <w:p w14:paraId="2D2E6468">
            <w:pPr>
              <w:pStyle w:val="style0"/>
              <w:rPr/>
            </w:pPr>
            <w:r>
              <w:rPr>
                <w:b w:val="false"/>
                <w:sz w:val="13"/>
              </w:rPr>
              <w:t>Projektsteuerung mit SSOT und Monitoring – Integrationspunkt 2</w:t>
            </w:r>
          </w:p>
        </w:tc>
        <w:tc>
          <w:tcPr>
            <w:tcW w:w="3935" w:type="dxa"/>
            <w:tcBorders/>
          </w:tcPr>
          <w:p w14:paraId="54C982E7">
            <w:pPr>
              <w:pStyle w:val="style0"/>
              <w:rPr/>
            </w:pPr>
            <w:r>
              <w:rPr>
                <w:b w:val="false"/>
                <w:sz w:val="13"/>
              </w:rPr>
              <w:t>Beschaffbarkeit, Mapping und Statusbedarf rückkoppeln; notwendige technische Anpassungen konsolidieren.</w:t>
            </w:r>
          </w:p>
        </w:tc>
        <w:tc>
          <w:tcPr>
            <w:tcW w:w="3935" w:type="dxa"/>
            <w:tcBorders/>
          </w:tcPr>
          <w:p w14:paraId="9E1C345E">
            <w:pPr>
              <w:pStyle w:val="style0"/>
              <w:rPr/>
            </w:pPr>
            <w:r>
              <w:rPr>
                <w:b w:val="false"/>
                <w:sz w:val="13"/>
              </w:rPr>
              <w:t>Abgestimmtes Gesamtmodell von Rohdaten, SSOT und Monitoring.</w:t>
            </w:r>
          </w:p>
        </w:tc>
      </w:tr>
      <w:tr w14:paraId="FFD7557D">
        <w:tblPrEx/>
        <w:trPr>
          <w:jc w:val="center"/>
        </w:trPr>
        <w:tc>
          <w:tcPr>
            <w:tcW w:w="3935" w:type="dxa"/>
            <w:tcBorders/>
          </w:tcPr>
          <w:p w14:paraId="4DCFA731">
            <w:pPr>
              <w:pStyle w:val="style0"/>
              <w:rPr/>
            </w:pPr>
            <w:r>
              <w:rPr>
                <w:b w:val="false"/>
                <w:sz w:val="13"/>
              </w:rPr>
              <w:t>6</w:t>
            </w:r>
          </w:p>
        </w:tc>
        <w:tc>
          <w:tcPr>
            <w:tcW w:w="3935" w:type="dxa"/>
            <w:tcBorders/>
          </w:tcPr>
          <w:p w14:paraId="DDEBE226">
            <w:pPr>
              <w:pStyle w:val="style0"/>
              <w:rPr/>
            </w:pPr>
            <w:r>
              <w:rPr>
                <w:b w:val="false"/>
                <w:sz w:val="13"/>
              </w:rPr>
              <w:t>Kontrollmechanismen</w:t>
            </w:r>
          </w:p>
        </w:tc>
        <w:tc>
          <w:tcPr>
            <w:tcW w:w="3935" w:type="dxa"/>
            <w:tcBorders/>
          </w:tcPr>
          <w:p w14:paraId="47BAC635">
            <w:pPr>
              <w:pStyle w:val="style0"/>
              <w:rPr/>
            </w:pPr>
            <w:r>
              <w:rPr>
                <w:b w:val="false"/>
                <w:sz w:val="13"/>
              </w:rPr>
              <w:t>Frühe Review-Hinweise konsolidieren und abschließendes Prüf-, Status-, Blockade- und Freigabemodell definieren.</w:t>
            </w:r>
          </w:p>
        </w:tc>
        <w:tc>
          <w:tcPr>
            <w:tcW w:w="3935" w:type="dxa"/>
            <w:tcBorders/>
          </w:tcPr>
          <w:p w14:paraId="7224170B">
            <w:pPr>
              <w:pStyle w:val="style0"/>
              <w:rPr/>
            </w:pPr>
            <w:r>
              <w:rPr>
                <w:b w:val="false"/>
                <w:sz w:val="13"/>
              </w:rPr>
              <w:t>Kritikalitäts-, Kontroll- und Freigabematrix.</w:t>
            </w:r>
          </w:p>
        </w:tc>
      </w:tr>
      <w:tr w14:paraId="FBB8E096">
        <w:tblPrEx/>
        <w:trPr>
          <w:jc w:val="center"/>
        </w:trPr>
        <w:tc>
          <w:tcPr>
            <w:tcW w:w="3935" w:type="dxa"/>
            <w:tcBorders/>
          </w:tcPr>
          <w:p w14:paraId="4D5A840E">
            <w:pPr>
              <w:pStyle w:val="style0"/>
              <w:rPr/>
            </w:pPr>
            <w:r>
              <w:rPr>
                <w:b w:val="false"/>
                <w:sz w:val="13"/>
              </w:rPr>
              <w:t>7</w:t>
            </w:r>
          </w:p>
        </w:tc>
        <w:tc>
          <w:tcPr>
            <w:tcW w:w="3935" w:type="dxa"/>
            <w:tcBorders/>
          </w:tcPr>
          <w:p w14:paraId="4902B82F">
            <w:pPr>
              <w:pStyle w:val="style0"/>
              <w:rPr/>
            </w:pPr>
            <w:r>
              <w:rPr>
                <w:b w:val="false"/>
                <w:sz w:val="13"/>
              </w:rPr>
              <w:t>Projektdokumentation und Dokumentation Regelwerk</w:t>
            </w:r>
          </w:p>
        </w:tc>
        <w:tc>
          <w:tcPr>
            <w:tcW w:w="3935" w:type="dxa"/>
            <w:tcBorders/>
          </w:tcPr>
          <w:p w14:paraId="907FEE59">
            <w:pPr>
              <w:pStyle w:val="style0"/>
              <w:rPr/>
            </w:pPr>
            <w:r>
              <w:rPr>
                <w:b w:val="false"/>
                <w:sz w:val="13"/>
              </w:rPr>
              <w:t>Gesamtarchitektur, Dateiverzeichnis, Datenflüsse, Verantwortlichkeiten und finalen Regelbezug dokumentieren.</w:t>
            </w:r>
          </w:p>
        </w:tc>
        <w:tc>
          <w:tcPr>
            <w:tcW w:w="3935" w:type="dxa"/>
            <w:tcBorders/>
          </w:tcPr>
          <w:p w14:paraId="96B75B31">
            <w:pPr>
              <w:pStyle w:val="style0"/>
              <w:rPr/>
            </w:pPr>
            <w:r>
              <w:rPr>
                <w:b w:val="false"/>
                <w:sz w:val="13"/>
              </w:rPr>
              <w:t>Konsolidierte Projekt- und Regeldokumentation.</w:t>
            </w:r>
          </w:p>
        </w:tc>
      </w:tr>
      <w:tr w14:paraId="C76B25FF">
        <w:tblPrEx/>
        <w:trPr>
          <w:jc w:val="center"/>
        </w:trPr>
        <w:tc>
          <w:tcPr>
            <w:tcW w:w="3935" w:type="dxa"/>
            <w:tcBorders/>
          </w:tcPr>
          <w:p w14:paraId="3FA947B3">
            <w:pPr>
              <w:pStyle w:val="style0"/>
              <w:rPr/>
            </w:pPr>
            <w:r>
              <w:rPr>
                <w:b w:val="false"/>
                <w:sz w:val="13"/>
              </w:rPr>
              <w:t>8</w:t>
            </w:r>
          </w:p>
        </w:tc>
        <w:tc>
          <w:tcPr>
            <w:tcW w:w="3935" w:type="dxa"/>
            <w:tcBorders/>
          </w:tcPr>
          <w:p w14:paraId="413054E5">
            <w:pPr>
              <w:pStyle w:val="style0"/>
              <w:rPr/>
            </w:pPr>
            <w:r>
              <w:rPr>
                <w:b w:val="false"/>
                <w:sz w:val="13"/>
              </w:rPr>
              <w:t>Projektsteuerung – Milestone-Abnahme</w:t>
            </w:r>
          </w:p>
        </w:tc>
        <w:tc>
          <w:tcPr>
            <w:tcW w:w="3935" w:type="dxa"/>
            <w:tcBorders/>
          </w:tcPr>
          <w:p w14:paraId="A134A80F">
            <w:pPr>
              <w:pStyle w:val="style0"/>
              <w:rPr/>
            </w:pPr>
            <w:r>
              <w:rPr>
                <w:b w:val="false"/>
                <w:sz w:val="13"/>
              </w:rPr>
              <w:t>Traceability, Schnittstellen, Konflikte, Nachweise und Registerfortschreibung prüfen.</w:t>
            </w:r>
          </w:p>
        </w:tc>
        <w:tc>
          <w:tcPr>
            <w:tcW w:w="3935" w:type="dxa"/>
            <w:tcBorders/>
          </w:tcPr>
          <w:p w14:paraId="9EED049B">
            <w:pPr>
              <w:pStyle w:val="style0"/>
              <w:rPr/>
            </w:pPr>
            <w:r>
              <w:rPr>
                <w:b w:val="false"/>
                <w:sz w:val="13"/>
              </w:rPr>
              <w:t>Formales Abnahmeprotokoll und aktualisierte zentrale Register.</w:t>
            </w:r>
          </w:p>
        </w:tc>
      </w:tr>
    </w:tbl>
    <w:p w14:paraId="2474D98D">
      <w:pPr>
        <w:pStyle w:val="style0"/>
        <w:rPr/>
      </w:pPr>
      <w:r>
        <w:rPr>
          <w:i/>
          <w:sz w:val="16"/>
        </w:rPr>
        <w:t>Quellenanker: DOC-006 – Tabelle 3 der verbindlichen Fassung gemäß DOC-REG-001 Stand 3.2.</w:t>
      </w:r>
    </w:p>
    <w:p w14:paraId="94078375">
      <w:pPr>
        <w:pStyle w:val="style0"/>
        <w:rPr/>
      </w:pPr>
      <w:r>
        <w:t>Kontrollmechanismen werden fachlich spät, aber prüfend früh beteiligt: Während der Wellen 1 bis 5 können sie Prüfbarkeit, Schlüssel, Status und Blockadefähigkeit kommentieren. Ihre abschließende Hauptlieferung erfolgt erst nach Stabilisierung der Kernmodelle.</w:t>
      </w:r>
    </w:p>
    <w:p w14:paraId="FCAF8B8C">
      <w:pPr>
        <w:pStyle w:val="style2"/>
        <w:rPr/>
      </w:pPr>
      <w:r>
        <w:t>7.4 Verbindliches Liefer-/Übergabeformat</w:t>
      </w:r>
    </w:p>
    <w:tbl>
      <w:tblPr>
        <w:tblStyle w:val="style154"/>
        <w:tblW w:w="0" w:type="auto"/>
        <w:jc w:val="center"/>
        <w:tblLook w:val="04A0" w:firstRow="1" w:lastRow="0" w:firstColumn="1" w:lastColumn="0" w:noHBand="0" w:noVBand="1"/>
      </w:tblPr>
      <w:tblGrid>
        <w:gridCol w:w="5247"/>
        <w:gridCol w:w="5247"/>
        <w:gridCol w:w="5247"/>
      </w:tblGrid>
      <w:tr w14:paraId="EA1D5649">
        <w:trPr>
          <w:tblHeader/>
          <w:jc w:val="center"/>
        </w:trPr>
        <w:tc>
          <w:tcPr>
            <w:tcW w:w="5247" w:type="dxa"/>
            <w:tcBorders/>
            <w:shd w:val="nil" w:color="auto" w:fill="d9eaf7"/>
          </w:tcPr>
          <w:p w14:paraId="99845A3C">
            <w:pPr>
              <w:pStyle w:val="style0"/>
              <w:rPr/>
            </w:pPr>
            <w:r>
              <w:rPr>
                <w:b/>
                <w:sz w:val="13"/>
              </w:rPr>
              <w:t>Nr.</w:t>
            </w:r>
          </w:p>
        </w:tc>
        <w:tc>
          <w:tcPr>
            <w:tcW w:w="5247" w:type="dxa"/>
            <w:tcBorders/>
            <w:shd w:val="nil" w:color="auto" w:fill="d9eaf7"/>
          </w:tcPr>
          <w:p w14:paraId="C5E43C27">
            <w:pPr>
              <w:pStyle w:val="style0"/>
              <w:rPr/>
            </w:pPr>
            <w:r>
              <w:rPr>
                <w:b/>
                <w:sz w:val="13"/>
              </w:rPr>
              <w:t>Pflichtabschnitt</w:t>
            </w:r>
          </w:p>
        </w:tc>
        <w:tc>
          <w:tcPr>
            <w:tcW w:w="5247" w:type="dxa"/>
            <w:tcBorders/>
            <w:shd w:val="nil" w:color="auto" w:fill="d9eaf7"/>
          </w:tcPr>
          <w:p w14:paraId="615EA2CB">
            <w:pPr>
              <w:pStyle w:val="style0"/>
              <w:rPr/>
            </w:pPr>
            <w:r>
              <w:rPr>
                <w:b/>
                <w:sz w:val="13"/>
              </w:rPr>
              <w:t>Erwarteter Inhalt</w:t>
            </w:r>
          </w:p>
        </w:tc>
      </w:tr>
      <w:tr w14:paraId="9EB8A7BA">
        <w:tblPrEx/>
        <w:trPr>
          <w:jc w:val="center"/>
        </w:trPr>
        <w:tc>
          <w:tcPr>
            <w:tcW w:w="5247" w:type="dxa"/>
            <w:tcBorders/>
          </w:tcPr>
          <w:p w14:paraId="717E4A37">
            <w:pPr>
              <w:pStyle w:val="style0"/>
              <w:rPr/>
            </w:pPr>
            <w:r>
              <w:rPr>
                <w:b w:val="false"/>
                <w:sz w:val="13"/>
              </w:rPr>
              <w:t>1</w:t>
            </w:r>
          </w:p>
        </w:tc>
        <w:tc>
          <w:tcPr>
            <w:tcW w:w="5247" w:type="dxa"/>
            <w:tcBorders/>
          </w:tcPr>
          <w:p w14:paraId="DE74A2CB">
            <w:pPr>
              <w:pStyle w:val="style0"/>
              <w:rPr/>
            </w:pPr>
            <w:r>
              <w:rPr>
                <w:b w:val="false"/>
                <w:sz w:val="13"/>
              </w:rPr>
              <w:t>Liefergegenstand</w:t>
            </w:r>
          </w:p>
        </w:tc>
        <w:tc>
          <w:tcPr>
            <w:tcW w:w="5247" w:type="dxa"/>
            <w:tcBorders/>
          </w:tcPr>
          <w:p w14:paraId="F0B0CB8C">
            <w:pPr>
              <w:pStyle w:val="style0"/>
              <w:rPr/>
            </w:pPr>
            <w:r>
              <w:rPr>
                <w:b w:val="false"/>
                <w:sz w:val="13"/>
              </w:rPr>
              <w:t>Eindeutiger Titel, Fach-Chat, Version, Datum und Status Entwurf/abgestimmt/verbindlich.</w:t>
            </w:r>
          </w:p>
        </w:tc>
      </w:tr>
      <w:tr w14:paraId="AF330C85">
        <w:tblPrEx/>
        <w:trPr>
          <w:jc w:val="center"/>
        </w:trPr>
        <w:tc>
          <w:tcPr>
            <w:tcW w:w="5247" w:type="dxa"/>
            <w:tcBorders/>
          </w:tcPr>
          <w:p w14:paraId="3B60AA70">
            <w:pPr>
              <w:pStyle w:val="style0"/>
              <w:rPr/>
            </w:pPr>
            <w:r>
              <w:rPr>
                <w:b w:val="false"/>
                <w:sz w:val="13"/>
              </w:rPr>
              <w:t>2</w:t>
            </w:r>
          </w:p>
        </w:tc>
        <w:tc>
          <w:tcPr>
            <w:tcW w:w="5247" w:type="dxa"/>
            <w:tcBorders/>
          </w:tcPr>
          <w:p w14:paraId="7834B2FE">
            <w:pPr>
              <w:pStyle w:val="style0"/>
              <w:rPr/>
            </w:pPr>
            <w:r>
              <w:rPr>
                <w:b w:val="false"/>
                <w:sz w:val="13"/>
              </w:rPr>
              <w:t>Grundlage</w:t>
            </w:r>
          </w:p>
        </w:tc>
        <w:tc>
          <w:tcPr>
            <w:tcW w:w="5247" w:type="dxa"/>
            <w:tcBorders/>
          </w:tcPr>
          <w:p w14:paraId="EE9A642E">
            <w:pPr>
              <w:pStyle w:val="style0"/>
              <w:rPr/>
            </w:pPr>
            <w:r>
              <w:rPr>
                <w:b w:val="false"/>
                <w:sz w:val="13"/>
              </w:rPr>
              <w:t>Verwendete aktuelle Projektquellen sowie betroffene DEC-/REQ-/CON-IDs.</w:t>
            </w:r>
          </w:p>
        </w:tc>
      </w:tr>
      <w:tr w14:paraId="D4B3AE2B">
        <w:tblPrEx/>
        <w:trPr>
          <w:jc w:val="center"/>
        </w:trPr>
        <w:tc>
          <w:tcPr>
            <w:tcW w:w="5247" w:type="dxa"/>
            <w:tcBorders/>
          </w:tcPr>
          <w:p w14:paraId="52BACEE2">
            <w:pPr>
              <w:pStyle w:val="style0"/>
              <w:rPr/>
            </w:pPr>
            <w:r>
              <w:rPr>
                <w:b w:val="false"/>
                <w:sz w:val="13"/>
              </w:rPr>
              <w:t>3</w:t>
            </w:r>
          </w:p>
        </w:tc>
        <w:tc>
          <w:tcPr>
            <w:tcW w:w="5247" w:type="dxa"/>
            <w:tcBorders/>
          </w:tcPr>
          <w:p w14:paraId="A520A30F">
            <w:pPr>
              <w:pStyle w:val="style0"/>
              <w:rPr/>
            </w:pPr>
            <w:r>
              <w:rPr>
                <w:b w:val="false"/>
                <w:sz w:val="13"/>
              </w:rPr>
              <w:t>Geltungsbereich</w:t>
            </w:r>
          </w:p>
        </w:tc>
        <w:tc>
          <w:tcPr>
            <w:tcW w:w="5247" w:type="dxa"/>
            <w:tcBorders/>
          </w:tcPr>
          <w:p w14:paraId="DA7AB680">
            <w:pPr>
              <w:pStyle w:val="style0"/>
              <w:rPr/>
            </w:pPr>
            <w:r>
              <w:rPr>
                <w:b w:val="false"/>
                <w:sz w:val="13"/>
              </w:rPr>
              <w:t>Was der Liefergegenstand abdeckt und ausdrücklich nicht abdeckt.</w:t>
            </w:r>
          </w:p>
        </w:tc>
      </w:tr>
      <w:tr w14:paraId="C32DDF90">
        <w:tblPrEx/>
        <w:trPr>
          <w:jc w:val="center"/>
        </w:trPr>
        <w:tc>
          <w:tcPr>
            <w:tcW w:w="5247" w:type="dxa"/>
            <w:tcBorders/>
          </w:tcPr>
          <w:p w14:paraId="40D4B186">
            <w:pPr>
              <w:pStyle w:val="style0"/>
              <w:rPr/>
            </w:pPr>
            <w:r>
              <w:rPr>
                <w:b w:val="false"/>
                <w:sz w:val="13"/>
              </w:rPr>
              <w:t>4</w:t>
            </w:r>
          </w:p>
        </w:tc>
        <w:tc>
          <w:tcPr>
            <w:tcW w:w="5247" w:type="dxa"/>
            <w:tcBorders/>
          </w:tcPr>
          <w:p w14:paraId="5ADB3A33">
            <w:pPr>
              <w:pStyle w:val="style0"/>
              <w:rPr/>
            </w:pPr>
            <w:r>
              <w:rPr>
                <w:b w:val="false"/>
                <w:sz w:val="13"/>
              </w:rPr>
              <w:t>Objekte und Felder</w:t>
            </w:r>
          </w:p>
        </w:tc>
        <w:tc>
          <w:tcPr>
            <w:tcW w:w="5247" w:type="dxa"/>
            <w:tcBorders/>
          </w:tcPr>
          <w:p w14:paraId="C25CF94A">
            <w:pPr>
              <w:pStyle w:val="style0"/>
              <w:rPr/>
            </w:pPr>
            <w:r>
              <w:rPr>
                <w:b w:val="false"/>
                <w:sz w:val="13"/>
              </w:rPr>
              <w:t>Objekt-/Feldkatalog mit Definition, Datentyp bzw. Wertebereich, Pflichtgrad, Quelle und Eigentümer.</w:t>
            </w:r>
          </w:p>
        </w:tc>
      </w:tr>
      <w:tr w14:paraId="E463EA89">
        <w:tblPrEx/>
        <w:trPr>
          <w:jc w:val="center"/>
        </w:trPr>
        <w:tc>
          <w:tcPr>
            <w:tcW w:w="5247" w:type="dxa"/>
            <w:tcBorders/>
          </w:tcPr>
          <w:p w14:paraId="DCF4E51D">
            <w:pPr>
              <w:pStyle w:val="style0"/>
              <w:rPr/>
            </w:pPr>
            <w:r>
              <w:rPr>
                <w:b w:val="false"/>
                <w:sz w:val="13"/>
              </w:rPr>
              <w:t>5</w:t>
            </w:r>
          </w:p>
        </w:tc>
        <w:tc>
          <w:tcPr>
            <w:tcW w:w="5247" w:type="dxa"/>
            <w:tcBorders/>
          </w:tcPr>
          <w:p w14:paraId="3286ADF3">
            <w:pPr>
              <w:pStyle w:val="style0"/>
              <w:rPr/>
            </w:pPr>
            <w:r>
              <w:rPr>
                <w:b w:val="false"/>
                <w:sz w:val="13"/>
              </w:rPr>
              <w:t>Schlüssel und Beziehungen</w:t>
            </w:r>
          </w:p>
        </w:tc>
        <w:tc>
          <w:tcPr>
            <w:tcW w:w="5247" w:type="dxa"/>
            <w:tcBorders/>
          </w:tcPr>
          <w:p w14:paraId="406EA7DA">
            <w:pPr>
              <w:pStyle w:val="style0"/>
              <w:rPr/>
            </w:pPr>
            <w:r>
              <w:rPr>
                <w:b w:val="false"/>
                <w:sz w:val="13"/>
              </w:rPr>
              <w:t>IDs, Fremdbezüge, Kardinalitäten, Saison-/Spieltagbezug und Historisierung.</w:t>
            </w:r>
          </w:p>
        </w:tc>
      </w:tr>
      <w:tr w14:paraId="31CAD159">
        <w:tblPrEx/>
        <w:trPr>
          <w:jc w:val="center"/>
        </w:trPr>
        <w:tc>
          <w:tcPr>
            <w:tcW w:w="5247" w:type="dxa"/>
            <w:tcBorders/>
          </w:tcPr>
          <w:p w14:paraId="0ED46E63">
            <w:pPr>
              <w:pStyle w:val="style0"/>
              <w:rPr/>
            </w:pPr>
            <w:r>
              <w:rPr>
                <w:b w:val="false"/>
                <w:sz w:val="13"/>
              </w:rPr>
              <w:t>6</w:t>
            </w:r>
          </w:p>
        </w:tc>
        <w:tc>
          <w:tcPr>
            <w:tcW w:w="5247" w:type="dxa"/>
            <w:tcBorders/>
          </w:tcPr>
          <w:p w14:paraId="F7AF5B68">
            <w:pPr>
              <w:pStyle w:val="style0"/>
              <w:rPr/>
            </w:pPr>
            <w:r>
              <w:rPr>
                <w:b w:val="false"/>
                <w:sz w:val="13"/>
              </w:rPr>
              <w:t>Status und Lebenszyklus</w:t>
            </w:r>
          </w:p>
        </w:tc>
        <w:tc>
          <w:tcPr>
            <w:tcW w:w="5247" w:type="dxa"/>
            <w:tcBorders/>
          </w:tcPr>
          <w:p w14:paraId="F73DE83D">
            <w:pPr>
              <w:pStyle w:val="style0"/>
              <w:rPr/>
            </w:pPr>
            <w:r>
              <w:rPr>
                <w:b w:val="false"/>
                <w:sz w:val="13"/>
              </w:rPr>
              <w:t>Zulässige Status, Übergänge, Freigaben, Blockaden und Archivierung.</w:t>
            </w:r>
          </w:p>
        </w:tc>
      </w:tr>
      <w:tr w14:paraId="C0F15599">
        <w:tblPrEx/>
        <w:trPr>
          <w:jc w:val="center"/>
        </w:trPr>
        <w:tc>
          <w:tcPr>
            <w:tcW w:w="5247" w:type="dxa"/>
            <w:tcBorders/>
          </w:tcPr>
          <w:p w14:paraId="1BAA7295">
            <w:pPr>
              <w:pStyle w:val="style0"/>
              <w:rPr/>
            </w:pPr>
            <w:r>
              <w:rPr>
                <w:b w:val="false"/>
                <w:sz w:val="13"/>
              </w:rPr>
              <w:t>7</w:t>
            </w:r>
          </w:p>
        </w:tc>
        <w:tc>
          <w:tcPr>
            <w:tcW w:w="5247" w:type="dxa"/>
            <w:tcBorders/>
          </w:tcPr>
          <w:p w14:paraId="53428703">
            <w:pPr>
              <w:pStyle w:val="style0"/>
              <w:rPr/>
            </w:pPr>
            <w:r>
              <w:rPr>
                <w:b w:val="false"/>
                <w:sz w:val="13"/>
              </w:rPr>
              <w:t>Schnittstellen</w:t>
            </w:r>
          </w:p>
        </w:tc>
        <w:tc>
          <w:tcPr>
            <w:tcW w:w="5247" w:type="dxa"/>
            <w:tcBorders/>
          </w:tcPr>
          <w:p w14:paraId="ECB28541">
            <w:pPr>
              <w:pStyle w:val="style0"/>
              <w:rPr/>
            </w:pPr>
            <w:r>
              <w:rPr>
                <w:b w:val="false"/>
                <w:sz w:val="13"/>
              </w:rPr>
              <w:t>Eingänge, Ausgänge, Lieferant, Empfänger, Übergabestatus, Prüfverantwortung und Fehlerreaktion.</w:t>
            </w:r>
          </w:p>
        </w:tc>
      </w:tr>
      <w:tr w14:paraId="D293DA07">
        <w:tblPrEx/>
        <w:trPr>
          <w:jc w:val="center"/>
        </w:trPr>
        <w:tc>
          <w:tcPr>
            <w:tcW w:w="5247" w:type="dxa"/>
            <w:tcBorders/>
          </w:tcPr>
          <w:p w14:paraId="B41196B7">
            <w:pPr>
              <w:pStyle w:val="style0"/>
              <w:rPr/>
            </w:pPr>
            <w:r>
              <w:rPr>
                <w:b w:val="false"/>
                <w:sz w:val="13"/>
              </w:rPr>
              <w:t>8</w:t>
            </w:r>
          </w:p>
        </w:tc>
        <w:tc>
          <w:tcPr>
            <w:tcW w:w="5247" w:type="dxa"/>
            <w:tcBorders/>
          </w:tcPr>
          <w:p w14:paraId="7FC95622">
            <w:pPr>
              <w:pStyle w:val="style0"/>
              <w:rPr/>
            </w:pPr>
            <w:r>
              <w:rPr>
                <w:b w:val="false"/>
                <w:sz w:val="13"/>
              </w:rPr>
              <w:t>Annahmen und Entscheidungen</w:t>
            </w:r>
          </w:p>
        </w:tc>
        <w:tc>
          <w:tcPr>
            <w:tcW w:w="5247" w:type="dxa"/>
            <w:tcBorders/>
          </w:tcPr>
          <w:p w14:paraId="ADC11F52">
            <w:pPr>
              <w:pStyle w:val="style0"/>
              <w:rPr/>
            </w:pPr>
            <w:r>
              <w:rPr>
                <w:b w:val="false"/>
                <w:sz w:val="13"/>
              </w:rPr>
              <w:t>Verwendete Standardannahmen; im Fach-Chat zulässige Gestaltungsentscheidungen mit Begründung.</w:t>
            </w:r>
          </w:p>
        </w:tc>
      </w:tr>
      <w:tr w14:paraId="DCC79A62">
        <w:tblPrEx/>
        <w:trPr>
          <w:jc w:val="center"/>
        </w:trPr>
        <w:tc>
          <w:tcPr>
            <w:tcW w:w="5247" w:type="dxa"/>
            <w:tcBorders/>
          </w:tcPr>
          <w:p w14:paraId="D095A195">
            <w:pPr>
              <w:pStyle w:val="style0"/>
              <w:rPr/>
            </w:pPr>
            <w:r>
              <w:rPr>
                <w:b w:val="false"/>
                <w:sz w:val="13"/>
              </w:rPr>
              <w:t>9</w:t>
            </w:r>
          </w:p>
        </w:tc>
        <w:tc>
          <w:tcPr>
            <w:tcW w:w="5247" w:type="dxa"/>
            <w:tcBorders/>
          </w:tcPr>
          <w:p w14:paraId="C6691327">
            <w:pPr>
              <w:pStyle w:val="style0"/>
              <w:rPr/>
            </w:pPr>
            <w:r>
              <w:rPr>
                <w:b w:val="false"/>
                <w:sz w:val="13"/>
              </w:rPr>
              <w:t>Offene Punkte</w:t>
            </w:r>
          </w:p>
        </w:tc>
        <w:tc>
          <w:tcPr>
            <w:tcW w:w="5247" w:type="dxa"/>
            <w:tcBorders/>
          </w:tcPr>
          <w:p w14:paraId="B5033C1E">
            <w:pPr>
              <w:pStyle w:val="style0"/>
              <w:rPr/>
            </w:pPr>
            <w:r>
              <w:rPr>
                <w:b w:val="false"/>
                <w:sz w:val="13"/>
              </w:rPr>
              <w:t>Grundsatzfragen, Konflikte, Abhängigkeiten und Folgeanforderungen mit betroffenen IDs.</w:t>
            </w:r>
          </w:p>
        </w:tc>
      </w:tr>
      <w:tr w14:paraId="6481C127">
        <w:tblPrEx/>
        <w:trPr>
          <w:jc w:val="center"/>
        </w:trPr>
        <w:tc>
          <w:tcPr>
            <w:tcW w:w="5247" w:type="dxa"/>
            <w:tcBorders/>
          </w:tcPr>
          <w:p w14:paraId="804C11B7">
            <w:pPr>
              <w:pStyle w:val="style0"/>
              <w:rPr/>
            </w:pPr>
            <w:r>
              <w:rPr>
                <w:b w:val="false"/>
                <w:sz w:val="13"/>
              </w:rPr>
              <w:t>10</w:t>
            </w:r>
          </w:p>
        </w:tc>
        <w:tc>
          <w:tcPr>
            <w:tcW w:w="5247" w:type="dxa"/>
            <w:tcBorders/>
          </w:tcPr>
          <w:p w14:paraId="408E398B">
            <w:pPr>
              <w:pStyle w:val="style0"/>
              <w:rPr/>
            </w:pPr>
            <w:r>
              <w:rPr>
                <w:b w:val="false"/>
                <w:sz w:val="13"/>
              </w:rPr>
              <w:t>Auswirkungen</w:t>
            </w:r>
          </w:p>
        </w:tc>
        <w:tc>
          <w:tcPr>
            <w:tcW w:w="5247" w:type="dxa"/>
            <w:tcBorders/>
          </w:tcPr>
          <w:p w14:paraId="0BF2BB8E">
            <w:pPr>
              <w:pStyle w:val="style0"/>
              <w:rPr/>
            </w:pPr>
            <w:r>
              <w:rPr>
                <w:b w:val="false"/>
                <w:sz w:val="13"/>
              </w:rPr>
              <w:t>Auswirkungen auf andere Fach-Chats, Dateien, Anforderungen und spätere Milestones.</w:t>
            </w:r>
          </w:p>
        </w:tc>
      </w:tr>
      <w:tr w14:paraId="ED478111">
        <w:tblPrEx/>
        <w:trPr>
          <w:jc w:val="center"/>
        </w:trPr>
        <w:tc>
          <w:tcPr>
            <w:tcW w:w="5247" w:type="dxa"/>
            <w:tcBorders/>
          </w:tcPr>
          <w:p w14:paraId="BE1977F1">
            <w:pPr>
              <w:pStyle w:val="style0"/>
              <w:rPr/>
            </w:pPr>
            <w:r>
              <w:rPr>
                <w:b w:val="false"/>
                <w:sz w:val="13"/>
              </w:rPr>
              <w:t>11</w:t>
            </w:r>
          </w:p>
        </w:tc>
        <w:tc>
          <w:tcPr>
            <w:tcW w:w="5247" w:type="dxa"/>
            <w:tcBorders/>
          </w:tcPr>
          <w:p w14:paraId="025C0359">
            <w:pPr>
              <w:pStyle w:val="style0"/>
              <w:rPr/>
            </w:pPr>
            <w:r>
              <w:rPr>
                <w:b w:val="false"/>
                <w:sz w:val="13"/>
              </w:rPr>
              <w:t>Nachweis und Selbstprüfung</w:t>
            </w:r>
          </w:p>
        </w:tc>
        <w:tc>
          <w:tcPr>
            <w:tcW w:w="5247" w:type="dxa"/>
            <w:tcBorders/>
          </w:tcPr>
          <w:p w14:paraId="1CD569C8">
            <w:pPr>
              <w:pStyle w:val="style0"/>
              <w:rPr/>
            </w:pPr>
            <w:r>
              <w:rPr>
                <w:b w:val="false"/>
                <w:sz w:val="13"/>
              </w:rPr>
              <w:t>Zuordnung zu MS1-Kriterien und kurzer Nachweis, wie die Abnahmekriterien erfüllt werden.</w:t>
            </w:r>
          </w:p>
        </w:tc>
      </w:tr>
      <w:tr w14:paraId="7B81534F">
        <w:tblPrEx/>
        <w:trPr>
          <w:jc w:val="center"/>
        </w:trPr>
        <w:tc>
          <w:tcPr>
            <w:tcW w:w="5247" w:type="dxa"/>
            <w:tcBorders/>
          </w:tcPr>
          <w:p w14:paraId="AD34259D">
            <w:pPr>
              <w:pStyle w:val="style0"/>
              <w:rPr/>
            </w:pPr>
            <w:r>
              <w:rPr>
                <w:b w:val="false"/>
                <w:sz w:val="13"/>
              </w:rPr>
              <w:t>12</w:t>
            </w:r>
          </w:p>
        </w:tc>
        <w:tc>
          <w:tcPr>
            <w:tcW w:w="5247" w:type="dxa"/>
            <w:tcBorders/>
          </w:tcPr>
          <w:p w14:paraId="D5E00473">
            <w:pPr>
              <w:pStyle w:val="style0"/>
              <w:rPr/>
            </w:pPr>
            <w:r>
              <w:rPr>
                <w:b w:val="false"/>
                <w:sz w:val="13"/>
              </w:rPr>
              <w:t>Übergabe</w:t>
            </w:r>
          </w:p>
        </w:tc>
        <w:tc>
          <w:tcPr>
            <w:tcW w:w="5247" w:type="dxa"/>
            <w:tcBorders/>
          </w:tcPr>
          <w:p w14:paraId="426BE50B">
            <w:pPr>
              <w:pStyle w:val="style0"/>
              <w:rPr/>
            </w:pPr>
            <w:r>
              <w:rPr>
                <w:b w:val="false"/>
                <w:sz w:val="13"/>
              </w:rPr>
              <w:t>Empfänger, benötigte Rückmeldung und gewünschter Integrationspunkt.</w:t>
            </w:r>
          </w:p>
        </w:tc>
      </w:tr>
    </w:tbl>
    <w:p w14:paraId="95623CE8">
      <w:pPr>
        <w:pStyle w:val="style0"/>
        <w:rPr/>
      </w:pPr>
      <w:r>
        <w:rPr>
          <w:i/>
          <w:sz w:val="16"/>
        </w:rPr>
        <w:t>Quellenanker: DOC-006 – Tabelle 4 der verbindlichen Fassung gemäß DOC-REG-001 Stand 3.2.</w:t>
      </w:r>
    </w:p>
    <w:p w14:paraId="010DDD86">
      <w:pPr>
        <w:pStyle w:val="style2"/>
        <w:rPr/>
      </w:pPr>
      <w:r>
        <w:t>7.5 Liefergegenstände je Fach-Chat</w:t>
      </w:r>
    </w:p>
    <w:tbl>
      <w:tblPr>
        <w:tblStyle w:val="style154"/>
        <w:tblW w:w="0" w:type="auto"/>
        <w:jc w:val="center"/>
        <w:tblLook w:val="04A0" w:firstRow="1" w:lastRow="0" w:firstColumn="1" w:lastColumn="0" w:noHBand="0" w:noVBand="1"/>
      </w:tblPr>
      <w:tblGrid>
        <w:gridCol w:w="7870"/>
        <w:gridCol w:w="7870"/>
      </w:tblGrid>
      <w:tr w14:paraId="163CBD32">
        <w:trPr>
          <w:tblHeader/>
          <w:jc w:val="center"/>
        </w:trPr>
        <w:tc>
          <w:tcPr>
            <w:tcW w:w="7870" w:type="dxa"/>
            <w:tcBorders/>
            <w:shd w:val="nil" w:color="auto" w:fill="d9eaf7"/>
          </w:tcPr>
          <w:p w14:paraId="B85CC63E">
            <w:pPr>
              <w:pStyle w:val="style0"/>
              <w:rPr/>
            </w:pPr>
            <w:r>
              <w:rPr>
                <w:b/>
                <w:sz w:val="13"/>
              </w:rPr>
              <w:t>Fach-Chat</w:t>
            </w:r>
          </w:p>
        </w:tc>
        <w:tc>
          <w:tcPr>
            <w:tcW w:w="7870" w:type="dxa"/>
            <w:tcBorders/>
            <w:shd w:val="nil" w:color="auto" w:fill="d9eaf7"/>
          </w:tcPr>
          <w:p w14:paraId="1BB68022">
            <w:pPr>
              <w:pStyle w:val="style0"/>
              <w:rPr/>
            </w:pPr>
            <w:r>
              <w:rPr>
                <w:b/>
                <w:sz w:val="13"/>
              </w:rPr>
              <w:t>Verbindlicher Liefergegenstand für MS1</w:t>
            </w:r>
          </w:p>
        </w:tc>
      </w:tr>
      <w:tr w14:paraId="11F1F444">
        <w:tblPrEx/>
        <w:trPr>
          <w:jc w:val="center"/>
        </w:trPr>
        <w:tc>
          <w:tcPr>
            <w:tcW w:w="7870" w:type="dxa"/>
            <w:tcBorders/>
          </w:tcPr>
          <w:p w14:paraId="EF86D96C">
            <w:pPr>
              <w:pStyle w:val="style0"/>
              <w:rPr/>
            </w:pPr>
            <w:r>
              <w:rPr>
                <w:b w:val="false"/>
                <w:sz w:val="13"/>
              </w:rPr>
              <w:t>Dokumentation Regelwerk</w:t>
            </w:r>
          </w:p>
        </w:tc>
        <w:tc>
          <w:tcPr>
            <w:tcW w:w="7870" w:type="dxa"/>
            <w:tcBorders/>
          </w:tcPr>
          <w:p w14:paraId="312BC91B">
            <w:pPr>
              <w:pStyle w:val="style0"/>
              <w:rPr/>
            </w:pPr>
            <w:r>
              <w:rPr>
                <w:b w:val="false"/>
                <w:sz w:val="13"/>
              </w:rPr>
              <w:t>Technischer Begriffskatalog; regelrelevante Werte und Status; Formation/Ersatz; Fristen/Sperren; Kategorien, Rang, Rundung und Sonderfälle; Regel-zu-Daten-Matrix.</w:t>
            </w:r>
          </w:p>
        </w:tc>
      </w:tr>
      <w:tr w14:paraId="4FE271C0">
        <w:tblPrEx/>
        <w:trPr>
          <w:jc w:val="center"/>
        </w:trPr>
        <w:tc>
          <w:tcPr>
            <w:tcW w:w="7870" w:type="dxa"/>
            <w:tcBorders/>
          </w:tcPr>
          <w:p w14:paraId="EB282AB7">
            <w:pPr>
              <w:pStyle w:val="style0"/>
              <w:rPr/>
            </w:pPr>
            <w:r>
              <w:rPr>
                <w:b w:val="false"/>
                <w:sz w:val="13"/>
              </w:rPr>
              <w:t>Erstellung SSOT</w:t>
            </w:r>
          </w:p>
        </w:tc>
        <w:tc>
          <w:tcPr>
            <w:tcW w:w="7870" w:type="dxa"/>
            <w:tcBorders/>
          </w:tcPr>
          <w:p w14:paraId="BAE5EC22">
            <w:pPr>
              <w:pStyle w:val="style0"/>
              <w:rPr/>
            </w:pPr>
            <w:r>
              <w:rPr>
                <w:b w:val="false"/>
                <w:sz w:val="13"/>
              </w:rPr>
              <w:t>SSOT-Objekt- und Feldkatalog; IDs; Saison-/Positionshistorisierung; Änderungs-, Konflikt- und Freigabestatus; Blockade ungeklärter Stammdaten; Ausgabeschnittstellen.</w:t>
            </w:r>
          </w:p>
        </w:tc>
      </w:tr>
      <w:tr w14:paraId="F23C37EE">
        <w:tblPrEx/>
        <w:trPr>
          <w:jc w:val="center"/>
        </w:trPr>
        <w:tc>
          <w:tcPr>
            <w:tcW w:w="7870" w:type="dxa"/>
            <w:tcBorders/>
          </w:tcPr>
          <w:p w14:paraId="D55A9282">
            <w:pPr>
              <w:pStyle w:val="style0"/>
              <w:rPr/>
            </w:pPr>
            <w:r>
              <w:rPr>
                <w:b w:val="false"/>
                <w:sz w:val="13"/>
              </w:rPr>
              <w:t>Erstellung Monitoring-Datei</w:t>
            </w:r>
          </w:p>
        </w:tc>
        <w:tc>
          <w:tcPr>
            <w:tcW w:w="7870" w:type="dxa"/>
            <w:tcBorders/>
          </w:tcPr>
          <w:p w14:paraId="0F4ED33F">
            <w:pPr>
              <w:pStyle w:val="style0"/>
              <w:rPr/>
            </w:pPr>
            <w:r>
              <w:rPr>
                <w:b w:val="false"/>
                <w:sz w:val="13"/>
              </w:rPr>
              <w:t>Gesamtmodell der Monitoring-Daten; Bewertungsdimensionen/Score-Ebenen; Spielerprognose; Ranking-Baseline; vollständige Varianten; Empfehlung, Snapshot, Managerentscheidung, tatsächliche Aufstellung, Ergebnis und Evaluation.</w:t>
            </w:r>
          </w:p>
        </w:tc>
      </w:tr>
      <w:tr w14:paraId="55EA22B8">
        <w:tblPrEx/>
        <w:trPr>
          <w:jc w:val="center"/>
        </w:trPr>
        <w:tc>
          <w:tcPr>
            <w:tcW w:w="7870" w:type="dxa"/>
            <w:tcBorders/>
          </w:tcPr>
          <w:p w14:paraId="0C03E70B">
            <w:pPr>
              <w:pStyle w:val="style0"/>
              <w:rPr/>
            </w:pPr>
            <w:r>
              <w:rPr>
                <w:b w:val="false"/>
                <w:sz w:val="13"/>
              </w:rPr>
              <w:t>Gewinnung Rohdaten</w:t>
            </w:r>
          </w:p>
        </w:tc>
        <w:tc>
          <w:tcPr>
            <w:tcW w:w="7870" w:type="dxa"/>
            <w:tcBorders/>
          </w:tcPr>
          <w:p w14:paraId="FECA6A2E">
            <w:pPr>
              <w:pStyle w:val="style0"/>
              <w:rPr/>
            </w:pPr>
            <w:r>
              <w:rPr>
                <w:b w:val="false"/>
                <w:sz w:val="13"/>
              </w:rPr>
              <w:t>Quellenneutrales Rohdatenmodell; Importmetadaten; manuelle/teilautomatische/automatische Wege; Mapping; Abweichungslisten; Übergaben an SSOT und Monitoring.</w:t>
            </w:r>
          </w:p>
        </w:tc>
      </w:tr>
      <w:tr w14:paraId="136F5AAB">
        <w:tblPrEx/>
        <w:trPr>
          <w:jc w:val="center"/>
        </w:trPr>
        <w:tc>
          <w:tcPr>
            <w:tcW w:w="7870" w:type="dxa"/>
            <w:tcBorders/>
          </w:tcPr>
          <w:p w14:paraId="E01CA49B">
            <w:pPr>
              <w:pStyle w:val="style0"/>
              <w:rPr/>
            </w:pPr>
            <w:r>
              <w:rPr>
                <w:b w:val="false"/>
                <w:sz w:val="13"/>
              </w:rPr>
              <w:t>Kontrollmechanismen</w:t>
            </w:r>
          </w:p>
        </w:tc>
        <w:tc>
          <w:tcPr>
            <w:tcW w:w="7870" w:type="dxa"/>
            <w:tcBorders/>
          </w:tcPr>
          <w:p w14:paraId="FDE67B4E">
            <w:pPr>
              <w:pStyle w:val="style0"/>
              <w:rPr/>
            </w:pPr>
            <w:r>
              <w:rPr>
                <w:b w:val="false"/>
                <w:sz w:val="13"/>
              </w:rPr>
              <w:t>Kritikalitäts- und Statusmodell; Validierung; SSOT-Schutz; Dubletten-/Referenz-/Vollständigkeitsprüfung; Fehlerlisten; Freigaben; Anforderungen an spätere Testfälle.</w:t>
            </w:r>
          </w:p>
        </w:tc>
      </w:tr>
      <w:tr w14:paraId="546EB844">
        <w:tblPrEx/>
        <w:trPr>
          <w:jc w:val="center"/>
        </w:trPr>
        <w:tc>
          <w:tcPr>
            <w:tcW w:w="7870" w:type="dxa"/>
            <w:tcBorders/>
          </w:tcPr>
          <w:p w14:paraId="35AAC867">
            <w:pPr>
              <w:pStyle w:val="style0"/>
              <w:rPr/>
            </w:pPr>
            <w:r>
              <w:rPr>
                <w:b w:val="false"/>
                <w:sz w:val="13"/>
              </w:rPr>
              <w:t>Projektdokumentation</w:t>
            </w:r>
          </w:p>
        </w:tc>
        <w:tc>
          <w:tcPr>
            <w:tcW w:w="7870" w:type="dxa"/>
            <w:tcBorders/>
          </w:tcPr>
          <w:p w14:paraId="9CF7C9F8">
            <w:pPr>
              <w:pStyle w:val="style0"/>
              <w:rPr/>
            </w:pPr>
            <w:r>
              <w:rPr>
                <w:b w:val="false"/>
                <w:sz w:val="13"/>
              </w:rPr>
              <w:t>Konsolidierte Modul- und Architekturübersicht; Dateiverzeichnis; Datenflüsse; Schnittstellen/Verantwortlichkeiten; Versionierung/Archivierung; Glossar und offene spätere Umsetzungsfragen.</w:t>
            </w:r>
          </w:p>
        </w:tc>
      </w:tr>
    </w:tbl>
    <w:p w14:paraId="435CF295">
      <w:pPr>
        <w:pStyle w:val="style0"/>
        <w:rPr/>
      </w:pPr>
      <w:r>
        <w:rPr>
          <w:i/>
          <w:sz w:val="16"/>
        </w:rPr>
        <w:t>Quellenanker: DOC-006 – Tabelle 5 der verbindlichen Fassung gemäß DOC-REG-001 Stand 3.2.</w:t>
      </w:r>
    </w:p>
    <w:p w14:paraId="3CA37D32">
      <w:pPr>
        <w:pStyle w:val="style2"/>
        <w:rPr/>
      </w:pPr>
      <w:r>
        <w:t>7.6 Integrations- und Eskalationsregeln</w:t>
      </w:r>
    </w:p>
    <w:p w14:paraId="498A7A70">
      <w:pPr>
        <w:pStyle w:val="style0"/>
        <w:rPr/>
      </w:pPr>
      <w:r>
        <w:t>Ein Fach-Chat arbeitet nur innerhalb seiner Zuständigkeit und verändert keine fremde Datenhoheit oder Bewertungslogik.</w:t>
      </w:r>
    </w:p>
    <w:p w14:paraId="90C2A324">
      <w:pPr>
        <w:pStyle w:val="style0"/>
        <w:rPr/>
      </w:pPr>
      <w:r>
        <w:t>Zwischenergebnisse aus SSOT und Monitoring werden vor der Rohdatenausarbeitung zwingend durch Projektsteuerung integriert.</w:t>
      </w:r>
    </w:p>
    <w:p w14:paraId="F66198E9">
      <w:pPr>
        <w:pStyle w:val="style0"/>
        <w:rPr/>
      </w:pPr>
      <w:r>
        <w:t>Feststellungen zur technischen Beschaffbarkeit dürfen Datenfelder oder Bezeichnungen technisch präzisieren, aber keine fachlichen Regeln ersetzen.</w:t>
      </w:r>
    </w:p>
    <w:p w14:paraId="9588A157">
      <w:pPr>
        <w:pStyle w:val="style0"/>
        <w:rPr/>
      </w:pPr>
      <w:r>
        <w:t>Neue Grundsatzfragen oder Konflikte werden mit Problembeschreibung, Optionen, Auswirkungen und betroffenen IDs übergeben.</w:t>
      </w:r>
    </w:p>
    <w:p w14:paraId="673F6A9E">
      <w:pPr>
        <w:pStyle w:val="style0"/>
        <w:rPr/>
      </w:pPr>
      <w:r>
        <w:t>Ergebnisse gelten erst nach Prüfung, Versionierung und Fortschreibung der zentralen Register als verbindliche Projektquelle.</w:t>
      </w:r>
    </w:p>
    <w:p w14:paraId="3F051322">
      <w:pPr>
        <w:pStyle w:val="style0"/>
        <w:rPr/>
      </w:pPr>
      <w:r>
        <w:t>Bei mehreren Dateiversionen ist ausschließlich die im Dokumentenregister als aktuell ausgewiesene Fassung zu verwenden.</w:t>
      </w:r>
    </w:p>
    <w:p w14:paraId="BE49D469">
      <w:pPr>
        <w:pStyle w:val="style2"/>
        <w:rPr/>
      </w:pPr>
      <w:r>
        <w:t>7.7 Formale Milestone-Abnahmeregeln nach DOC-006</w:t>
      </w:r>
    </w:p>
    <w:p w14:paraId="E82C63A6">
      <w:pPr>
        <w:pStyle w:val="style0"/>
        <w:rPr/>
      </w:pPr>
      <w:r>
        <w:t>Alle Kriterien MS1-K01 bis MS1-K15 sind erfüllt oder ausdrücklich und begründet einem späteren Milestone zugeordnet.</w:t>
      </w:r>
    </w:p>
    <w:p w14:paraId="80CA9217">
      <w:pPr>
        <w:pStyle w:val="style0"/>
        <w:rPr/>
      </w:pPr>
      <w:r>
        <w:t>Zu jedem Kriterium liegt ein benannter, versionierter Nachweis vor.</w:t>
      </w:r>
    </w:p>
    <w:p w14:paraId="35AAE9D8">
      <w:pPr>
        <w:pStyle w:val="style0"/>
        <w:rPr/>
      </w:pPr>
      <w:r>
        <w:t>Kein offener Konflikt hoher Schwere blockiert die anschließende Umsetzung des Datenmodells.</w:t>
      </w:r>
    </w:p>
    <w:p w14:paraId="1D6730E1">
      <w:pPr>
        <w:pStyle w:val="style0"/>
        <w:rPr/>
      </w:pPr>
      <w:r>
        <w:t>Die Übergaben zwischen den Fach-Chats sind vollständig und widerspruchsfrei.</w:t>
      </w:r>
    </w:p>
    <w:p w14:paraId="B59C40EC">
      <w:pPr>
        <w:pStyle w:val="style0"/>
        <w:rPr/>
      </w:pPr>
      <w:r>
        <w:t>Die Projektsteuerung hat Traceability, Schnittstellen, Zuständigkeiten, Versionsbezüge und Konfliktstatus geprüft.</w:t>
      </w:r>
    </w:p>
    <w:p w14:paraId="38AA3D95">
      <w:pPr>
        <w:pStyle w:val="style0"/>
        <w:rPr/>
      </w:pPr>
      <w:r>
        <w:t>Neue Grundsatzfragen sind entschieden oder verbindlich zurückgestellt.</w:t>
      </w:r>
    </w:p>
    <w:p w14:paraId="752B473B">
      <w:pPr>
        <w:pStyle w:val="style0"/>
        <w:rPr/>
      </w:pPr>
      <w:r>
        <w:t>Die Ergebnisse sind in den zentralen Registern, im Änderungsprotokoll und im Dokumentenregister fortgeschrieben.</w:t>
      </w:r>
    </w:p>
    <w:p w14:paraId="4A518F7A">
      <w:pPr>
        <w:pStyle w:val="style2"/>
        <w:rPr/>
      </w:pPr>
      <w:r>
        <w:t>7.8 Abschluss Welle 0 – historischer Steuerungsstand</w:t>
      </w:r>
    </w:p>
    <w:p w14:paraId="C1F9D2DC">
      <w:pPr>
        <w:pStyle w:val="style0"/>
        <w:rPr/>
      </w:pPr>
      <w:r>
        <w:t>Welle 0 gilt mit Freigabe dieses Dokuments und der konsistenten Fortschreibung von Dokumentenregister und Änderungsprotokoll als abgeschlossen. Die Arbeit in Welle 1 kann anschließend auf Grundlage eines gesonderten Arbeitsauftrags beginnen.</w:t>
      </w:r>
    </w:p>
    <w:p w14:paraId="12357B63">
      <w:pPr>
        <w:pStyle w:val="style2"/>
        <w:rPr/>
      </w:pPr>
      <w:r>
        <w:t>7.9 Formales MS1-Abnahmeurteil aus DOC-013</w:t>
      </w:r>
    </w:p>
    <w:p w14:paraId="5EE26163">
      <w:pPr>
        <w:pStyle w:val="style0"/>
        <w:rPr/>
      </w:pPr>
      <w:r>
        <w:t>MS1 – FESTLEGUNG VON DATENMODELL UND DATEISTRUKTUR: ABGENOMMEN.</w:t>
      </w:r>
    </w:p>
    <w:p w14:paraId="377975AB">
      <w:pPr>
        <w:pStyle w:val="style0"/>
        <w:rPr/>
      </w:pPr>
      <w:r>
        <w:t>Alle Kriterien MS1-K01 bis MS1-K15 sind erfüllt. Es besteht kein fachlicher oder hochschwerer Konflikt, der den Übergang in die Umsetzung blockiert. Die verbleibenden Abhängigkeiten betreffen produktive Quellenfreigabe, Pilotierung, technische Implementierung, Testausführung und dauerhafte Governance und sind gemäß DOC-006 zulässige Folgeaktivitäten.</w:t>
      </w:r>
    </w:p>
    <w:p w14:paraId="86810CA0">
      <w:pPr>
        <w:pStyle w:val="style0"/>
        <w:rPr/>
      </w:pPr>
      <w:r>
        <w:t>Die nach MS1 vorgesehene Quellenkonsolidierung wird ausdrücklich nicht mit dieser Abnahme durchgeführt. Sie ist ein gesonderter Folgeschritt und darf erst nach Inkrafttreten dieses Abnahmeprotokolls erfolgen.</w:t>
      </w:r>
    </w:p>
    <w:p w14:paraId="481CC45D">
      <w:pPr>
        <w:pStyle w:val="style2"/>
        <w:rPr/>
      </w:pPr>
      <w:r>
        <w:t>7.10 Historische Registerwirkung des Abnahmeschritts DOC-013</w:t>
      </w:r>
    </w:p>
    <w:p w14:paraId="5CE9CCC9">
      <w:pPr>
        <w:pStyle w:val="style0"/>
        <w:rPr/>
      </w:pPr>
      <w:r>
        <w:t>Historischer Kontext: Die folgenden Angaben geben ausschließlich die Registerwirkung zum Zeitpunkt der Erstellung und Inkraftsetzung von DOC-013 wieder. Sie sind keine aktuelle Fortschreibungsanweisung. Aktuelle Arbeitsgrundlage ist DOC-REG-001 Stand 3.2 mit DOC-004 v0.23; die spätere administrative Bereinigung ist in CHG-0024 dokumentiert.</w:t>
      </w:r>
    </w:p>
    <w:p w14:paraId="7881FAFD">
      <w:pPr>
        <w:pStyle w:val="style0"/>
        <w:rPr/>
      </w:pPr>
      <w:r>
        <w:t>Zur formalen Wirksamkeit der Abnahme werden ausschließlich folgende Governance-Artefakte fortgeschrieben:</w:t>
      </w:r>
    </w:p>
    <w:p w14:paraId="DD7932C9">
      <w:pPr>
        <w:pStyle w:val="style0"/>
        <w:rPr/>
      </w:pPr>
      <w:r>
        <w:t>DOC-004 Änderungsprotokoll → v0.22 (Nachholung CHG-0022 und Abnahme CHG-0023).</w:t>
      </w:r>
    </w:p>
    <w:p w14:paraId="1598FBE9">
      <w:pPr>
        <w:pStyle w:val="style0"/>
        <w:rPr/>
      </w:pPr>
      <w:r>
        <w:t>DOC-REG-001 Dokumentenregister → Stand 3.1.</w:t>
      </w:r>
    </w:p>
    <w:p w14:paraId="1927DE0C">
      <w:pPr>
        <w:pStyle w:val="style0"/>
        <w:rPr/>
      </w:pPr>
      <w:r>
        <w:t>DOC-013 MS1-Abnahmeprotokoll v0.1 wird als neue aktuelle Projektquelle registriert.</w:t>
      </w:r>
    </w:p>
    <w:p w14:paraId="229A048F">
      <w:pPr>
        <w:pStyle w:val="style0"/>
        <w:rPr/>
      </w:pPr>
      <w:r>
        <w:t>DOC-001, DOC-002 und DOC-003 bleiben unverändert, da keine neue Entscheidung, Anforderung oder Konflikt-ID entsteht. Die beiden Welle-7-Lieferungen bleiben versionierte Abnahmenachweise und werden in diesem Schritt nicht als dauerhafte Projektquellen registriert.</w:t>
      </w:r>
    </w:p>
    <w:p w14:paraId="40B36612">
      <w:pPr>
        <w:pStyle w:val="style2"/>
        <w:rPr/>
      </w:pPr>
      <w:r>
        <w:t>7.11 Abnahmenachweis MS1-K01 bis K15</w:t>
      </w:r>
    </w:p>
    <w:tbl>
      <w:tblPr>
        <w:tblStyle w:val="style154"/>
        <w:tblW w:w="0" w:type="auto"/>
        <w:jc w:val="center"/>
        <w:tblLook w:val="04A0" w:firstRow="1" w:lastRow="0" w:firstColumn="1" w:lastColumn="0" w:noHBand="0" w:noVBand="1"/>
      </w:tblPr>
      <w:tblGrid>
        <w:gridCol w:w="3148"/>
        <w:gridCol w:w="3148"/>
        <w:gridCol w:w="3148"/>
        <w:gridCol w:w="3148"/>
        <w:gridCol w:w="3148"/>
      </w:tblGrid>
      <w:tr w14:paraId="383C8AC7">
        <w:trPr>
          <w:tblHeader/>
          <w:jc w:val="center"/>
        </w:trPr>
        <w:tc>
          <w:tcPr>
            <w:tcW w:w="3148" w:type="dxa"/>
            <w:tcBorders/>
            <w:shd w:val="nil" w:color="auto" w:fill="d9eaf7"/>
          </w:tcPr>
          <w:p w14:paraId="352933E2">
            <w:pPr>
              <w:pStyle w:val="style0"/>
              <w:rPr/>
            </w:pPr>
            <w:r>
              <w:rPr>
                <w:b/>
                <w:sz w:val="12"/>
              </w:rPr>
              <w:t>ID</w:t>
            </w:r>
          </w:p>
        </w:tc>
        <w:tc>
          <w:tcPr>
            <w:tcW w:w="3148" w:type="dxa"/>
            <w:tcBorders/>
            <w:shd w:val="nil" w:color="auto" w:fill="d9eaf7"/>
          </w:tcPr>
          <w:p w14:paraId="0B4107BB">
            <w:pPr>
              <w:pStyle w:val="style0"/>
              <w:rPr/>
            </w:pPr>
            <w:r>
              <w:rPr>
                <w:b/>
                <w:sz w:val="12"/>
              </w:rPr>
              <w:t>Kriterium</w:t>
            </w:r>
          </w:p>
        </w:tc>
        <w:tc>
          <w:tcPr>
            <w:tcW w:w="3148" w:type="dxa"/>
            <w:tcBorders/>
            <w:shd w:val="nil" w:color="auto" w:fill="d9eaf7"/>
          </w:tcPr>
          <w:p w14:paraId="7733B8FF">
            <w:pPr>
              <w:pStyle w:val="style0"/>
              <w:rPr/>
            </w:pPr>
            <w:r>
              <w:rPr>
                <w:b/>
                <w:sz w:val="12"/>
              </w:rPr>
              <w:t>Nachweis</w:t>
            </w:r>
          </w:p>
        </w:tc>
        <w:tc>
          <w:tcPr>
            <w:tcW w:w="3148" w:type="dxa"/>
            <w:tcBorders/>
            <w:shd w:val="nil" w:color="auto" w:fill="d9eaf7"/>
          </w:tcPr>
          <w:p w14:paraId="CA64F86F">
            <w:pPr>
              <w:pStyle w:val="style0"/>
              <w:rPr/>
            </w:pPr>
            <w:r>
              <w:rPr>
                <w:b/>
                <w:sz w:val="12"/>
              </w:rPr>
              <w:t>Restabhängigkeit</w:t>
            </w:r>
          </w:p>
        </w:tc>
        <w:tc>
          <w:tcPr>
            <w:tcW w:w="3148" w:type="dxa"/>
            <w:tcBorders/>
            <w:shd w:val="nil" w:color="auto" w:fill="d9eaf7"/>
          </w:tcPr>
          <w:p w14:paraId="28627984">
            <w:pPr>
              <w:pStyle w:val="style0"/>
              <w:rPr/>
            </w:pPr>
            <w:r>
              <w:rPr>
                <w:b/>
                <w:sz w:val="12"/>
              </w:rPr>
              <w:t>Urteil</w:t>
            </w:r>
          </w:p>
        </w:tc>
      </w:tr>
      <w:tr w14:paraId="1659B878">
        <w:tblPrEx/>
        <w:trPr>
          <w:jc w:val="center"/>
        </w:trPr>
        <w:tc>
          <w:tcPr>
            <w:tcW w:w="3148" w:type="dxa"/>
            <w:tcBorders/>
          </w:tcPr>
          <w:p w14:paraId="45B1C701">
            <w:pPr>
              <w:pStyle w:val="style0"/>
              <w:rPr/>
            </w:pPr>
            <w:r>
              <w:rPr>
                <w:b w:val="false"/>
                <w:sz w:val="12"/>
              </w:rPr>
              <w:t>MS1-K01</w:t>
            </w:r>
          </w:p>
        </w:tc>
        <w:tc>
          <w:tcPr>
            <w:tcW w:w="3148" w:type="dxa"/>
            <w:tcBorders/>
          </w:tcPr>
          <w:p w14:paraId="47F40F02">
            <w:pPr>
              <w:pStyle w:val="style0"/>
              <w:rPr/>
            </w:pPr>
            <w:r>
              <w:rPr>
                <w:b w:val="false"/>
                <w:sz w:val="12"/>
              </w:rPr>
              <w:t>Vollständiges fachliches Datenobjektmodell</w:t>
            </w:r>
          </w:p>
        </w:tc>
        <w:tc>
          <w:tcPr>
            <w:tcW w:w="3148" w:type="dxa"/>
            <w:tcBorders/>
          </w:tcPr>
          <w:p w14:paraId="7FB0D534">
            <w:pPr>
              <w:pStyle w:val="style0"/>
              <w:rPr/>
            </w:pPr>
            <w:r>
              <w:rPr>
                <w:b w:val="false"/>
                <w:sz w:val="12"/>
              </w:rPr>
              <w:t>DOC-008/009/010; ergänzt durch DOC-007/011/012 und W7-Projektdokumentation v0.4.</w:t>
            </w:r>
          </w:p>
        </w:tc>
        <w:tc>
          <w:tcPr>
            <w:tcW w:w="3148" w:type="dxa"/>
            <w:tcBorders/>
          </w:tcPr>
          <w:p w14:paraId="77AD4394">
            <w:pPr>
              <w:pStyle w:val="style0"/>
              <w:rPr/>
            </w:pPr>
            <w:r>
              <w:rPr>
                <w:b w:val="false"/>
                <w:sz w:val="12"/>
              </w:rPr>
              <w:t>Keine fachliche Restlücke.</w:t>
            </w:r>
          </w:p>
        </w:tc>
        <w:tc>
          <w:tcPr>
            <w:tcW w:w="3148" w:type="dxa"/>
            <w:tcBorders/>
          </w:tcPr>
          <w:p w14:paraId="1E32EEEF">
            <w:pPr>
              <w:pStyle w:val="style0"/>
              <w:rPr/>
            </w:pPr>
            <w:r>
              <w:rPr>
                <w:b w:val="false"/>
                <w:sz w:val="12"/>
              </w:rPr>
              <w:t>ERFÜLLT</w:t>
            </w:r>
          </w:p>
        </w:tc>
      </w:tr>
      <w:tr w14:paraId="FD83FECF">
        <w:tblPrEx/>
        <w:trPr>
          <w:jc w:val="center"/>
        </w:trPr>
        <w:tc>
          <w:tcPr>
            <w:tcW w:w="3148" w:type="dxa"/>
            <w:tcBorders/>
          </w:tcPr>
          <w:p w14:paraId="7407B049">
            <w:pPr>
              <w:pStyle w:val="style0"/>
              <w:rPr/>
            </w:pPr>
            <w:r>
              <w:rPr>
                <w:b w:val="false"/>
                <w:sz w:val="12"/>
              </w:rPr>
              <w:t>MS1-K02</w:t>
            </w:r>
          </w:p>
        </w:tc>
        <w:tc>
          <w:tcPr>
            <w:tcW w:w="3148" w:type="dxa"/>
            <w:tcBorders/>
          </w:tcPr>
          <w:p w14:paraId="9E4CD613">
            <w:pPr>
              <w:pStyle w:val="style0"/>
              <w:rPr/>
            </w:pPr>
            <w:r>
              <w:rPr>
                <w:b w:val="false"/>
                <w:sz w:val="12"/>
              </w:rPr>
              <w:t>Eindeutige Identifikatoren und Beziehungen</w:t>
            </w:r>
          </w:p>
        </w:tc>
        <w:tc>
          <w:tcPr>
            <w:tcW w:w="3148" w:type="dxa"/>
            <w:tcBorders/>
          </w:tcPr>
          <w:p w14:paraId="6FC3CC5E">
            <w:pPr>
              <w:pStyle w:val="style0"/>
              <w:rPr/>
            </w:pPr>
            <w:r>
              <w:rPr>
                <w:b w:val="false"/>
                <w:sz w:val="12"/>
              </w:rPr>
              <w:t>DOC-008/009/010/011; player_id, club_id, Saison-, Spieltags-, Match-, Teilnehmer-, Snapshot- und Versionsbezüge.</w:t>
            </w:r>
          </w:p>
        </w:tc>
        <w:tc>
          <w:tcPr>
            <w:tcW w:w="3148" w:type="dxa"/>
            <w:tcBorders/>
          </w:tcPr>
          <w:p w14:paraId="F117F77D">
            <w:pPr>
              <w:pStyle w:val="style0"/>
              <w:rPr/>
            </w:pPr>
            <w:r>
              <w:rPr>
                <w:b w:val="false"/>
                <w:sz w:val="12"/>
              </w:rPr>
              <w:t>T-RD-01/02 nur technische Pilotdetails.</w:t>
            </w:r>
          </w:p>
        </w:tc>
        <w:tc>
          <w:tcPr>
            <w:tcW w:w="3148" w:type="dxa"/>
            <w:tcBorders/>
          </w:tcPr>
          <w:p w14:paraId="B3F58891">
            <w:pPr>
              <w:pStyle w:val="style0"/>
              <w:rPr/>
            </w:pPr>
            <w:r>
              <w:rPr>
                <w:b w:val="false"/>
                <w:sz w:val="12"/>
              </w:rPr>
              <w:t>ERFÜLLT</w:t>
            </w:r>
          </w:p>
        </w:tc>
      </w:tr>
      <w:tr w14:paraId="C53E4DA2">
        <w:tblPrEx/>
        <w:trPr>
          <w:jc w:val="center"/>
        </w:trPr>
        <w:tc>
          <w:tcPr>
            <w:tcW w:w="3148" w:type="dxa"/>
            <w:tcBorders/>
          </w:tcPr>
          <w:p w14:paraId="6D03B763">
            <w:pPr>
              <w:pStyle w:val="style0"/>
              <w:rPr/>
            </w:pPr>
            <w:r>
              <w:rPr>
                <w:b w:val="false"/>
                <w:sz w:val="12"/>
              </w:rPr>
              <w:t>MS1-K03</w:t>
            </w:r>
          </w:p>
        </w:tc>
        <w:tc>
          <w:tcPr>
            <w:tcW w:w="3148" w:type="dxa"/>
            <w:tcBorders/>
          </w:tcPr>
          <w:p w14:paraId="11FE4A16">
            <w:pPr>
              <w:pStyle w:val="style0"/>
              <w:rPr/>
            </w:pPr>
            <w:r>
              <w:rPr>
                <w:b w:val="false"/>
                <w:sz w:val="12"/>
              </w:rPr>
              <w:t>Trennung der Datenschichten</w:t>
            </w:r>
          </w:p>
        </w:tc>
        <w:tc>
          <w:tcPr>
            <w:tcW w:w="3148" w:type="dxa"/>
            <w:tcBorders/>
          </w:tcPr>
          <w:p w14:paraId="E2BA9BBB">
            <w:pPr>
              <w:pStyle w:val="style0"/>
              <w:rPr/>
            </w:pPr>
            <w:r>
              <w:rPr>
                <w:b w:val="false"/>
                <w:sz w:val="12"/>
              </w:rPr>
              <w:t>DOC-011: Rohdaten → Mapping/Prüfung → SSOT → Monitoring → Snapshot/Evaluation; DOC-012 kontrolliert die Übergänge.</w:t>
            </w:r>
          </w:p>
        </w:tc>
        <w:tc>
          <w:tcPr>
            <w:tcW w:w="3148" w:type="dxa"/>
            <w:tcBorders/>
          </w:tcPr>
          <w:p w14:paraId="34062934">
            <w:pPr>
              <w:pStyle w:val="style0"/>
              <w:rPr/>
            </w:pPr>
            <w:r>
              <w:rPr>
                <w:b w:val="false"/>
                <w:sz w:val="12"/>
              </w:rPr>
              <w:t>Keine.</w:t>
            </w:r>
          </w:p>
        </w:tc>
        <w:tc>
          <w:tcPr>
            <w:tcW w:w="3148" w:type="dxa"/>
            <w:tcBorders/>
          </w:tcPr>
          <w:p w14:paraId="8987E075">
            <w:pPr>
              <w:pStyle w:val="style0"/>
              <w:rPr/>
            </w:pPr>
            <w:r>
              <w:rPr>
                <w:b w:val="false"/>
                <w:sz w:val="12"/>
              </w:rPr>
              <w:t>ERFÜLLT</w:t>
            </w:r>
          </w:p>
        </w:tc>
      </w:tr>
      <w:tr w14:paraId="F5FFDC5A">
        <w:tblPrEx/>
        <w:trPr>
          <w:jc w:val="center"/>
        </w:trPr>
        <w:tc>
          <w:tcPr>
            <w:tcW w:w="3148" w:type="dxa"/>
            <w:tcBorders/>
          </w:tcPr>
          <w:p w14:paraId="64DC9408">
            <w:pPr>
              <w:pStyle w:val="style0"/>
              <w:rPr/>
            </w:pPr>
            <w:r>
              <w:rPr>
                <w:b w:val="false"/>
                <w:sz w:val="12"/>
              </w:rPr>
              <w:t>MS1-K04</w:t>
            </w:r>
          </w:p>
        </w:tc>
        <w:tc>
          <w:tcPr>
            <w:tcW w:w="3148" w:type="dxa"/>
            <w:tcBorders/>
          </w:tcPr>
          <w:p w14:paraId="6083E7FE">
            <w:pPr>
              <w:pStyle w:val="style0"/>
              <w:rPr/>
            </w:pPr>
            <w:r>
              <w:rPr>
                <w:b w:val="false"/>
                <w:sz w:val="12"/>
              </w:rPr>
              <w:t>Festgelegte Dateistruktur</w:t>
            </w:r>
          </w:p>
        </w:tc>
        <w:tc>
          <w:tcPr>
            <w:tcW w:w="3148" w:type="dxa"/>
            <w:tcBorders/>
          </w:tcPr>
          <w:p w14:paraId="83339C2A">
            <w:pPr>
              <w:pStyle w:val="style0"/>
              <w:rPr/>
            </w:pPr>
            <w:r>
              <w:rPr>
                <w:b w:val="false"/>
                <w:sz w:val="12"/>
              </w:rPr>
              <w:t>DOC-006 sowie Artefakt-/Dateistruktur in W7-Projektdokumentation v0.4; Rollen, Übergaben und Historisierung festgelegt.</w:t>
            </w:r>
          </w:p>
        </w:tc>
        <w:tc>
          <w:tcPr>
            <w:tcW w:w="3148" w:type="dxa"/>
            <w:tcBorders/>
          </w:tcPr>
          <w:p w14:paraId="D60477D4">
            <w:pPr>
              <w:pStyle w:val="style0"/>
              <w:rPr/>
            </w:pPr>
            <w:r>
              <w:rPr>
                <w:b w:val="false"/>
                <w:sz w:val="12"/>
              </w:rPr>
              <w:t>Physische Datei-/DB- und ACL-Umsetzung später.</w:t>
            </w:r>
          </w:p>
        </w:tc>
        <w:tc>
          <w:tcPr>
            <w:tcW w:w="3148" w:type="dxa"/>
            <w:tcBorders/>
          </w:tcPr>
          <w:p w14:paraId="3079593D">
            <w:pPr>
              <w:pStyle w:val="style0"/>
              <w:rPr/>
            </w:pPr>
            <w:r>
              <w:rPr>
                <w:b w:val="false"/>
                <w:sz w:val="12"/>
              </w:rPr>
              <w:t>ERFÜLLT</w:t>
            </w:r>
          </w:p>
        </w:tc>
      </w:tr>
      <w:tr w14:paraId="55EE81C7">
        <w:tblPrEx/>
        <w:trPr>
          <w:jc w:val="center"/>
        </w:trPr>
        <w:tc>
          <w:tcPr>
            <w:tcW w:w="3148" w:type="dxa"/>
            <w:tcBorders/>
          </w:tcPr>
          <w:p w14:paraId="86E9086F">
            <w:pPr>
              <w:pStyle w:val="style0"/>
              <w:rPr/>
            </w:pPr>
            <w:r>
              <w:rPr>
                <w:b w:val="false"/>
                <w:sz w:val="12"/>
              </w:rPr>
              <w:t>MS1-K05</w:t>
            </w:r>
          </w:p>
        </w:tc>
        <w:tc>
          <w:tcPr>
            <w:tcW w:w="3148" w:type="dxa"/>
            <w:tcBorders/>
          </w:tcPr>
          <w:p w14:paraId="3928D599">
            <w:pPr>
              <w:pStyle w:val="style0"/>
              <w:rPr/>
            </w:pPr>
            <w:r>
              <w:rPr>
                <w:b w:val="false"/>
                <w:sz w:val="12"/>
              </w:rPr>
              <w:t>Quellenneutrales Importmodell</w:t>
            </w:r>
          </w:p>
        </w:tc>
        <w:tc>
          <w:tcPr>
            <w:tcW w:w="3148" w:type="dxa"/>
            <w:tcBorders/>
          </w:tcPr>
          <w:p w14:paraId="90C9D550">
            <w:pPr>
              <w:pStyle w:val="style0"/>
              <w:rPr/>
            </w:pPr>
            <w:r>
              <w:rPr>
                <w:b w:val="false"/>
                <w:sz w:val="12"/>
              </w:rPr>
              <w:t>DOC-010/011/012: Import-Envelope, Mapping, Fallback und manuelle/teilautomatische/automatische Wege.</w:t>
            </w:r>
          </w:p>
        </w:tc>
        <w:tc>
          <w:tcPr>
            <w:tcW w:w="3148" w:type="dxa"/>
            <w:tcBorders/>
          </w:tcPr>
          <w:p w14:paraId="311228A5">
            <w:pPr>
              <w:pStyle w:val="style0"/>
              <w:rPr/>
            </w:pPr>
            <w:r>
              <w:rPr>
                <w:b w:val="false"/>
                <w:sz w:val="12"/>
              </w:rPr>
              <w:t>CON-002 und T-RD-01/02 vor Produktivbetrieb.</w:t>
            </w:r>
          </w:p>
        </w:tc>
        <w:tc>
          <w:tcPr>
            <w:tcW w:w="3148" w:type="dxa"/>
            <w:tcBorders/>
          </w:tcPr>
          <w:p w14:paraId="E2EF1730">
            <w:pPr>
              <w:pStyle w:val="style0"/>
              <w:rPr/>
            </w:pPr>
            <w:r>
              <w:rPr>
                <w:b w:val="false"/>
                <w:sz w:val="12"/>
              </w:rPr>
              <w:t>ERFÜLLT</w:t>
            </w:r>
          </w:p>
        </w:tc>
      </w:tr>
      <w:tr w14:paraId="17E04AE3">
        <w:tblPrEx/>
        <w:trPr>
          <w:jc w:val="center"/>
        </w:trPr>
        <w:tc>
          <w:tcPr>
            <w:tcW w:w="3148" w:type="dxa"/>
            <w:tcBorders/>
          </w:tcPr>
          <w:p w14:paraId="E9A9B6C5">
            <w:pPr>
              <w:pStyle w:val="style0"/>
              <w:rPr/>
            </w:pPr>
            <w:r>
              <w:rPr>
                <w:b w:val="false"/>
                <w:sz w:val="12"/>
              </w:rPr>
              <w:t>MS1-K06</w:t>
            </w:r>
          </w:p>
        </w:tc>
        <w:tc>
          <w:tcPr>
            <w:tcW w:w="3148" w:type="dxa"/>
            <w:tcBorders/>
          </w:tcPr>
          <w:p w14:paraId="DDF4B66D">
            <w:pPr>
              <w:pStyle w:val="style0"/>
              <w:rPr/>
            </w:pPr>
            <w:r>
              <w:rPr>
                <w:b w:val="false"/>
                <w:sz w:val="12"/>
              </w:rPr>
              <w:t>Fehl- und Statusmodell</w:t>
            </w:r>
          </w:p>
        </w:tc>
        <w:tc>
          <w:tcPr>
            <w:tcW w:w="3148" w:type="dxa"/>
            <w:tcBorders/>
          </w:tcPr>
          <w:p w14:paraId="E731E233">
            <w:pPr>
              <w:pStyle w:val="style0"/>
              <w:rPr/>
            </w:pPr>
            <w:r>
              <w:rPr>
                <w:b w:val="false"/>
                <w:sz w:val="12"/>
              </w:rPr>
              <w:t>DOC-008/009/010/011/012; getrennte Statusdimensionen und Missing-Semantik.</w:t>
            </w:r>
          </w:p>
        </w:tc>
        <w:tc>
          <w:tcPr>
            <w:tcW w:w="3148" w:type="dxa"/>
            <w:tcBorders/>
          </w:tcPr>
          <w:p w14:paraId="1F3B9B81">
            <w:pPr>
              <w:pStyle w:val="style0"/>
              <w:rPr/>
            </w:pPr>
            <w:r>
              <w:rPr>
                <w:b w:val="false"/>
                <w:sz w:val="12"/>
              </w:rPr>
              <w:t>Keine.</w:t>
            </w:r>
          </w:p>
        </w:tc>
        <w:tc>
          <w:tcPr>
            <w:tcW w:w="3148" w:type="dxa"/>
            <w:tcBorders/>
          </w:tcPr>
          <w:p w14:paraId="8AC3F352">
            <w:pPr>
              <w:pStyle w:val="style0"/>
              <w:rPr/>
            </w:pPr>
            <w:r>
              <w:rPr>
                <w:b w:val="false"/>
                <w:sz w:val="12"/>
              </w:rPr>
              <w:t>ERFÜLLT</w:t>
            </w:r>
          </w:p>
        </w:tc>
      </w:tr>
      <w:tr w14:paraId="DEEF8228">
        <w:tblPrEx/>
        <w:trPr>
          <w:jc w:val="center"/>
        </w:trPr>
        <w:tc>
          <w:tcPr>
            <w:tcW w:w="3148" w:type="dxa"/>
            <w:tcBorders/>
          </w:tcPr>
          <w:p w14:paraId="9203890D">
            <w:pPr>
              <w:pStyle w:val="style0"/>
              <w:rPr/>
            </w:pPr>
            <w:r>
              <w:rPr>
                <w:b w:val="false"/>
                <w:sz w:val="12"/>
              </w:rPr>
              <w:t>MS1-K07</w:t>
            </w:r>
          </w:p>
        </w:tc>
        <w:tc>
          <w:tcPr>
            <w:tcW w:w="3148" w:type="dxa"/>
            <w:tcBorders/>
          </w:tcPr>
          <w:p w14:paraId="351FE83E">
            <w:pPr>
              <w:pStyle w:val="style0"/>
              <w:rPr/>
            </w:pPr>
            <w:r>
              <w:rPr>
                <w:b w:val="false"/>
                <w:sz w:val="12"/>
              </w:rPr>
              <w:t>Kritikalitäts- und Blockadelogik</w:t>
            </w:r>
          </w:p>
        </w:tc>
        <w:tc>
          <w:tcPr>
            <w:tcW w:w="3148" w:type="dxa"/>
            <w:tcBorders/>
          </w:tcPr>
          <w:p w14:paraId="5C2C421C">
            <w:pPr>
              <w:pStyle w:val="style0"/>
              <w:rPr/>
            </w:pPr>
            <w:r>
              <w:rPr>
                <w:b w:val="false"/>
                <w:sz w:val="12"/>
              </w:rPr>
              <w:t>DOC-012: Kritikalität, block_effect sowie G1–G7.</w:t>
            </w:r>
          </w:p>
        </w:tc>
        <w:tc>
          <w:tcPr>
            <w:tcW w:w="3148" w:type="dxa"/>
            <w:tcBorders/>
          </w:tcPr>
          <w:p w14:paraId="3044F332">
            <w:pPr>
              <w:pStyle w:val="style0"/>
              <w:rPr/>
            </w:pPr>
            <w:r>
              <w:rPr>
                <w:b w:val="false"/>
                <w:sz w:val="12"/>
              </w:rPr>
              <w:t>Technische Gate-Implementierung später.</w:t>
            </w:r>
          </w:p>
        </w:tc>
        <w:tc>
          <w:tcPr>
            <w:tcW w:w="3148" w:type="dxa"/>
            <w:tcBorders/>
          </w:tcPr>
          <w:p w14:paraId="95AA6465">
            <w:pPr>
              <w:pStyle w:val="style0"/>
              <w:rPr/>
            </w:pPr>
            <w:r>
              <w:rPr>
                <w:b w:val="false"/>
                <w:sz w:val="12"/>
              </w:rPr>
              <w:t>ERFÜLLT</w:t>
            </w:r>
          </w:p>
        </w:tc>
      </w:tr>
      <w:tr w14:paraId="B35BE9D1">
        <w:tblPrEx/>
        <w:trPr>
          <w:jc w:val="center"/>
        </w:trPr>
        <w:tc>
          <w:tcPr>
            <w:tcW w:w="3148" w:type="dxa"/>
            <w:tcBorders/>
          </w:tcPr>
          <w:p w14:paraId="F94F29A5">
            <w:pPr>
              <w:pStyle w:val="style0"/>
              <w:rPr/>
            </w:pPr>
            <w:r>
              <w:rPr>
                <w:b w:val="false"/>
                <w:sz w:val="12"/>
              </w:rPr>
              <w:t>MS1-K08</w:t>
            </w:r>
          </w:p>
        </w:tc>
        <w:tc>
          <w:tcPr>
            <w:tcW w:w="3148" w:type="dxa"/>
            <w:tcBorders/>
          </w:tcPr>
          <w:p w14:paraId="FEFE3416">
            <w:pPr>
              <w:pStyle w:val="style0"/>
              <w:rPr/>
            </w:pPr>
            <w:r>
              <w:rPr>
                <w:b w:val="false"/>
                <w:sz w:val="12"/>
              </w:rPr>
              <w:t>Technische Abbildbarkeit Regelwerk</w:t>
            </w:r>
          </w:p>
        </w:tc>
        <w:tc>
          <w:tcPr>
            <w:tcW w:w="3148" w:type="dxa"/>
            <w:tcBorders/>
          </w:tcPr>
          <w:p w14:paraId="D5B16AC6">
            <w:pPr>
              <w:pStyle w:val="style0"/>
              <w:rPr/>
            </w:pPr>
            <w:r>
              <w:rPr>
                <w:b w:val="false"/>
                <w:sz w:val="12"/>
              </w:rPr>
              <w:t>DOC-007/009/012; zusätzlich W7-Regelkonsolidierung v0.1 mit explizitem K08-Nachweis.</w:t>
            </w:r>
          </w:p>
        </w:tc>
        <w:tc>
          <w:tcPr>
            <w:tcW w:w="3148" w:type="dxa"/>
            <w:tcBorders/>
          </w:tcPr>
          <w:p w14:paraId="0A1552B2">
            <w:pPr>
              <w:pStyle w:val="style0"/>
              <w:rPr/>
            </w:pPr>
            <w:r>
              <w:rPr>
                <w:b w:val="false"/>
                <w:sz w:val="12"/>
              </w:rPr>
              <w:t>Technische Implementierung/Testausführung später.</w:t>
            </w:r>
          </w:p>
        </w:tc>
        <w:tc>
          <w:tcPr>
            <w:tcW w:w="3148" w:type="dxa"/>
            <w:tcBorders/>
          </w:tcPr>
          <w:p w14:paraId="C6C0E64F">
            <w:pPr>
              <w:pStyle w:val="style0"/>
              <w:rPr/>
            </w:pPr>
            <w:r>
              <w:rPr>
                <w:b w:val="false"/>
                <w:sz w:val="12"/>
              </w:rPr>
              <w:t>ERFÜLLT</w:t>
            </w:r>
          </w:p>
        </w:tc>
      </w:tr>
      <w:tr w14:paraId="188AB856">
        <w:tblPrEx/>
        <w:trPr>
          <w:jc w:val="center"/>
        </w:trPr>
        <w:tc>
          <w:tcPr>
            <w:tcW w:w="3148" w:type="dxa"/>
            <w:tcBorders/>
          </w:tcPr>
          <w:p w14:paraId="2E73311D">
            <w:pPr>
              <w:pStyle w:val="style0"/>
              <w:rPr/>
            </w:pPr>
            <w:r>
              <w:rPr>
                <w:b w:val="false"/>
                <w:sz w:val="12"/>
              </w:rPr>
              <w:t>MS1-K09</w:t>
            </w:r>
          </w:p>
        </w:tc>
        <w:tc>
          <w:tcPr>
            <w:tcW w:w="3148" w:type="dxa"/>
            <w:tcBorders/>
          </w:tcPr>
          <w:p w14:paraId="91E741E6">
            <w:pPr>
              <w:pStyle w:val="style0"/>
              <w:rPr/>
            </w:pPr>
            <w:r>
              <w:rPr>
                <w:b w:val="false"/>
                <w:sz w:val="12"/>
              </w:rPr>
              <w:t>Trennung Bewertungsdimensionen</w:t>
            </w:r>
          </w:p>
        </w:tc>
        <w:tc>
          <w:tcPr>
            <w:tcW w:w="3148" w:type="dxa"/>
            <w:tcBorders/>
          </w:tcPr>
          <w:p w14:paraId="6CB27E03">
            <w:pPr>
              <w:pStyle w:val="style0"/>
              <w:rPr/>
            </w:pPr>
            <w:r>
              <w:rPr>
                <w:b w:val="false"/>
                <w:sz w:val="12"/>
              </w:rPr>
              <w:t>DOC-009 trennt historisches Profil, Spieltagskontext/-prognose und aufstellungsabhängigen Variantenwert.</w:t>
            </w:r>
          </w:p>
        </w:tc>
        <w:tc>
          <w:tcPr>
            <w:tcW w:w="3148" w:type="dxa"/>
            <w:tcBorders/>
          </w:tcPr>
          <w:p w14:paraId="8118789B">
            <w:pPr>
              <w:pStyle w:val="style0"/>
              <w:rPr/>
            </w:pPr>
            <w:r>
              <w:rPr>
                <w:b w:val="false"/>
                <w:sz w:val="12"/>
              </w:rPr>
              <w:t>Konkrete Gewichtungen bewusst später.</w:t>
            </w:r>
          </w:p>
        </w:tc>
        <w:tc>
          <w:tcPr>
            <w:tcW w:w="3148" w:type="dxa"/>
            <w:tcBorders/>
          </w:tcPr>
          <w:p w14:paraId="3947A045">
            <w:pPr>
              <w:pStyle w:val="style0"/>
              <w:rPr/>
            </w:pPr>
            <w:r>
              <w:rPr>
                <w:b w:val="false"/>
                <w:sz w:val="12"/>
              </w:rPr>
              <w:t>ERFÜLLT</w:t>
            </w:r>
          </w:p>
        </w:tc>
      </w:tr>
      <w:tr w14:paraId="98BDDD07">
        <w:tblPrEx/>
        <w:trPr>
          <w:jc w:val="center"/>
        </w:trPr>
        <w:tc>
          <w:tcPr>
            <w:tcW w:w="3148" w:type="dxa"/>
            <w:tcBorders/>
          </w:tcPr>
          <w:p w14:paraId="D39FB467">
            <w:pPr>
              <w:pStyle w:val="style0"/>
              <w:rPr/>
            </w:pPr>
            <w:r>
              <w:rPr>
                <w:b w:val="false"/>
                <w:sz w:val="12"/>
              </w:rPr>
              <w:t>MS1-K10</w:t>
            </w:r>
          </w:p>
        </w:tc>
        <w:tc>
          <w:tcPr>
            <w:tcW w:w="3148" w:type="dxa"/>
            <w:tcBorders/>
          </w:tcPr>
          <w:p w14:paraId="6723676D">
            <w:pPr>
              <w:pStyle w:val="style0"/>
              <w:rPr/>
            </w:pPr>
            <w:r>
              <w:rPr>
                <w:b w:val="false"/>
                <w:sz w:val="12"/>
              </w:rPr>
              <w:t>Snapshot- und Versionsmodell</w:t>
            </w:r>
          </w:p>
        </w:tc>
        <w:tc>
          <w:tcPr>
            <w:tcW w:w="3148" w:type="dxa"/>
            <w:tcBorders/>
          </w:tcPr>
          <w:p w14:paraId="0A853721">
            <w:pPr>
              <w:pStyle w:val="style0"/>
              <w:rPr/>
            </w:pPr>
            <w:r>
              <w:rPr>
                <w:b w:val="false"/>
                <w:sz w:val="12"/>
              </w:rPr>
              <w:t>DOC-008/009/010/011/012: unveränderliche Snapshots, Version Context, Roh-/Mapping-/Ergebnishistorie.</w:t>
            </w:r>
          </w:p>
        </w:tc>
        <w:tc>
          <w:tcPr>
            <w:tcW w:w="3148" w:type="dxa"/>
            <w:tcBorders/>
          </w:tcPr>
          <w:p w14:paraId="DFEDBF47">
            <w:pPr>
              <w:pStyle w:val="style0"/>
              <w:rPr/>
            </w:pPr>
            <w:r>
              <w:rPr>
                <w:b w:val="false"/>
                <w:sz w:val="12"/>
              </w:rPr>
              <w:t>Keine.</w:t>
            </w:r>
          </w:p>
        </w:tc>
        <w:tc>
          <w:tcPr>
            <w:tcW w:w="3148" w:type="dxa"/>
            <w:tcBorders/>
          </w:tcPr>
          <w:p w14:paraId="943A8EBC">
            <w:pPr>
              <w:pStyle w:val="style0"/>
              <w:rPr/>
            </w:pPr>
            <w:r>
              <w:rPr>
                <w:b w:val="false"/>
                <w:sz w:val="12"/>
              </w:rPr>
              <w:t>ERFÜLLT</w:t>
            </w:r>
          </w:p>
        </w:tc>
      </w:tr>
      <w:tr w14:paraId="5791F3CB">
        <w:tblPrEx/>
        <w:trPr>
          <w:jc w:val="center"/>
        </w:trPr>
        <w:tc>
          <w:tcPr>
            <w:tcW w:w="3148" w:type="dxa"/>
            <w:tcBorders/>
          </w:tcPr>
          <w:p w14:paraId="E60AF146">
            <w:pPr>
              <w:pStyle w:val="style0"/>
              <w:rPr/>
            </w:pPr>
            <w:r>
              <w:rPr>
                <w:b w:val="false"/>
                <w:sz w:val="12"/>
              </w:rPr>
              <w:t>MS1-K11</w:t>
            </w:r>
          </w:p>
        </w:tc>
        <w:tc>
          <w:tcPr>
            <w:tcW w:w="3148" w:type="dxa"/>
            <w:tcBorders/>
          </w:tcPr>
          <w:p w14:paraId="BE5C877F">
            <w:pPr>
              <w:pStyle w:val="style0"/>
              <w:rPr/>
            </w:pPr>
            <w:r>
              <w:rPr>
                <w:b w:val="false"/>
                <w:sz w:val="12"/>
              </w:rPr>
              <w:t>Trennung Modell, Diskussion, Entscheidung, Ergebnis</w:t>
            </w:r>
          </w:p>
        </w:tc>
        <w:tc>
          <w:tcPr>
            <w:tcW w:w="3148" w:type="dxa"/>
            <w:tcBorders/>
          </w:tcPr>
          <w:p w14:paraId="2EB05218">
            <w:pPr>
              <w:pStyle w:val="style0"/>
              <w:rPr/>
            </w:pPr>
            <w:r>
              <w:rPr>
                <w:b w:val="false"/>
                <w:sz w:val="12"/>
              </w:rPr>
              <w:t>DOC-009/012 und W7-Regelkonsolidierung v0.1: Proposal, Release, Snapshot, Diskussion, Managerentscheidung, Override, Effective Lineup, Result und Evaluation getrennt.</w:t>
            </w:r>
          </w:p>
        </w:tc>
        <w:tc>
          <w:tcPr>
            <w:tcW w:w="3148" w:type="dxa"/>
            <w:tcBorders/>
          </w:tcPr>
          <w:p w14:paraId="E534E0CD">
            <w:pPr>
              <w:pStyle w:val="style0"/>
              <w:rPr/>
            </w:pPr>
            <w:r>
              <w:rPr>
                <w:b w:val="false"/>
                <w:sz w:val="12"/>
              </w:rPr>
              <w:t>Keine.</w:t>
            </w:r>
          </w:p>
        </w:tc>
        <w:tc>
          <w:tcPr>
            <w:tcW w:w="3148" w:type="dxa"/>
            <w:tcBorders/>
          </w:tcPr>
          <w:p w14:paraId="2498A135">
            <w:pPr>
              <w:pStyle w:val="style0"/>
              <w:rPr/>
            </w:pPr>
            <w:r>
              <w:rPr>
                <w:b w:val="false"/>
                <w:sz w:val="12"/>
              </w:rPr>
              <w:t>ERFÜLLT</w:t>
            </w:r>
          </w:p>
        </w:tc>
      </w:tr>
      <w:tr w14:paraId="A9915DEF">
        <w:tblPrEx/>
        <w:trPr>
          <w:jc w:val="center"/>
        </w:trPr>
        <w:tc>
          <w:tcPr>
            <w:tcW w:w="3148" w:type="dxa"/>
            <w:tcBorders/>
          </w:tcPr>
          <w:p w14:paraId="0E7B066E">
            <w:pPr>
              <w:pStyle w:val="style0"/>
              <w:rPr/>
            </w:pPr>
            <w:r>
              <w:rPr>
                <w:b w:val="false"/>
                <w:sz w:val="12"/>
              </w:rPr>
              <w:t>MS1-K12</w:t>
            </w:r>
          </w:p>
        </w:tc>
        <w:tc>
          <w:tcPr>
            <w:tcW w:w="3148" w:type="dxa"/>
            <w:tcBorders/>
          </w:tcPr>
          <w:p w14:paraId="19C77242">
            <w:pPr>
              <w:pStyle w:val="style0"/>
              <w:rPr/>
            </w:pPr>
            <w:r>
              <w:rPr>
                <w:b w:val="false"/>
                <w:sz w:val="12"/>
              </w:rPr>
              <w:t>Definierte Fachbereichsschnittstellen</w:t>
            </w:r>
          </w:p>
        </w:tc>
        <w:tc>
          <w:tcPr>
            <w:tcW w:w="3148" w:type="dxa"/>
            <w:tcBorders/>
          </w:tcPr>
          <w:p w14:paraId="E597B1DB">
            <w:pPr>
              <w:pStyle w:val="style0"/>
              <w:rPr/>
            </w:pPr>
            <w:r>
              <w:rPr>
                <w:b w:val="false"/>
                <w:sz w:val="12"/>
              </w:rPr>
              <w:t>DOC-011 als integrierte Schnittstellenbasis; DOC-008/009/010/012 ergänzen Liefer-/Prüfverantwortung.</w:t>
            </w:r>
          </w:p>
        </w:tc>
        <w:tc>
          <w:tcPr>
            <w:tcW w:w="3148" w:type="dxa"/>
            <w:tcBorders/>
          </w:tcPr>
          <w:p w14:paraId="D46910B0">
            <w:pPr>
              <w:pStyle w:val="style0"/>
              <w:rPr/>
            </w:pPr>
            <w:r>
              <w:rPr>
                <w:b w:val="false"/>
                <w:sz w:val="12"/>
              </w:rPr>
              <w:t>Keine.</w:t>
            </w:r>
          </w:p>
        </w:tc>
        <w:tc>
          <w:tcPr>
            <w:tcW w:w="3148" w:type="dxa"/>
            <w:tcBorders/>
          </w:tcPr>
          <w:p w14:paraId="15547C04">
            <w:pPr>
              <w:pStyle w:val="style0"/>
              <w:rPr/>
            </w:pPr>
            <w:r>
              <w:rPr>
                <w:b w:val="false"/>
                <w:sz w:val="12"/>
              </w:rPr>
              <w:t>ERFÜLLT</w:t>
            </w:r>
          </w:p>
        </w:tc>
      </w:tr>
      <w:tr w14:paraId="8F8BD16F">
        <w:tblPrEx/>
        <w:trPr>
          <w:jc w:val="center"/>
        </w:trPr>
        <w:tc>
          <w:tcPr>
            <w:tcW w:w="3148" w:type="dxa"/>
            <w:tcBorders/>
          </w:tcPr>
          <w:p w14:paraId="B3921A4E">
            <w:pPr>
              <w:pStyle w:val="style0"/>
              <w:rPr/>
            </w:pPr>
            <w:r>
              <w:rPr>
                <w:b w:val="false"/>
                <w:sz w:val="12"/>
              </w:rPr>
              <w:t>MS1-K13</w:t>
            </w:r>
          </w:p>
        </w:tc>
        <w:tc>
          <w:tcPr>
            <w:tcW w:w="3148" w:type="dxa"/>
            <w:tcBorders/>
          </w:tcPr>
          <w:p w14:paraId="2D7E8708">
            <w:pPr>
              <w:pStyle w:val="style0"/>
              <w:rPr/>
            </w:pPr>
            <w:r>
              <w:rPr>
                <w:b w:val="false"/>
                <w:sz w:val="12"/>
              </w:rPr>
              <w:t>Kontroll- und Freigabepunkte</w:t>
            </w:r>
          </w:p>
        </w:tc>
        <w:tc>
          <w:tcPr>
            <w:tcW w:w="3148" w:type="dxa"/>
            <w:tcBorders/>
          </w:tcPr>
          <w:p w14:paraId="D11A2DC7">
            <w:pPr>
              <w:pStyle w:val="style0"/>
              <w:rPr/>
            </w:pPr>
            <w:r>
              <w:rPr>
                <w:b w:val="false"/>
                <w:sz w:val="12"/>
              </w:rPr>
              <w:t>DOC-012: K0–K7 und G1–G7.</w:t>
            </w:r>
          </w:p>
        </w:tc>
        <w:tc>
          <w:tcPr>
            <w:tcW w:w="3148" w:type="dxa"/>
            <w:tcBorders/>
          </w:tcPr>
          <w:p w14:paraId="9649CBEB">
            <w:pPr>
              <w:pStyle w:val="style0"/>
              <w:rPr/>
            </w:pPr>
            <w:r>
              <w:rPr>
                <w:b w:val="false"/>
                <w:sz w:val="12"/>
              </w:rPr>
              <w:t>Vollständige technische Testausführung später.</w:t>
            </w:r>
          </w:p>
        </w:tc>
        <w:tc>
          <w:tcPr>
            <w:tcW w:w="3148" w:type="dxa"/>
            <w:tcBorders/>
          </w:tcPr>
          <w:p w14:paraId="40698AB3">
            <w:pPr>
              <w:pStyle w:val="style0"/>
              <w:rPr/>
            </w:pPr>
            <w:r>
              <w:rPr>
                <w:b w:val="false"/>
                <w:sz w:val="12"/>
              </w:rPr>
              <w:t>ERFÜLLT</w:t>
            </w:r>
          </w:p>
        </w:tc>
      </w:tr>
      <w:tr w14:paraId="723B5DA9">
        <w:tblPrEx/>
        <w:trPr>
          <w:jc w:val="center"/>
        </w:trPr>
        <w:tc>
          <w:tcPr>
            <w:tcW w:w="3148" w:type="dxa"/>
            <w:tcBorders/>
          </w:tcPr>
          <w:p w14:paraId="2CA54444">
            <w:pPr>
              <w:pStyle w:val="style0"/>
              <w:rPr/>
            </w:pPr>
            <w:r>
              <w:rPr>
                <w:b w:val="false"/>
                <w:sz w:val="12"/>
              </w:rPr>
              <w:t>MS1-K14</w:t>
            </w:r>
          </w:p>
        </w:tc>
        <w:tc>
          <w:tcPr>
            <w:tcW w:w="3148" w:type="dxa"/>
            <w:tcBorders/>
          </w:tcPr>
          <w:p w14:paraId="7E4A4839">
            <w:pPr>
              <w:pStyle w:val="style0"/>
              <w:rPr/>
            </w:pPr>
            <w:r>
              <w:rPr>
                <w:b w:val="false"/>
                <w:sz w:val="12"/>
              </w:rPr>
              <w:t>Quellen- und Nachweisdaten</w:t>
            </w:r>
          </w:p>
        </w:tc>
        <w:tc>
          <w:tcPr>
            <w:tcW w:w="3148" w:type="dxa"/>
            <w:tcBorders/>
          </w:tcPr>
          <w:p w14:paraId="E07C21C3">
            <w:pPr>
              <w:pStyle w:val="style0"/>
              <w:rPr/>
            </w:pPr>
            <w:r>
              <w:rPr>
                <w:b w:val="false"/>
                <w:sz w:val="12"/>
              </w:rPr>
              <w:t>DOC-010/011/012: source_reference, Rohwert-, Zeit-, Evidence- und Korrekturbezüge.</w:t>
            </w:r>
          </w:p>
        </w:tc>
        <w:tc>
          <w:tcPr>
            <w:tcW w:w="3148" w:type="dxa"/>
            <w:tcBorders/>
          </w:tcPr>
          <w:p w14:paraId="CCC8D567">
            <w:pPr>
              <w:pStyle w:val="style0"/>
              <w:rPr/>
            </w:pPr>
            <w:r>
              <w:rPr>
                <w:b w:val="false"/>
                <w:sz w:val="12"/>
              </w:rPr>
              <w:t>Produktive Quellenfreigabe bleibt quellenbezogen.</w:t>
            </w:r>
          </w:p>
        </w:tc>
        <w:tc>
          <w:tcPr>
            <w:tcW w:w="3148" w:type="dxa"/>
            <w:tcBorders/>
          </w:tcPr>
          <w:p w14:paraId="4A21F715">
            <w:pPr>
              <w:pStyle w:val="style0"/>
              <w:rPr/>
            </w:pPr>
            <w:r>
              <w:rPr>
                <w:b w:val="false"/>
                <w:sz w:val="12"/>
              </w:rPr>
              <w:t>ERFÜLLT</w:t>
            </w:r>
          </w:p>
        </w:tc>
      </w:tr>
      <w:tr w14:paraId="B827858E">
        <w:tblPrEx/>
        <w:trPr>
          <w:jc w:val="center"/>
        </w:trPr>
        <w:tc>
          <w:tcPr>
            <w:tcW w:w="3148" w:type="dxa"/>
            <w:tcBorders/>
          </w:tcPr>
          <w:p w14:paraId="18582E86">
            <w:pPr>
              <w:pStyle w:val="style0"/>
              <w:rPr/>
            </w:pPr>
            <w:r>
              <w:rPr>
                <w:b w:val="false"/>
                <w:sz w:val="12"/>
              </w:rPr>
              <w:t>MS1-K15</w:t>
            </w:r>
          </w:p>
        </w:tc>
        <w:tc>
          <w:tcPr>
            <w:tcW w:w="3148" w:type="dxa"/>
            <w:tcBorders/>
          </w:tcPr>
          <w:p w14:paraId="257403B0">
            <w:pPr>
              <w:pStyle w:val="style0"/>
              <w:rPr/>
            </w:pPr>
            <w:r>
              <w:rPr>
                <w:b w:val="false"/>
                <w:sz w:val="12"/>
              </w:rPr>
              <w:t>Konsistenz und Traceability</w:t>
            </w:r>
          </w:p>
        </w:tc>
        <w:tc>
          <w:tcPr>
            <w:tcW w:w="3148" w:type="dxa"/>
            <w:tcBorders/>
          </w:tcPr>
          <w:p w14:paraId="D9FDB55A">
            <w:pPr>
              <w:pStyle w:val="style0"/>
              <w:rPr/>
            </w:pPr>
            <w:r>
              <w:rPr>
                <w:b w:val="false"/>
                <w:sz w:val="12"/>
              </w:rPr>
              <w:t>DOC-001/002/003/006/011/012 plus beide W7-Lieferungen; DEC-/REQ-/CON-/DOC-Bezüge wurden in W8 geprüft.</w:t>
            </w:r>
          </w:p>
        </w:tc>
        <w:tc>
          <w:tcPr>
            <w:tcW w:w="3148" w:type="dxa"/>
            <w:tcBorders/>
          </w:tcPr>
          <w:p w14:paraId="ACC2676C">
            <w:pPr>
              <w:pStyle w:val="style0"/>
              <w:rPr/>
            </w:pPr>
            <w:r>
              <w:rPr>
                <w:b w:val="false"/>
                <w:sz w:val="12"/>
              </w:rPr>
              <w:t>Keine MS1-blockierende Restlücke.</w:t>
            </w:r>
          </w:p>
        </w:tc>
        <w:tc>
          <w:tcPr>
            <w:tcW w:w="3148" w:type="dxa"/>
            <w:tcBorders/>
          </w:tcPr>
          <w:p w14:paraId="3CB77A97">
            <w:pPr>
              <w:pStyle w:val="style0"/>
              <w:rPr/>
            </w:pPr>
            <w:r>
              <w:rPr>
                <w:b w:val="false"/>
                <w:sz w:val="12"/>
              </w:rPr>
              <w:t>ERFÜLLT</w:t>
            </w:r>
          </w:p>
        </w:tc>
      </w:tr>
    </w:tbl>
    <w:p w14:paraId="FC62757D">
      <w:pPr>
        <w:pStyle w:val="style0"/>
        <w:rPr/>
      </w:pPr>
      <w:r>
        <w:rPr>
          <w:i/>
          <w:sz w:val="16"/>
        </w:rPr>
        <w:t>Quellenanker: DOC-013 – Tabelle 2 der verbindlichen Fassung gemäß DOC-REG-001 Stand 3.2.</w:t>
      </w:r>
    </w:p>
    <w:p w14:paraId="DDF7CEF8">
      <w:pPr>
        <w:pStyle w:val="style1"/>
        <w:rPr/>
      </w:pPr>
      <w:r>
        <w:t>8. Offene Abhängigkeiten und Zuständigkeit</w:t>
      </w:r>
    </w:p>
    <w:tbl>
      <w:tblPr>
        <w:tblStyle w:val="style154"/>
        <w:tblW w:w="0" w:type="auto"/>
        <w:jc w:val="center"/>
        <w:tblLook w:val="04A0" w:firstRow="1" w:lastRow="0" w:firstColumn="1" w:lastColumn="0" w:noHBand="0" w:noVBand="1"/>
      </w:tblPr>
      <w:tblGrid>
        <w:gridCol w:w="3148"/>
        <w:gridCol w:w="3148"/>
        <w:gridCol w:w="3148"/>
        <w:gridCol w:w="3148"/>
        <w:gridCol w:w="3148"/>
      </w:tblGrid>
      <w:tr w14:paraId="675BF4AE">
        <w:trPr>
          <w:tblHeader/>
          <w:jc w:val="center"/>
        </w:trPr>
        <w:tc>
          <w:tcPr>
            <w:tcW w:w="3148" w:type="dxa"/>
            <w:tcBorders/>
            <w:shd w:val="nil" w:color="auto" w:fill="d9eaf7"/>
          </w:tcPr>
          <w:p w14:paraId="C1BC499E">
            <w:pPr>
              <w:pStyle w:val="style0"/>
              <w:rPr/>
            </w:pPr>
            <w:r>
              <w:rPr>
                <w:b/>
                <w:sz w:val="13"/>
              </w:rPr>
              <w:t>ID</w:t>
            </w:r>
          </w:p>
        </w:tc>
        <w:tc>
          <w:tcPr>
            <w:tcW w:w="3148" w:type="dxa"/>
            <w:tcBorders/>
            <w:shd w:val="nil" w:color="auto" w:fill="d9eaf7"/>
          </w:tcPr>
          <w:p w14:paraId="36903F6A">
            <w:pPr>
              <w:pStyle w:val="style0"/>
              <w:rPr/>
            </w:pPr>
            <w:r>
              <w:rPr>
                <w:b/>
                <w:sz w:val="13"/>
              </w:rPr>
              <w:t>Thema</w:t>
            </w:r>
          </w:p>
        </w:tc>
        <w:tc>
          <w:tcPr>
            <w:tcW w:w="3148" w:type="dxa"/>
            <w:tcBorders/>
            <w:shd w:val="nil" w:color="auto" w:fill="d9eaf7"/>
          </w:tcPr>
          <w:p w14:paraId="9229E33F">
            <w:pPr>
              <w:pStyle w:val="style0"/>
              <w:rPr/>
            </w:pPr>
            <w:r>
              <w:rPr>
                <w:b/>
                <w:sz w:val="13"/>
              </w:rPr>
              <w:t>aktueller Status</w:t>
            </w:r>
          </w:p>
        </w:tc>
        <w:tc>
          <w:tcPr>
            <w:tcW w:w="3148" w:type="dxa"/>
            <w:tcBorders/>
            <w:shd w:val="nil" w:color="auto" w:fill="d9eaf7"/>
          </w:tcPr>
          <w:p w14:paraId="1115BEC3">
            <w:pPr>
              <w:pStyle w:val="style0"/>
              <w:rPr/>
            </w:pPr>
            <w:r>
              <w:rPr>
                <w:b/>
                <w:sz w:val="13"/>
              </w:rPr>
              <w:t>zuständige Ebene / Bearbeitungsbedarf</w:t>
            </w:r>
          </w:p>
        </w:tc>
        <w:tc>
          <w:tcPr>
            <w:tcW w:w="3148" w:type="dxa"/>
            <w:tcBorders/>
            <w:shd w:val="nil" w:color="auto" w:fill="d9eaf7"/>
          </w:tcPr>
          <w:p w14:paraId="1A48068F">
            <w:pPr>
              <w:pStyle w:val="style0"/>
              <w:rPr/>
            </w:pPr>
            <w:r>
              <w:rPr>
                <w:b/>
                <w:sz w:val="13"/>
              </w:rPr>
              <w:t>Blockadewirkung</w:t>
            </w:r>
          </w:p>
        </w:tc>
      </w:tr>
      <w:tr w14:paraId="A8CE9EA0">
        <w:tblPrEx/>
        <w:trPr>
          <w:jc w:val="center"/>
        </w:trPr>
        <w:tc>
          <w:tcPr>
            <w:tcW w:w="3148" w:type="dxa"/>
            <w:tcBorders/>
          </w:tcPr>
          <w:p w14:paraId="E35B0DBF">
            <w:pPr>
              <w:pStyle w:val="style0"/>
              <w:rPr/>
            </w:pPr>
            <w:r>
              <w:rPr>
                <w:b w:val="false"/>
                <w:sz w:val="13"/>
              </w:rPr>
              <w:t>CON-001</w:t>
            </w:r>
          </w:p>
        </w:tc>
        <w:tc>
          <w:tcPr>
            <w:tcW w:w="3148" w:type="dxa"/>
            <w:tcBorders/>
          </w:tcPr>
          <w:p w14:paraId="A546E632">
            <w:pPr>
              <w:pStyle w:val="style0"/>
              <w:rPr/>
            </w:pPr>
            <w:r>
              <w:rPr>
                <w:b w:val="false"/>
                <w:sz w:val="13"/>
              </w:rPr>
              <w:t>SSOT vs. Import</w:t>
            </w:r>
          </w:p>
        </w:tc>
        <w:tc>
          <w:tcPr>
            <w:tcW w:w="3148" w:type="dxa"/>
            <w:tcBorders/>
          </w:tcPr>
          <w:p w14:paraId="30FFBD22">
            <w:pPr>
              <w:pStyle w:val="style0"/>
              <w:rPr/>
            </w:pPr>
            <w:r>
              <w:rPr>
                <w:b w:val="false"/>
                <w:sz w:val="13"/>
              </w:rPr>
              <w:t>Aktiv – Umsetzung offen</w:t>
            </w:r>
          </w:p>
        </w:tc>
        <w:tc>
          <w:tcPr>
            <w:tcW w:w="3148" w:type="dxa"/>
            <w:tcBorders/>
          </w:tcPr>
          <w:p w14:paraId="6258B9D1">
            <w:pPr>
              <w:pStyle w:val="style0"/>
              <w:rPr/>
            </w:pPr>
            <w:r>
              <w:rPr>
                <w:b w:val="false"/>
                <w:sz w:val="13"/>
              </w:rPr>
              <w:t>Als Umsetzungsabhängigkeit behandeln: Abweichungsliste, Blockade ungeprüfter Überschreibung und versionierte bestätigte Änderung im Datenmodell und Kontrollkonzept festlegen; siehe DEC-001, DEC-015 und DEC-016.</w:t>
            </w:r>
          </w:p>
        </w:tc>
        <w:tc>
          <w:tcPr>
            <w:tcW w:w="3148" w:type="dxa"/>
            <w:tcBorders/>
          </w:tcPr>
          <w:p w14:paraId="66820901">
            <w:pPr>
              <w:pStyle w:val="style0"/>
              <w:rPr/>
            </w:pPr>
            <w:r>
              <w:rPr>
                <w:b w:val="false"/>
                <w:sz w:val="13"/>
              </w:rPr>
              <w:t>Kein MS1-Blocker; Folgeumsetzung/Pilot/Governance gemäß DOC-013</w:t>
            </w:r>
          </w:p>
        </w:tc>
      </w:tr>
      <w:tr w14:paraId="3A80BDB5">
        <w:tblPrEx/>
        <w:trPr>
          <w:jc w:val="center"/>
        </w:trPr>
        <w:tc>
          <w:tcPr>
            <w:tcW w:w="3148" w:type="dxa"/>
            <w:tcBorders/>
          </w:tcPr>
          <w:p w14:paraId="79E605F9">
            <w:pPr>
              <w:pStyle w:val="style0"/>
              <w:rPr/>
            </w:pPr>
            <w:r>
              <w:rPr>
                <w:b w:val="false"/>
                <w:sz w:val="13"/>
              </w:rPr>
              <w:t>CON-002</w:t>
            </w:r>
          </w:p>
        </w:tc>
        <w:tc>
          <w:tcPr>
            <w:tcW w:w="3148" w:type="dxa"/>
            <w:tcBorders/>
          </w:tcPr>
          <w:p w14:paraId="AF8482FD">
            <w:pPr>
              <w:pStyle w:val="style0"/>
              <w:rPr/>
            </w:pPr>
            <w:r>
              <w:rPr>
                <w:b w:val="false"/>
                <w:sz w:val="13"/>
              </w:rPr>
              <w:t>kicker-Datenzugang</w:t>
            </w:r>
          </w:p>
        </w:tc>
        <w:tc>
          <w:tcPr>
            <w:tcW w:w="3148" w:type="dxa"/>
            <w:tcBorders/>
          </w:tcPr>
          <w:p w14:paraId="2116E84B">
            <w:pPr>
              <w:pStyle w:val="style0"/>
              <w:rPr/>
            </w:pPr>
            <w:r>
              <w:rPr>
                <w:b w:val="false"/>
                <w:sz w:val="13"/>
              </w:rPr>
              <w:t>Offen – Prüfung vor Produktivfreigabe</w:t>
            </w:r>
          </w:p>
        </w:tc>
        <w:tc>
          <w:tcPr>
            <w:tcW w:w="3148" w:type="dxa"/>
            <w:tcBorders/>
          </w:tcPr>
          <w:p w14:paraId="93F3FA67">
            <w:pPr>
              <w:pStyle w:val="style0"/>
              <w:rPr/>
            </w:pPr>
            <w:r>
              <w:rPr>
                <w:b w:val="false"/>
                <w:sz w:val="13"/>
              </w:rPr>
              <w:t>Zugangsneutralen Import und Validierung für Milestone 1 vorsehen. Vor Produktivfreigabe den gewählten Weg auf Feldabdeckung, Mapping, Aktualität, Stabilität, Kontrollen, Nachvollziehbarkeit und Aufwand prüfen. Manuell gespeicherte HTML-, CSV- oder JSON-Dateien und vollständig manuelle Erfassung bleiben zulässige Varianten; siehe DEC-008, DEC-019, REQ-SRC-003 und REQ-DAT-007.</w:t>
            </w:r>
          </w:p>
        </w:tc>
        <w:tc>
          <w:tcPr>
            <w:tcW w:w="3148" w:type="dxa"/>
            <w:tcBorders/>
          </w:tcPr>
          <w:p w14:paraId="DDCCDE90">
            <w:pPr>
              <w:pStyle w:val="style0"/>
              <w:rPr/>
            </w:pPr>
            <w:r>
              <w:rPr>
                <w:b w:val="false"/>
                <w:sz w:val="13"/>
              </w:rPr>
              <w:t>Kein MS1-Blocker; Folgeumsetzung/Pilot/Governance gemäß DOC-013</w:t>
            </w:r>
          </w:p>
        </w:tc>
      </w:tr>
      <w:tr w14:paraId="3F26C9A2">
        <w:tblPrEx/>
        <w:trPr>
          <w:jc w:val="center"/>
        </w:trPr>
        <w:tc>
          <w:tcPr>
            <w:tcW w:w="3148" w:type="dxa"/>
            <w:tcBorders/>
          </w:tcPr>
          <w:p w14:paraId="29489B5B">
            <w:pPr>
              <w:pStyle w:val="style0"/>
              <w:rPr/>
            </w:pPr>
            <w:r>
              <w:rPr>
                <w:b w:val="false"/>
                <w:sz w:val="13"/>
              </w:rPr>
              <w:t>CON-003</w:t>
            </w:r>
          </w:p>
        </w:tc>
        <w:tc>
          <w:tcPr>
            <w:tcW w:w="3148" w:type="dxa"/>
            <w:tcBorders/>
          </w:tcPr>
          <w:p w14:paraId="DAA9F5AB">
            <w:pPr>
              <w:pStyle w:val="style0"/>
              <w:rPr/>
            </w:pPr>
            <w:r>
              <w:rPr>
                <w:b w:val="false"/>
                <w:sz w:val="13"/>
              </w:rPr>
              <w:t>Rundung Noten</w:t>
            </w:r>
          </w:p>
        </w:tc>
        <w:tc>
          <w:tcPr>
            <w:tcW w:w="3148" w:type="dxa"/>
            <w:tcBorders/>
          </w:tcPr>
          <w:p w14:paraId="E5430F59">
            <w:pPr>
              <w:pStyle w:val="style0"/>
              <w:rPr/>
            </w:pPr>
            <w:r>
              <w:rPr>
                <w:b w:val="false"/>
                <w:sz w:val="13"/>
              </w:rPr>
              <w:t>Fachlich gelöst – Umsetzung offen</w:t>
            </w:r>
          </w:p>
        </w:tc>
        <w:tc>
          <w:tcPr>
            <w:tcW w:w="3148" w:type="dxa"/>
            <w:tcBorders/>
          </w:tcPr>
          <w:p w14:paraId="E07E92EB">
            <w:pPr>
              <w:pStyle w:val="style0"/>
              <w:rPr/>
            </w:pPr>
            <w:r>
              <w:rPr>
                <w:b w:val="false"/>
                <w:sz w:val="13"/>
              </w:rPr>
              <w:t>Half-up nach DEC-026 umsetzen; Rohwert unverändert speichern; Zwei- und Vierstellenvergleich jeweils direkt aus dem Rohwert bilden; Grenzfälle testen.</w:t>
            </w:r>
          </w:p>
        </w:tc>
        <w:tc>
          <w:tcPr>
            <w:tcW w:w="3148" w:type="dxa"/>
            <w:tcBorders/>
          </w:tcPr>
          <w:p w14:paraId="96C0696F">
            <w:pPr>
              <w:pStyle w:val="style0"/>
              <w:rPr/>
            </w:pPr>
            <w:r>
              <w:rPr>
                <w:b w:val="false"/>
                <w:sz w:val="13"/>
              </w:rPr>
              <w:t>Kein MS1-Blocker; Folgeumsetzung/Pilot/Governance gemäß DOC-013</w:t>
            </w:r>
          </w:p>
        </w:tc>
      </w:tr>
      <w:tr w14:paraId="2E57BF11">
        <w:tblPrEx/>
        <w:trPr>
          <w:jc w:val="center"/>
        </w:trPr>
        <w:tc>
          <w:tcPr>
            <w:tcW w:w="3148" w:type="dxa"/>
            <w:tcBorders/>
          </w:tcPr>
          <w:p w14:paraId="82901CA4">
            <w:pPr>
              <w:pStyle w:val="style0"/>
              <w:rPr/>
            </w:pPr>
            <w:r>
              <w:rPr>
                <w:b w:val="false"/>
                <w:sz w:val="13"/>
              </w:rPr>
              <w:t>CON-004</w:t>
            </w:r>
          </w:p>
        </w:tc>
        <w:tc>
          <w:tcPr>
            <w:tcW w:w="3148" w:type="dxa"/>
            <w:tcBorders/>
          </w:tcPr>
          <w:p w14:paraId="E773C101">
            <w:pPr>
              <w:pStyle w:val="style0"/>
              <w:rPr/>
            </w:pPr>
            <w:r>
              <w:rPr>
                <w:b w:val="false"/>
                <w:sz w:val="13"/>
              </w:rPr>
              <w:t>Leere Gegentormenge</w:t>
            </w:r>
          </w:p>
        </w:tc>
        <w:tc>
          <w:tcPr>
            <w:tcW w:w="3148" w:type="dxa"/>
            <w:tcBorders/>
          </w:tcPr>
          <w:p w14:paraId="BCA8AF45">
            <w:pPr>
              <w:pStyle w:val="style0"/>
              <w:rPr/>
            </w:pPr>
            <w:r>
              <w:rPr>
                <w:b w:val="false"/>
                <w:sz w:val="13"/>
              </w:rPr>
              <w:t>Fachlich gelöst – Umsetzung offen</w:t>
            </w:r>
          </w:p>
        </w:tc>
        <w:tc>
          <w:tcPr>
            <w:tcW w:w="3148" w:type="dxa"/>
            <w:tcBorders/>
          </w:tcPr>
          <w:p w14:paraId="1DBFBA55">
            <w:pPr>
              <w:pStyle w:val="style0"/>
              <w:rPr/>
            </w:pPr>
            <w:r>
              <w:rPr>
                <w:b w:val="false"/>
                <w:sz w:val="13"/>
              </w:rPr>
              <w:t>Zusätzlich zum Wert einen eindeutigen Herkunfts-/Statuswert speichern; leere Gegentorzellen bei M/S als nicht anwendbar behandeln; siehe DEC-007, DEC-015 und DEC-024.</w:t>
            </w:r>
          </w:p>
        </w:tc>
        <w:tc>
          <w:tcPr>
            <w:tcW w:w="3148" w:type="dxa"/>
            <w:tcBorders/>
          </w:tcPr>
          <w:p w14:paraId="116E02AF">
            <w:pPr>
              <w:pStyle w:val="style0"/>
              <w:rPr/>
            </w:pPr>
            <w:r>
              <w:rPr>
                <w:b w:val="false"/>
                <w:sz w:val="13"/>
              </w:rPr>
              <w:t>Kein MS1-Blocker; Folgeumsetzung/Pilot/Governance gemäß DOC-013</w:t>
            </w:r>
          </w:p>
        </w:tc>
      </w:tr>
      <w:tr w14:paraId="A379E506">
        <w:tblPrEx/>
        <w:trPr>
          <w:jc w:val="center"/>
        </w:trPr>
        <w:tc>
          <w:tcPr>
            <w:tcW w:w="3148" w:type="dxa"/>
            <w:tcBorders/>
          </w:tcPr>
          <w:p w14:paraId="B17866C5">
            <w:pPr>
              <w:pStyle w:val="style0"/>
              <w:rPr/>
            </w:pPr>
            <w:r>
              <w:rPr>
                <w:b w:val="false"/>
                <w:sz w:val="13"/>
              </w:rPr>
              <w:t>CON-005</w:t>
            </w:r>
          </w:p>
        </w:tc>
        <w:tc>
          <w:tcPr>
            <w:tcW w:w="3148" w:type="dxa"/>
            <w:tcBorders/>
          </w:tcPr>
          <w:p w14:paraId="7C8B4755">
            <w:pPr>
              <w:pStyle w:val="style0"/>
              <w:rPr/>
            </w:pPr>
            <w:r>
              <w:rPr>
                <w:b w:val="false"/>
                <w:sz w:val="13"/>
              </w:rPr>
              <w:t>Teilnehmerkader</w:t>
            </w:r>
          </w:p>
        </w:tc>
        <w:tc>
          <w:tcPr>
            <w:tcW w:w="3148" w:type="dxa"/>
            <w:tcBorders/>
          </w:tcPr>
          <w:p w14:paraId="FB2D741E">
            <w:pPr>
              <w:pStyle w:val="style0"/>
              <w:rPr/>
            </w:pPr>
            <w:r>
              <w:rPr>
                <w:b w:val="false"/>
                <w:sz w:val="13"/>
              </w:rPr>
              <w:t>Offen – Pilotprüfung</w:t>
            </w:r>
          </w:p>
        </w:tc>
        <w:tc>
          <w:tcPr>
            <w:tcW w:w="3148" w:type="dxa"/>
            <w:tcBorders/>
          </w:tcPr>
          <w:p w14:paraId="1F00352A">
            <w:pPr>
              <w:pStyle w:val="style0"/>
              <w:rPr/>
            </w:pPr>
            <w:r>
              <w:rPr>
                <w:b w:val="false"/>
                <w:sz w:val="13"/>
              </w:rPr>
              <w:t>Im Pilot Zeitaufwand, Fehlerquote und Nutzen messen und dokumentieren; keine Blockade für Milestone 1; siehe DEC-011 und REQ-NFR-002.</w:t>
            </w:r>
          </w:p>
        </w:tc>
        <w:tc>
          <w:tcPr>
            <w:tcW w:w="3148" w:type="dxa"/>
            <w:tcBorders/>
          </w:tcPr>
          <w:p w14:paraId="6F0294F8">
            <w:pPr>
              <w:pStyle w:val="style0"/>
              <w:rPr/>
            </w:pPr>
            <w:r>
              <w:rPr>
                <w:b w:val="false"/>
                <w:sz w:val="13"/>
              </w:rPr>
              <w:t>Kein MS1-Blocker; Folgeumsetzung/Pilot/Governance gemäß DOC-013</w:t>
            </w:r>
          </w:p>
        </w:tc>
      </w:tr>
      <w:tr w14:paraId="EC7C23CE">
        <w:tblPrEx/>
        <w:trPr>
          <w:jc w:val="center"/>
        </w:trPr>
        <w:tc>
          <w:tcPr>
            <w:tcW w:w="3148" w:type="dxa"/>
            <w:tcBorders/>
          </w:tcPr>
          <w:p w14:paraId="72280F72">
            <w:pPr>
              <w:pStyle w:val="style0"/>
              <w:rPr/>
            </w:pPr>
            <w:r>
              <w:rPr>
                <w:b w:val="false"/>
                <w:sz w:val="13"/>
              </w:rPr>
              <w:t>CON-008</w:t>
            </w:r>
          </w:p>
        </w:tc>
        <w:tc>
          <w:tcPr>
            <w:tcW w:w="3148" w:type="dxa"/>
            <w:tcBorders/>
          </w:tcPr>
          <w:p w14:paraId="A9CF6F43">
            <w:pPr>
              <w:pStyle w:val="style0"/>
              <w:rPr/>
            </w:pPr>
            <w:r>
              <w:rPr>
                <w:b w:val="false"/>
                <w:sz w:val="13"/>
              </w:rPr>
              <w:t>Chat-zu-Datei-Synchronisation</w:t>
            </w:r>
          </w:p>
        </w:tc>
        <w:tc>
          <w:tcPr>
            <w:tcW w:w="3148" w:type="dxa"/>
            <w:tcBorders/>
          </w:tcPr>
          <w:p w14:paraId="94680667">
            <w:pPr>
              <w:pStyle w:val="style0"/>
              <w:rPr/>
            </w:pPr>
            <w:r>
              <w:rPr>
                <w:b w:val="false"/>
                <w:sz w:val="13"/>
              </w:rPr>
              <w:t>Aktiv – Dauerkontrolle</w:t>
            </w:r>
          </w:p>
        </w:tc>
        <w:tc>
          <w:tcPr>
            <w:tcW w:w="3148" w:type="dxa"/>
            <w:tcBorders/>
          </w:tcPr>
          <w:p w14:paraId="FE94D28D">
            <w:pPr>
              <w:pStyle w:val="style0"/>
              <w:rPr/>
            </w:pPr>
            <w:r>
              <w:rPr>
                <w:b w:val="false"/>
                <w:sz w:val="13"/>
              </w:rPr>
              <w:t>Dauerhafte Governance-Kontrolle: Jede relevante Änderung mit DEC-/REQ-/CON-ID, Änderungsprotokoll, Versionsfortschreibung und Aktualisierung des Dokumentenregisters abschließen.</w:t>
            </w:r>
          </w:p>
        </w:tc>
        <w:tc>
          <w:tcPr>
            <w:tcW w:w="3148" w:type="dxa"/>
            <w:tcBorders/>
          </w:tcPr>
          <w:p w14:paraId="5D5CABEE">
            <w:pPr>
              <w:pStyle w:val="style0"/>
              <w:rPr/>
            </w:pPr>
            <w:r>
              <w:rPr>
                <w:b w:val="false"/>
                <w:sz w:val="13"/>
              </w:rPr>
              <w:t>Dauerhafte Governance-Kontrolle; keine MS1-Blockade</w:t>
            </w:r>
          </w:p>
        </w:tc>
      </w:tr>
      <w:tr w14:paraId="82CF8C1B">
        <w:tblPrEx/>
        <w:trPr>
          <w:jc w:val="center"/>
        </w:trPr>
        <w:tc>
          <w:tcPr>
            <w:tcW w:w="3148" w:type="dxa"/>
            <w:tcBorders/>
          </w:tcPr>
          <w:p w14:paraId="A4369F2D">
            <w:pPr>
              <w:pStyle w:val="style0"/>
              <w:rPr/>
            </w:pPr>
            <w:r>
              <w:rPr>
                <w:b w:val="false"/>
                <w:sz w:val="13"/>
              </w:rPr>
              <w:t>T-RD-01</w:t>
            </w:r>
          </w:p>
        </w:tc>
        <w:tc>
          <w:tcPr>
            <w:tcW w:w="3148" w:type="dxa"/>
            <w:tcBorders/>
          </w:tcPr>
          <w:p w14:paraId="6909177D">
            <w:pPr>
              <w:pStyle w:val="style0"/>
              <w:rPr/>
            </w:pPr>
            <w:r>
              <w:rPr>
                <w:b w:val="false"/>
                <w:sz w:val="13"/>
              </w:rPr>
              <w:t>Technische Zeitauflösung von Vereinswechseln/externen Identitäten</w:t>
            </w:r>
          </w:p>
        </w:tc>
        <w:tc>
          <w:tcPr>
            <w:tcW w:w="3148" w:type="dxa"/>
            <w:tcBorders/>
          </w:tcPr>
          <w:p w14:paraId="7B266322">
            <w:pPr>
              <w:pStyle w:val="style0"/>
              <w:rPr/>
            </w:pPr>
            <w:r>
              <w:rPr>
                <w:b w:val="false"/>
                <w:sz w:val="13"/>
              </w:rPr>
              <w:t>Im Pilot prüfen</w:t>
            </w:r>
          </w:p>
        </w:tc>
        <w:tc>
          <w:tcPr>
            <w:tcW w:w="3148" w:type="dxa"/>
            <w:tcBorders/>
          </w:tcPr>
          <w:p w14:paraId="EF7E57AF">
            <w:pPr>
              <w:pStyle w:val="style0"/>
              <w:rPr/>
            </w:pPr>
            <w:r>
              <w:rPr>
                <w:b w:val="false"/>
                <w:sz w:val="13"/>
              </w:rPr>
              <w:t>Rohdaten/SSOT; technische Umsetzung/Pilot</w:t>
            </w:r>
          </w:p>
        </w:tc>
        <w:tc>
          <w:tcPr>
            <w:tcW w:w="3148" w:type="dxa"/>
            <w:tcBorders/>
          </w:tcPr>
          <w:p w14:paraId="B7A9A949">
            <w:pPr>
              <w:pStyle w:val="style0"/>
              <w:rPr/>
            </w:pPr>
            <w:r>
              <w:rPr>
                <w:b w:val="false"/>
                <w:sz w:val="13"/>
              </w:rPr>
              <w:t>Kein MS1-Blocker; Quellenpräzision erhalten</w:t>
            </w:r>
          </w:p>
        </w:tc>
      </w:tr>
      <w:tr w14:paraId="326AF0BA">
        <w:tblPrEx/>
        <w:trPr>
          <w:jc w:val="center"/>
        </w:trPr>
        <w:tc>
          <w:tcPr>
            <w:tcW w:w="3148" w:type="dxa"/>
            <w:tcBorders/>
          </w:tcPr>
          <w:p w14:paraId="C0FCA147">
            <w:pPr>
              <w:pStyle w:val="style0"/>
              <w:rPr/>
            </w:pPr>
            <w:r>
              <w:rPr>
                <w:b w:val="false"/>
                <w:sz w:val="13"/>
              </w:rPr>
              <w:t>T-RD-02</w:t>
            </w:r>
          </w:p>
        </w:tc>
        <w:tc>
          <w:tcPr>
            <w:tcW w:w="3148" w:type="dxa"/>
            <w:tcBorders/>
          </w:tcPr>
          <w:p w14:paraId="A9C05628">
            <w:pPr>
              <w:pStyle w:val="style0"/>
              <w:rPr/>
            </w:pPr>
            <w:r>
              <w:rPr>
                <w:b w:val="false"/>
                <w:sz w:val="13"/>
              </w:rPr>
              <w:t>Stabile maschinenlesbare externe IDs</w:t>
            </w:r>
          </w:p>
        </w:tc>
        <w:tc>
          <w:tcPr>
            <w:tcW w:w="3148" w:type="dxa"/>
            <w:tcBorders/>
          </w:tcPr>
          <w:p w14:paraId="F0E689BF">
            <w:pPr>
              <w:pStyle w:val="style0"/>
              <w:rPr/>
            </w:pPr>
            <w:r>
              <w:rPr>
                <w:b w:val="false"/>
                <w:sz w:val="13"/>
              </w:rPr>
              <w:t>Im Pilot prüfen; nicht voraussetzen</w:t>
            </w:r>
          </w:p>
        </w:tc>
        <w:tc>
          <w:tcPr>
            <w:tcW w:w="3148" w:type="dxa"/>
            <w:tcBorders/>
          </w:tcPr>
          <w:p w14:paraId="90437DEA">
            <w:pPr>
              <w:pStyle w:val="style0"/>
              <w:rPr/>
            </w:pPr>
            <w:r>
              <w:rPr>
                <w:b w:val="false"/>
                <w:sz w:val="13"/>
              </w:rPr>
              <w:t>Rohdaten/SSOT; technische Umsetzung/Pilot</w:t>
            </w:r>
          </w:p>
        </w:tc>
        <w:tc>
          <w:tcPr>
            <w:tcW w:w="3148" w:type="dxa"/>
            <w:tcBorders/>
          </w:tcPr>
          <w:p w14:paraId="5AE22F3F">
            <w:pPr>
              <w:pStyle w:val="style0"/>
              <w:rPr/>
            </w:pPr>
            <w:r>
              <w:rPr>
                <w:b w:val="false"/>
                <w:sz w:val="13"/>
              </w:rPr>
              <w:t>Kein MS1-Blocker; Modell funktioniert ohne externe IDs</w:t>
            </w:r>
          </w:p>
        </w:tc>
      </w:tr>
      <w:tr w14:paraId="DBB68B58">
        <w:tblPrEx/>
        <w:trPr>
          <w:jc w:val="center"/>
        </w:trPr>
        <w:tc>
          <w:tcPr>
            <w:tcW w:w="3148" w:type="dxa"/>
            <w:tcBorders/>
          </w:tcPr>
          <w:p w14:paraId="6DE6DFB6">
            <w:pPr>
              <w:pStyle w:val="style0"/>
              <w:rPr/>
            </w:pPr>
            <w:r>
              <w:rPr>
                <w:b w:val="false"/>
                <w:sz w:val="13"/>
              </w:rPr>
              <w:t>L-RD-01</w:t>
            </w:r>
          </w:p>
        </w:tc>
        <w:tc>
          <w:tcPr>
            <w:tcW w:w="3148" w:type="dxa"/>
            <w:tcBorders/>
          </w:tcPr>
          <w:p w14:paraId="BCCEBB45">
            <w:pPr>
              <w:pStyle w:val="style0"/>
              <w:rPr/>
            </w:pPr>
            <w:r>
              <w:rPr>
                <w:b w:val="false"/>
                <w:sz w:val="13"/>
              </w:rPr>
              <w:t>Zulässigkeit konkreter automatisierter kicker-Erhebung</w:t>
            </w:r>
          </w:p>
        </w:tc>
        <w:tc>
          <w:tcPr>
            <w:tcW w:w="3148" w:type="dxa"/>
            <w:tcBorders/>
          </w:tcPr>
          <w:p w14:paraId="F103C07D">
            <w:pPr>
              <w:pStyle w:val="style0"/>
              <w:rPr/>
            </w:pPr>
            <w:r>
              <w:rPr>
                <w:b w:val="false"/>
                <w:sz w:val="13"/>
              </w:rPr>
              <w:t>Vor Produktivautomatisierung klären</w:t>
            </w:r>
          </w:p>
        </w:tc>
        <w:tc>
          <w:tcPr>
            <w:tcW w:w="3148" w:type="dxa"/>
            <w:tcBorders/>
          </w:tcPr>
          <w:p w14:paraId="0C6C800C">
            <w:pPr>
              <w:pStyle w:val="style0"/>
              <w:rPr/>
            </w:pPr>
            <w:r>
              <w:rPr>
                <w:b w:val="false"/>
                <w:sz w:val="13"/>
              </w:rPr>
              <w:t>Rohdaten/Projektsteuerung</w:t>
            </w:r>
          </w:p>
        </w:tc>
        <w:tc>
          <w:tcPr>
            <w:tcW w:w="3148" w:type="dxa"/>
            <w:tcBorders/>
          </w:tcPr>
          <w:p w14:paraId="3F174B31">
            <w:pPr>
              <w:pStyle w:val="style0"/>
              <w:rPr/>
            </w:pPr>
            <w:r>
              <w:rPr>
                <w:b w:val="false"/>
                <w:sz w:val="13"/>
              </w:rPr>
              <w:t>Keine Automationsfreigabe durch MS1</w:t>
            </w:r>
          </w:p>
        </w:tc>
      </w:tr>
      <w:tr w14:paraId="E134C7D2">
        <w:tblPrEx/>
        <w:trPr>
          <w:jc w:val="center"/>
        </w:trPr>
        <w:tc>
          <w:tcPr>
            <w:tcW w:w="3148" w:type="dxa"/>
            <w:tcBorders/>
          </w:tcPr>
          <w:p w14:paraId="10F00EA1">
            <w:pPr>
              <w:pStyle w:val="style0"/>
              <w:rPr/>
            </w:pPr>
            <w:r>
              <w:rPr>
                <w:b w:val="false"/>
                <w:sz w:val="13"/>
              </w:rPr>
              <w:t>L-RD-02</w:t>
            </w:r>
          </w:p>
        </w:tc>
        <w:tc>
          <w:tcPr>
            <w:tcW w:w="3148" w:type="dxa"/>
            <w:tcBorders/>
          </w:tcPr>
          <w:p w14:paraId="AECC8DBC">
            <w:pPr>
              <w:pStyle w:val="style0"/>
              <w:rPr/>
            </w:pPr>
            <w:r>
              <w:rPr>
                <w:b w:val="false"/>
                <w:sz w:val="13"/>
              </w:rPr>
              <w:t>Automatisierter Zugriff auf bundesliga.com</w:t>
            </w:r>
          </w:p>
        </w:tc>
        <w:tc>
          <w:tcPr>
            <w:tcW w:w="3148" w:type="dxa"/>
            <w:tcBorders/>
          </w:tcPr>
          <w:p w14:paraId="1273A273">
            <w:pPr>
              <w:pStyle w:val="style0"/>
              <w:rPr/>
            </w:pPr>
            <w:r>
              <w:rPr>
                <w:b w:val="false"/>
                <w:sz w:val="13"/>
              </w:rPr>
              <w:t>Gesonderte Zulässigkeitsprüfung</w:t>
            </w:r>
          </w:p>
        </w:tc>
        <w:tc>
          <w:tcPr>
            <w:tcW w:w="3148" w:type="dxa"/>
            <w:tcBorders/>
          </w:tcPr>
          <w:p w14:paraId="1AD5BBAF">
            <w:pPr>
              <w:pStyle w:val="style0"/>
              <w:rPr/>
            </w:pPr>
            <w:r>
              <w:rPr>
                <w:b w:val="false"/>
                <w:sz w:val="13"/>
              </w:rPr>
              <w:t>Rohdaten/Projektsteuerung</w:t>
            </w:r>
          </w:p>
        </w:tc>
        <w:tc>
          <w:tcPr>
            <w:tcW w:w="3148" w:type="dxa"/>
            <w:tcBorders/>
          </w:tcPr>
          <w:p w14:paraId="B981E02A">
            <w:pPr>
              <w:pStyle w:val="style0"/>
              <w:rPr/>
            </w:pPr>
            <w:r>
              <w:rPr>
                <w:b w:val="false"/>
                <w:sz w:val="13"/>
              </w:rPr>
              <w:t>Kein MS1-Blocker; direkte Automation nicht voraussetzen</w:t>
            </w:r>
          </w:p>
        </w:tc>
      </w:tr>
    </w:tbl>
    <w:p w14:paraId="267BF200">
      <w:pPr>
        <w:pStyle w:val="style1"/>
        <w:rPr/>
      </w:pPr>
      <w:r>
        <w:t>9. Historische versus aktuelle Arbeitsgrundlage</w:t>
      </w:r>
    </w:p>
    <w:p w14:paraId="048596B7">
      <w:pPr>
        <w:pStyle w:val="style0"/>
        <w:rPr/>
      </w:pPr>
      <w:r>
        <w:t>Aktuelle verbindliche Arbeitsgrundlage ist DOC-REG-001 Stand 4.1 mit DOC-014 v1.0, DOC-015 v0.8 und DOC-016 v0.3.</w:t>
      </w:r>
    </w:p>
    <w:p w14:paraId="12B6B47D">
      <w:pPr>
        <w:pStyle w:val="style0"/>
        <w:rPr/>
      </w:pPr>
      <w:r>
        <w:t>DOC-013 bleibt separat als formaler historischer und verbindlicher MS1-Abnahmenachweis bestehen. Die vollständige CHG-Historie bis einschließlich CHG-0033 ist in diesem verbindlichen Stand enthalten.</w:t>
      </w:r>
    </w:p>
    <w:p w14:paraId="EB0FE99E">
      <w:pPr>
        <w:pStyle w:val="style1"/>
        <w:rPr/>
      </w:pPr>
      <w:r>
        <w:t>10. Quellen- und Traceability-Grenze</w:t>
      </w:r>
    </w:p>
    <w:p w14:paraId="18CCAF6A">
      <w:pPr>
        <w:pStyle w:val="style0"/>
        <w:rPr/>
      </w:pPr>
      <w:r>
        <w:t>Die Übernahme in dieses Governance-Paket ändert weder Status noch Inhalt bestehender DEC-/REQ-/CON-/CHG-Einträge. IDs werden nicht neu nummeriert. Technische Präzisierungen aus DOC-011 und Kontrollregeln aus DOC-012 werden im Fachlichen Zielmodell MS1 übernommen; ihre Governance-/Freigabespuren bleiben über CHG-0021/0022 und die Traceability-Matrix nachvollziehbar.</w:t>
      </w:r>
    </w:p>
    <w:p w14:paraId="1C357106">
      <w:pPr>
        <w:pStyle w:val="style1"/>
        <w:rPr/>
      </w:pPr>
      <w:r>
        <w:t>11. Fortschreibungsvermerk GF-UI-001</w:t>
      </w:r>
    </w:p>
    <w:p w14:paraId="B3D11D64">
      <w:pPr>
        <w:pStyle w:val="style0"/>
        <w:rPr/>
      </w:pPr>
      <w:r>
        <w:t>GF-UI-001 ist mit DEC-031 und REQ-UI-001 in die verbindliche Governance übernommen. CHG-0030 dokumentiert die P&amp;I-Freigabe und die Fortschreibung auf DOC-REG-001 Stand 3.8. DOC-016 v0.2 bleibt unverändert; DEC-031/REQ-UI-001 ergänzen den W3-Pilotnachweis ohne Änderung der W3-/IG3-Steuerung.</w:t>
      </w:r>
    </w:p>
    <w:p w14:paraId="85BAD2A7">
      <w:pPr>
        <w:pStyle w:val="style1"/>
        <w:rPr/>
      </w:pPr>
      <w:r>
        <w:t>12. Fortschreibungsvermerk GF-SSOT-002</w:t>
      </w:r>
    </w:p>
    <w:p w14:paraId="AA01EAF3">
      <w:pPr>
        <w:pStyle w:val="style0"/>
        <w:rPr/>
      </w:pPr>
      <w:r>
        <w:t>GF-SSOT-002 ist fachlich mit DEC-032 und REQ-SSOT-006 entschieden und mit CHG-0031 in die verbindliche Governance übernommen. Die Regel verhindert Scheingenauigkeit: as_of bestätigt Zugehörigkeit am Stichtag, ist aber kein historischer Beginn. DOC-REG-001 Stand 3.9 war zum damaligen Freigabezeitpunkt die aktuelle Registerfassung; aktuell maßgeblich ist Stand 4.1.</w:t>
      </w:r>
    </w:p>
    <w:p>
      <w:pPr>
        <w:pStyle w:val="style1"/>
      </w:pPr>
      <w:r>
        <w:t>13. Fortschreibungsvermerk GF-SSOT-003</w:t>
      </w:r>
    </w:p>
    <w:p>
      <w:pPr/>
      <w:r>
        <w:t>GF-SSOT-003 ist fachlich mit DEC-033 und REQ-SSOT-007 entschieden und mit CHG-0032 in die verbindliche Governance übernommen. OUTSIDE_BUNDESLIGA ist eine positiv belegte negative Stichtagsaussage, keine fehlende Vereinszuordnung: Bei erfüllten übrigen SSOT-Voraussetzungen darf der Spieler am bestätigten Stichtag SSOT_PROCESSABLE bleiben; Monitoring leitet davon getrennt INELIGIBLE mit NOT_CURRENTLY_BUNDESLIGA_ASSIGNABLE ab. CHG-0032 wurde seinerzeit in DOC-REG-001 Stand 4.0 registriert; aktuell maßgeblich ist Stand 4.1.</w:t>
      </w:r>
    </w:p>
    <w:p>
      <w:pPr>
        <w:pStyle w:val="style1"/>
      </w:pPr>
      <w:r>
        <w:t>14. Fortschreibungsvermerk MS2-STRATEGY / DEC-034</w:t>
      </w:r>
    </w:p>
    <w:p>
      <w:r>
        <w:t>Die Grundsatzentscheidung zur strategischen Fortsetzung von MS2 nach dem datenlimitierten Mathias-/GW2-W3.2-Pilot ist mit DEC-034 beschlossen und mit CHG-0033 governance-seitig integriert. CURRENT_GW2 ist als CLOSED_DATA_LIMITED historisch abgeschlossen. Die Fortsetzung folgt A_CURRENT_RUN → C_BOUNDED_SOURCE_CHECK → B_NEW_PILOT → D_ONLY_BY_NEW_DECISION. DOC-016 v0.3 operationalisiert Start-/Stop-Regeln und die Blockade von W3.3/W3.4 bis zu einem regulär validen W3.2-/G5-Zustand. DOC-015 v0.8 bleibt unverändert; es wurde keine neue REQ oder CON erzeugt. DOC-REG-001 Stand 4.1 ist die aktuelle verbindliche Registerfassung.</w:t>
      </w:r>
    </w:p>
    <w:sectPr>
      <w:pgSz w:w="16834" w:h="11909" w:orient="landscape"/>
      <w:pgMar w:top="648" w:right="547" w:bottom="648" w:left="5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rial" w:hAnsi="Arial"/>
      <w:sz w:val="18"/>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0f20520e-2b80-4b4f-b884-c700baf32975"/>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88ad0d0a-eab0-4714-b18f-9d9674a467d9"/>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2"/>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sz w:val="20"/>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59f9b837-7992-4618-8bd1-b78e28240ca5"/>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060bdc5a-1f02-4946-9598-2eff6ae92072"/>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73e69c5b-2ded-4c12-be43-5de2dc4307c0"/>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40"/>
      <w:szCs w:val="52"/>
    </w:rPr>
  </w:style>
  <w:style w:type="character" w:customStyle="1" w:styleId="style4102">
    <w:name w:val="Title Char_9e5aba36-8e05-4c56-a283-357fddc74631"/>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2db5736c-f316-4dd1-b21d-1fedb092bbf2"/>
    <w:basedOn w:val="style65"/>
    <w:next w:val="style4108"/>
    <w:link w:val="style180"/>
    <w:uiPriority w:val="29"/>
    <w:rPr>
      <w:i/>
      <w:iCs/>
      <w:color w:val="000000"/>
    </w:rPr>
  </w:style>
  <w:style w:type="character" w:customStyle="1" w:styleId="style4109">
    <w:name w:val="Heading 4 Char_6da08c57-43ca-45e8-8732-9be58526629f"/>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eefc7cfd-7c0f-4892-b6ce-d8fdd00ef9b1"/>
    <w:basedOn w:val="style65"/>
    <w:next w:val="style4110"/>
    <w:link w:val="style5"/>
    <w:uiPriority w:val="9"/>
    <w:rPr>
      <w:rFonts w:ascii="Calibri" w:cs="宋体" w:eastAsia="ＭＳ ゴシック" w:hAnsi="Calibri"/>
      <w:color w:val="243f60"/>
    </w:rPr>
  </w:style>
  <w:style w:type="character" w:customStyle="1" w:styleId="style4111">
    <w:name w:val="Heading 6 Char_6c719e80-c0a5-4f7c-bbd8-b21f73aa4a87"/>
    <w:basedOn w:val="style65"/>
    <w:next w:val="style4111"/>
    <w:link w:val="style6"/>
    <w:uiPriority w:val="9"/>
    <w:rPr>
      <w:rFonts w:ascii="Calibri" w:cs="宋体" w:eastAsia="ＭＳ ゴシック" w:hAnsi="Calibri"/>
      <w:i/>
      <w:iCs/>
      <w:color w:val="243f60"/>
    </w:rPr>
  </w:style>
  <w:style w:type="character" w:customStyle="1" w:styleId="style4112">
    <w:name w:val="Heading 7 Char_13f10bda-61f0-4eb4-821e-5bfe2bfb830d"/>
    <w:basedOn w:val="style65"/>
    <w:next w:val="style4112"/>
    <w:link w:val="style7"/>
    <w:uiPriority w:val="9"/>
    <w:rPr>
      <w:rFonts w:ascii="Calibri" w:cs="宋体" w:eastAsia="ＭＳ ゴシック" w:hAnsi="Calibri"/>
      <w:i/>
      <w:iCs/>
      <w:color w:val="404040"/>
    </w:rPr>
  </w:style>
  <w:style w:type="character" w:customStyle="1" w:styleId="style4113">
    <w:name w:val="Heading 8 Char_6bbe50d2-cc46-402f-befe-df7d40d3c1e0"/>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677c952b-339c-47a0-9615-8bc8723886f1"/>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c3c0634b-1c25-4a90-83fa-7c7184e4049a"/>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12217</Words>
  <Pages>1</Pages>
  <Characters>102625</Characters>
  <Application>WPS Office</Application>
  <DocSecurity>0</DocSecurity>
  <Paragraphs>1798</Paragraphs>
  <ScaleCrop>false</ScaleCrop>
  <LinksUpToDate>false</LinksUpToDate>
  <CharactersWithSpaces>113310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2026-09-05T22:55:10Z</dcterms:created>
  <dc:creator>python-docx</dc:creator>
  <dc:description>generated by python-docx</dc:description>
  <lastModifiedBy>SM-A556B</lastModifiedBy>
  <dcterms:modified xsi:type="dcterms:W3CDTF">2026-09-05T22:55:10Z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7d3276cd38d04e10be2be198f0644a6c_23</vt:lpwstr>
  </property>
</Properties>
</file>