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MS1 – Formales Abnahmeprotokoll</w:t>
      </w:r>
    </w:p>
    <w:p>
      <w:pPr>
        <w:jc w:val="center"/>
      </w:pPr>
      <w:r>
        <w:rPr>
          <w:b/>
          <w:sz w:val="22"/>
        </w:rPr>
        <w:t>Bundesliga-Managerspiel-Monitoring 2026/27 | Welle 8 | Projektsteuerung</w:t>
      </w:r>
    </w:p>
    <w:tbl>
      <w:tblPr>
        <w:tblStyle w:val="TableGrid"/>
        <w:tblW w:type="auto" w:w="0"/>
        <w:jc w:val="center"/>
        <w:tblLook w:firstColumn="1" w:firstRow="1" w:lastColumn="0" w:lastRow="0" w:noHBand="0" w:noVBand="1" w:val="04A0"/>
      </w:tblPr>
      <w:tblGrid>
        <w:gridCol w:w="5156"/>
        <w:gridCol w:w="5156"/>
      </w:tblGrid>
      <w:tr>
        <w:tc>
          <w:tcPr>
            <w:tcW w:type="dxa" w:w="5156"/>
            <w:shd w:fill="E7E6E6"/>
            <w:tcMar>
              <w:top w:w="60" w:type="dxa"/>
              <w:start w:w="60" w:type="dxa"/>
              <w:bottom w:w="60" w:type="dxa"/>
              <w:end w:w="60" w:type="dxa"/>
            </w:tcMar>
          </w:tcPr>
          <w:p>
            <w:r>
              <w:rPr>
                <w:b/>
              </w:rPr>
              <w:t>Dokument-ID</w:t>
            </w:r>
          </w:p>
        </w:tc>
        <w:tc>
          <w:tcPr>
            <w:tcW w:type="dxa" w:w="5156"/>
            <w:tcMar>
              <w:top w:w="60" w:type="dxa"/>
              <w:start w:w="60" w:type="dxa"/>
              <w:bottom w:w="60" w:type="dxa"/>
              <w:end w:w="60" w:type="dxa"/>
            </w:tcMar>
          </w:tcPr>
          <w:p>
            <w:r>
              <w:t>DOC-013</w:t>
            </w:r>
          </w:p>
        </w:tc>
      </w:tr>
      <w:tr>
        <w:tc>
          <w:tcPr>
            <w:tcW w:type="dxa" w:w="5156"/>
            <w:shd w:fill="E7E6E6"/>
            <w:tcMar>
              <w:top w:w="60" w:type="dxa"/>
              <w:start w:w="60" w:type="dxa"/>
              <w:bottom w:w="60" w:type="dxa"/>
              <w:end w:w="60" w:type="dxa"/>
            </w:tcMar>
          </w:tcPr>
          <w:p>
            <w:r>
              <w:rPr>
                <w:b/>
              </w:rPr>
              <w:t>Version / Stand</w:t>
            </w:r>
          </w:p>
        </w:tc>
        <w:tc>
          <w:tcPr>
            <w:tcW w:type="dxa" w:w="5156"/>
            <w:tcMar>
              <w:top w:w="60" w:type="dxa"/>
              <w:start w:w="60" w:type="dxa"/>
              <w:bottom w:w="60" w:type="dxa"/>
              <w:end w:w="60" w:type="dxa"/>
            </w:tcMar>
          </w:tcPr>
          <w:p>
            <w:r>
              <w:t>0.1 / 08.08.2026</w:t>
            </w:r>
          </w:p>
        </w:tc>
      </w:tr>
      <w:tr>
        <w:tc>
          <w:tcPr>
            <w:tcW w:type="dxa" w:w="5156"/>
            <w:shd w:fill="E7E6E6"/>
            <w:tcMar>
              <w:top w:w="60" w:type="dxa"/>
              <w:start w:w="60" w:type="dxa"/>
              <w:bottom w:w="60" w:type="dxa"/>
              <w:end w:w="60" w:type="dxa"/>
            </w:tcMar>
          </w:tcPr>
          <w:p>
            <w:r>
              <w:rPr>
                <w:b/>
              </w:rPr>
              <w:t>Milestone</w:t>
            </w:r>
          </w:p>
        </w:tc>
        <w:tc>
          <w:tcPr>
            <w:tcW w:type="dxa" w:w="5156"/>
            <w:tcMar>
              <w:top w:w="60" w:type="dxa"/>
              <w:start w:w="60" w:type="dxa"/>
              <w:bottom w:w="60" w:type="dxa"/>
              <w:end w:w="60" w:type="dxa"/>
            </w:tcMar>
          </w:tcPr>
          <w:p>
            <w:r>
              <w:t>MS1 – Festlegung von Datenmodell und Dateistruktur</w:t>
            </w:r>
          </w:p>
        </w:tc>
      </w:tr>
      <w:tr>
        <w:tc>
          <w:tcPr>
            <w:tcW w:type="dxa" w:w="5156"/>
            <w:shd w:fill="E7E6E6"/>
            <w:tcMar>
              <w:top w:w="60" w:type="dxa"/>
              <w:start w:w="60" w:type="dxa"/>
              <w:bottom w:w="60" w:type="dxa"/>
              <w:end w:w="60" w:type="dxa"/>
            </w:tcMar>
          </w:tcPr>
          <w:p>
            <w:r>
              <w:rPr>
                <w:b/>
              </w:rPr>
              <w:t>Status</w:t>
            </w:r>
          </w:p>
        </w:tc>
        <w:tc>
          <w:tcPr>
            <w:tcW w:type="dxa" w:w="5156"/>
            <w:tcMar>
              <w:top w:w="60" w:type="dxa"/>
              <w:start w:w="60" w:type="dxa"/>
              <w:bottom w:w="60" w:type="dxa"/>
              <w:end w:w="60" w:type="dxa"/>
            </w:tcMar>
          </w:tcPr>
          <w:p>
            <w:r>
              <w:t>ABGENOMMEN – MS1 ERREICHT</w:t>
            </w:r>
          </w:p>
        </w:tc>
      </w:tr>
      <w:tr>
        <w:tc>
          <w:tcPr>
            <w:tcW w:type="dxa" w:w="5156"/>
            <w:shd w:fill="E7E6E6"/>
            <w:tcMar>
              <w:top w:w="60" w:type="dxa"/>
              <w:start w:w="60" w:type="dxa"/>
              <w:bottom w:w="60" w:type="dxa"/>
              <w:end w:w="60" w:type="dxa"/>
            </w:tcMar>
          </w:tcPr>
          <w:p>
            <w:r>
              <w:rPr>
                <w:b/>
              </w:rPr>
              <w:t>Zuständigkeit</w:t>
            </w:r>
          </w:p>
        </w:tc>
        <w:tc>
          <w:tcPr>
            <w:tcW w:type="dxa" w:w="5156"/>
            <w:tcMar>
              <w:top w:w="60" w:type="dxa"/>
              <w:start w:w="60" w:type="dxa"/>
              <w:bottom w:w="60" w:type="dxa"/>
              <w:end w:w="60" w:type="dxa"/>
            </w:tcMar>
          </w:tcPr>
          <w:p>
            <w:r>
              <w:t>Projektsteuerung und Integrationsmanagement</w:t>
            </w:r>
          </w:p>
        </w:tc>
      </w:tr>
      <w:tr>
        <w:tc>
          <w:tcPr>
            <w:tcW w:type="dxa" w:w="5156"/>
            <w:shd w:fill="E7E6E6"/>
            <w:tcMar>
              <w:top w:w="60" w:type="dxa"/>
              <w:start w:w="60" w:type="dxa"/>
              <w:bottom w:w="60" w:type="dxa"/>
              <w:end w:w="60" w:type="dxa"/>
            </w:tcMar>
          </w:tcPr>
          <w:p>
            <w:r>
              <w:rPr>
                <w:b/>
              </w:rPr>
              <w:t>Abgrenzung</w:t>
            </w:r>
          </w:p>
        </w:tc>
        <w:tc>
          <w:tcPr>
            <w:tcW w:type="dxa" w:w="5156"/>
            <w:tcMar>
              <w:top w:w="60" w:type="dxa"/>
              <w:start w:w="60" w:type="dxa"/>
              <w:bottom w:w="60" w:type="dxa"/>
              <w:end w:w="60" w:type="dxa"/>
            </w:tcMar>
          </w:tcPr>
          <w:p>
            <w:r>
              <w:t>Formale Milestone-Abnahme; keine Quellenkonsolidierung oder Archivierung in diesem Schritt.</w:t>
            </w:r>
          </w:p>
        </w:tc>
      </w:tr>
    </w:tbl>
    <w:p>
      <w:pPr>
        <w:pStyle w:val="Heading1"/>
      </w:pPr>
      <w:r>
        <w:t>1. Grundlage und Verbindlichkeitsprüfung</w:t>
      </w:r>
    </w:p>
    <w:p>
      <w:r>
        <w:t>Vor der Abnahme wurde DOC-REG-001 Stand 3.0 als verbindliches Dokumentenregister geprüft. Die Abnahme stützt sich auf die dort als aktuell ausgewiesenen Fachquellen DOC-001 bis DOC-012. Die Welle-7-Lieferungen „Projektdokumentation MS1“ v0.4 und „Regeltechnische Konsolidierung MS1“ v0.1 werden als versionierte Abnahmenachweise verwendet, jedoch in diesem Schritt nicht als zusätzliche dauerhafte Projektquellen registriert.</w:t>
      </w:r>
    </w:p>
    <w:p>
      <w:r>
        <w:t>Festgestellte Governance-Abweichung: DOC-REG-001 Stand 3.0 weist DOC-004 noch als v0.20 aus, obwohl nach Abschluss von Welle 6 bereits eine nicht registrierte v0.21 vorlag. Für die Abnahme wurde deshalb weiterhin v0.20 als verbindliche Ausgangsbasis behandelt. Die Registerfortschreibung dieses Abnahmeschritts behebt die Lücke durch eine neue DOC-004-Fassung v0.22, die CHG-0022 und CHG-0023 vollständig enthält.</w:t>
      </w:r>
    </w:p>
    <w:p>
      <w:pPr>
        <w:pStyle w:val="Heading1"/>
      </w:pPr>
      <w:r>
        <w:t>2. Abnahmemaßstab</w:t>
      </w:r>
    </w:p>
    <w:p>
      <w:r>
        <w:t>Nach DOC-006 ist MS1 erreicht, wenn ein gemeinsames, widerspruchsfreies und versionierbares Sollkonzept für Datenobjekte, Schlüssel, Beziehungen, Dateigrenzen, Zuständigkeiten, Statusmodelle und Datenflüsse vorliegt und die anschließende Umsetzung ohne stillschweigende fachliche Annahmen beginnen kann. Vollständige technische Implementierung, produktiver Quellenzugriff, endgültige Modellgewichtungen, abgeschlossene Pilotmessung und vollständige Testausführung sind ausdrücklich nicht Voraussetzung von MS1.</w:t>
      </w:r>
    </w:p>
    <w:p>
      <w:pPr>
        <w:pStyle w:val="Heading1"/>
      </w:pPr>
      <w:r>
        <w:t>3. Abnahme MS1-K01 bis MS1-K15</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D9EAF7"/>
          </w:tcPr>
          <w:p>
            <w:r>
              <w:rPr>
                <w:b/>
                <w:sz w:val="16"/>
              </w:rPr>
              <w:t>ID</w:t>
            </w:r>
          </w:p>
        </w:tc>
        <w:tc>
          <w:tcPr>
            <w:tcW w:type="dxa" w:w="2062"/>
            <w:shd w:fill="D9EAF7"/>
          </w:tcPr>
          <w:p>
            <w:r>
              <w:rPr>
                <w:b/>
                <w:sz w:val="16"/>
              </w:rPr>
              <w:t>Kriterium</w:t>
            </w:r>
          </w:p>
        </w:tc>
        <w:tc>
          <w:tcPr>
            <w:tcW w:type="dxa" w:w="2062"/>
            <w:shd w:fill="D9EAF7"/>
          </w:tcPr>
          <w:p>
            <w:r>
              <w:rPr>
                <w:b/>
                <w:sz w:val="16"/>
              </w:rPr>
              <w:t>Nachweis</w:t>
            </w:r>
          </w:p>
        </w:tc>
        <w:tc>
          <w:tcPr>
            <w:tcW w:type="dxa" w:w="2062"/>
            <w:shd w:fill="D9EAF7"/>
          </w:tcPr>
          <w:p>
            <w:r>
              <w:rPr>
                <w:b/>
                <w:sz w:val="16"/>
              </w:rPr>
              <w:t>Restabhängigkeit</w:t>
            </w:r>
          </w:p>
        </w:tc>
        <w:tc>
          <w:tcPr>
            <w:tcW w:type="dxa" w:w="2062"/>
            <w:shd w:fill="D9EAF7"/>
          </w:tcPr>
          <w:p>
            <w:r>
              <w:rPr>
                <w:b/>
                <w:sz w:val="16"/>
              </w:rPr>
              <w:t>Urteil</w:t>
            </w:r>
          </w:p>
        </w:tc>
      </w:tr>
      <w:tr>
        <w:tc>
          <w:tcPr>
            <w:tcW w:type="dxa" w:w="2062"/>
            <w:tcMar>
              <w:top w:w="45" w:type="dxa"/>
              <w:start w:w="45" w:type="dxa"/>
              <w:bottom w:w="45" w:type="dxa"/>
              <w:end w:w="45" w:type="dxa"/>
            </w:tcMar>
            <w:vAlign w:val="center"/>
          </w:tcPr>
          <w:p>
            <w:r>
              <w:rPr>
                <w:sz w:val="16"/>
              </w:rPr>
              <w:t>MS1-K01</w:t>
            </w:r>
          </w:p>
        </w:tc>
        <w:tc>
          <w:tcPr>
            <w:tcW w:type="dxa" w:w="2062"/>
            <w:tcMar>
              <w:top w:w="45" w:type="dxa"/>
              <w:start w:w="45" w:type="dxa"/>
              <w:bottom w:w="45" w:type="dxa"/>
              <w:end w:w="45" w:type="dxa"/>
            </w:tcMar>
            <w:vAlign w:val="center"/>
          </w:tcPr>
          <w:p>
            <w:r>
              <w:rPr>
                <w:sz w:val="16"/>
              </w:rPr>
              <w:t>Vollständiges fachliches Datenobjektmodell</w:t>
            </w:r>
          </w:p>
        </w:tc>
        <w:tc>
          <w:tcPr>
            <w:tcW w:type="dxa" w:w="2062"/>
            <w:tcMar>
              <w:top w:w="45" w:type="dxa"/>
              <w:start w:w="45" w:type="dxa"/>
              <w:bottom w:w="45" w:type="dxa"/>
              <w:end w:w="45" w:type="dxa"/>
            </w:tcMar>
            <w:vAlign w:val="center"/>
          </w:tcPr>
          <w:p>
            <w:r>
              <w:rPr>
                <w:sz w:val="16"/>
              </w:rPr>
              <w:t>DOC-008/009/010; ergänzt durch DOC-007/011/012 und W7-Projektdokumentation v0.4.</w:t>
            </w:r>
          </w:p>
        </w:tc>
        <w:tc>
          <w:tcPr>
            <w:tcW w:type="dxa" w:w="2062"/>
            <w:tcMar>
              <w:top w:w="45" w:type="dxa"/>
              <w:start w:w="45" w:type="dxa"/>
              <w:bottom w:w="45" w:type="dxa"/>
              <w:end w:w="45" w:type="dxa"/>
            </w:tcMar>
            <w:vAlign w:val="center"/>
          </w:tcPr>
          <w:p>
            <w:r>
              <w:rPr>
                <w:sz w:val="16"/>
              </w:rPr>
              <w:t>Keine fachliche Restlücke.</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MS1-K02</w:t>
            </w:r>
          </w:p>
        </w:tc>
        <w:tc>
          <w:tcPr>
            <w:tcW w:type="dxa" w:w="2062"/>
            <w:tcMar>
              <w:top w:w="45" w:type="dxa"/>
              <w:start w:w="45" w:type="dxa"/>
              <w:bottom w:w="45" w:type="dxa"/>
              <w:end w:w="45" w:type="dxa"/>
            </w:tcMar>
            <w:vAlign w:val="center"/>
          </w:tcPr>
          <w:p>
            <w:r>
              <w:rPr>
                <w:sz w:val="16"/>
              </w:rPr>
              <w:t>Eindeutige Identifikatoren und Beziehungen</w:t>
            </w:r>
          </w:p>
        </w:tc>
        <w:tc>
          <w:tcPr>
            <w:tcW w:type="dxa" w:w="2062"/>
            <w:tcMar>
              <w:top w:w="45" w:type="dxa"/>
              <w:start w:w="45" w:type="dxa"/>
              <w:bottom w:w="45" w:type="dxa"/>
              <w:end w:w="45" w:type="dxa"/>
            </w:tcMar>
            <w:vAlign w:val="center"/>
          </w:tcPr>
          <w:p>
            <w:r>
              <w:rPr>
                <w:sz w:val="16"/>
              </w:rPr>
              <w:t>DOC-008/009/010/011; player_id, club_id, Saison-, Spieltags-, Match-, Teilnehmer-, Snapshot- und Versionsbezüge.</w:t>
            </w:r>
          </w:p>
        </w:tc>
        <w:tc>
          <w:tcPr>
            <w:tcW w:type="dxa" w:w="2062"/>
            <w:tcMar>
              <w:top w:w="45" w:type="dxa"/>
              <w:start w:w="45" w:type="dxa"/>
              <w:bottom w:w="45" w:type="dxa"/>
              <w:end w:w="45" w:type="dxa"/>
            </w:tcMar>
            <w:vAlign w:val="center"/>
          </w:tcPr>
          <w:p>
            <w:r>
              <w:rPr>
                <w:sz w:val="16"/>
              </w:rPr>
              <w:t>T-RD-01/02 nur technische Pilotdetails.</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MS1-K03</w:t>
            </w:r>
          </w:p>
        </w:tc>
        <w:tc>
          <w:tcPr>
            <w:tcW w:type="dxa" w:w="2062"/>
            <w:tcMar>
              <w:top w:w="45" w:type="dxa"/>
              <w:start w:w="45" w:type="dxa"/>
              <w:bottom w:w="45" w:type="dxa"/>
              <w:end w:w="45" w:type="dxa"/>
            </w:tcMar>
            <w:vAlign w:val="center"/>
          </w:tcPr>
          <w:p>
            <w:r>
              <w:rPr>
                <w:sz w:val="16"/>
              </w:rPr>
              <w:t>Trennung der Datenschichten</w:t>
            </w:r>
          </w:p>
        </w:tc>
        <w:tc>
          <w:tcPr>
            <w:tcW w:type="dxa" w:w="2062"/>
            <w:tcMar>
              <w:top w:w="45" w:type="dxa"/>
              <w:start w:w="45" w:type="dxa"/>
              <w:bottom w:w="45" w:type="dxa"/>
              <w:end w:w="45" w:type="dxa"/>
            </w:tcMar>
            <w:vAlign w:val="center"/>
          </w:tcPr>
          <w:p>
            <w:r>
              <w:rPr>
                <w:sz w:val="16"/>
              </w:rPr>
              <w:t>DOC-011: Rohdaten → Mapping/Prüfung → SSOT → Monitoring → Snapshot/Evaluation; DOC-012 kontrolliert die Übergänge.</w:t>
            </w:r>
          </w:p>
        </w:tc>
        <w:tc>
          <w:tcPr>
            <w:tcW w:type="dxa" w:w="2062"/>
            <w:tcMar>
              <w:top w:w="45" w:type="dxa"/>
              <w:start w:w="45" w:type="dxa"/>
              <w:bottom w:w="45" w:type="dxa"/>
              <w:end w:w="45" w:type="dxa"/>
            </w:tcMar>
            <w:vAlign w:val="center"/>
          </w:tcPr>
          <w:p>
            <w:r>
              <w:rPr>
                <w:sz w:val="16"/>
              </w:rPr>
              <w:t>Keine.</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MS1-K04</w:t>
            </w:r>
          </w:p>
        </w:tc>
        <w:tc>
          <w:tcPr>
            <w:tcW w:type="dxa" w:w="2062"/>
            <w:tcMar>
              <w:top w:w="45" w:type="dxa"/>
              <w:start w:w="45" w:type="dxa"/>
              <w:bottom w:w="45" w:type="dxa"/>
              <w:end w:w="45" w:type="dxa"/>
            </w:tcMar>
            <w:vAlign w:val="center"/>
          </w:tcPr>
          <w:p>
            <w:r>
              <w:rPr>
                <w:sz w:val="16"/>
              </w:rPr>
              <w:t>Festgelegte Dateistruktur</w:t>
            </w:r>
          </w:p>
        </w:tc>
        <w:tc>
          <w:tcPr>
            <w:tcW w:type="dxa" w:w="2062"/>
            <w:tcMar>
              <w:top w:w="45" w:type="dxa"/>
              <w:start w:w="45" w:type="dxa"/>
              <w:bottom w:w="45" w:type="dxa"/>
              <w:end w:w="45" w:type="dxa"/>
            </w:tcMar>
            <w:vAlign w:val="center"/>
          </w:tcPr>
          <w:p>
            <w:r>
              <w:rPr>
                <w:sz w:val="16"/>
              </w:rPr>
              <w:t>DOC-006 sowie Artefakt-/Dateistruktur in W7-Projektdokumentation v0.4; Rollen, Übergaben und Historisierung festgelegt.</w:t>
            </w:r>
          </w:p>
        </w:tc>
        <w:tc>
          <w:tcPr>
            <w:tcW w:type="dxa" w:w="2062"/>
            <w:tcMar>
              <w:top w:w="45" w:type="dxa"/>
              <w:start w:w="45" w:type="dxa"/>
              <w:bottom w:w="45" w:type="dxa"/>
              <w:end w:w="45" w:type="dxa"/>
            </w:tcMar>
            <w:vAlign w:val="center"/>
          </w:tcPr>
          <w:p>
            <w:r>
              <w:rPr>
                <w:sz w:val="16"/>
              </w:rPr>
              <w:t>Physische Datei-/DB- und ACL-Umsetzung später.</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MS1-K05</w:t>
            </w:r>
          </w:p>
        </w:tc>
        <w:tc>
          <w:tcPr>
            <w:tcW w:type="dxa" w:w="2062"/>
            <w:tcMar>
              <w:top w:w="45" w:type="dxa"/>
              <w:start w:w="45" w:type="dxa"/>
              <w:bottom w:w="45" w:type="dxa"/>
              <w:end w:w="45" w:type="dxa"/>
            </w:tcMar>
            <w:vAlign w:val="center"/>
          </w:tcPr>
          <w:p>
            <w:r>
              <w:rPr>
                <w:sz w:val="16"/>
              </w:rPr>
              <w:t>Quellenneutrales Importmodell</w:t>
            </w:r>
          </w:p>
        </w:tc>
        <w:tc>
          <w:tcPr>
            <w:tcW w:type="dxa" w:w="2062"/>
            <w:tcMar>
              <w:top w:w="45" w:type="dxa"/>
              <w:start w:w="45" w:type="dxa"/>
              <w:bottom w:w="45" w:type="dxa"/>
              <w:end w:w="45" w:type="dxa"/>
            </w:tcMar>
            <w:vAlign w:val="center"/>
          </w:tcPr>
          <w:p>
            <w:r>
              <w:rPr>
                <w:sz w:val="16"/>
              </w:rPr>
              <w:t>DOC-010/011/012: Import-Envelope, Mapping, Fallback und manuelle/teilautomatische/automatische Wege.</w:t>
            </w:r>
          </w:p>
        </w:tc>
        <w:tc>
          <w:tcPr>
            <w:tcW w:type="dxa" w:w="2062"/>
            <w:tcMar>
              <w:top w:w="45" w:type="dxa"/>
              <w:start w:w="45" w:type="dxa"/>
              <w:bottom w:w="45" w:type="dxa"/>
              <w:end w:w="45" w:type="dxa"/>
            </w:tcMar>
            <w:vAlign w:val="center"/>
          </w:tcPr>
          <w:p>
            <w:r>
              <w:rPr>
                <w:sz w:val="16"/>
              </w:rPr>
              <w:t>CON-002 und T-RD-01/02 vor Produktivbetrieb.</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MS1-K06</w:t>
            </w:r>
          </w:p>
        </w:tc>
        <w:tc>
          <w:tcPr>
            <w:tcW w:type="dxa" w:w="2062"/>
            <w:tcMar>
              <w:top w:w="45" w:type="dxa"/>
              <w:start w:w="45" w:type="dxa"/>
              <w:bottom w:w="45" w:type="dxa"/>
              <w:end w:w="45" w:type="dxa"/>
            </w:tcMar>
            <w:vAlign w:val="center"/>
          </w:tcPr>
          <w:p>
            <w:r>
              <w:rPr>
                <w:sz w:val="16"/>
              </w:rPr>
              <w:t>Fehl- und Statusmodell</w:t>
            </w:r>
          </w:p>
        </w:tc>
        <w:tc>
          <w:tcPr>
            <w:tcW w:type="dxa" w:w="2062"/>
            <w:tcMar>
              <w:top w:w="45" w:type="dxa"/>
              <w:start w:w="45" w:type="dxa"/>
              <w:bottom w:w="45" w:type="dxa"/>
              <w:end w:w="45" w:type="dxa"/>
            </w:tcMar>
            <w:vAlign w:val="center"/>
          </w:tcPr>
          <w:p>
            <w:r>
              <w:rPr>
                <w:sz w:val="16"/>
              </w:rPr>
              <w:t>DOC-008/009/010/011/012; getrennte Statusdimensionen und Missing-Semantik.</w:t>
            </w:r>
          </w:p>
        </w:tc>
        <w:tc>
          <w:tcPr>
            <w:tcW w:type="dxa" w:w="2062"/>
            <w:tcMar>
              <w:top w:w="45" w:type="dxa"/>
              <w:start w:w="45" w:type="dxa"/>
              <w:bottom w:w="45" w:type="dxa"/>
              <w:end w:w="45" w:type="dxa"/>
            </w:tcMar>
            <w:vAlign w:val="center"/>
          </w:tcPr>
          <w:p>
            <w:r>
              <w:rPr>
                <w:sz w:val="16"/>
              </w:rPr>
              <w:t>Keine.</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MS1-K07</w:t>
            </w:r>
          </w:p>
        </w:tc>
        <w:tc>
          <w:tcPr>
            <w:tcW w:type="dxa" w:w="2062"/>
            <w:tcMar>
              <w:top w:w="45" w:type="dxa"/>
              <w:start w:w="45" w:type="dxa"/>
              <w:bottom w:w="45" w:type="dxa"/>
              <w:end w:w="45" w:type="dxa"/>
            </w:tcMar>
            <w:vAlign w:val="center"/>
          </w:tcPr>
          <w:p>
            <w:r>
              <w:rPr>
                <w:sz w:val="16"/>
              </w:rPr>
              <w:t>Kritikalitäts- und Blockadelogik</w:t>
            </w:r>
          </w:p>
        </w:tc>
        <w:tc>
          <w:tcPr>
            <w:tcW w:type="dxa" w:w="2062"/>
            <w:tcMar>
              <w:top w:w="45" w:type="dxa"/>
              <w:start w:w="45" w:type="dxa"/>
              <w:bottom w:w="45" w:type="dxa"/>
              <w:end w:w="45" w:type="dxa"/>
            </w:tcMar>
            <w:vAlign w:val="center"/>
          </w:tcPr>
          <w:p>
            <w:r>
              <w:rPr>
                <w:sz w:val="16"/>
              </w:rPr>
              <w:t>DOC-012: Kritikalität, block_effect sowie G1–G7.</w:t>
            </w:r>
          </w:p>
        </w:tc>
        <w:tc>
          <w:tcPr>
            <w:tcW w:type="dxa" w:w="2062"/>
            <w:tcMar>
              <w:top w:w="45" w:type="dxa"/>
              <w:start w:w="45" w:type="dxa"/>
              <w:bottom w:w="45" w:type="dxa"/>
              <w:end w:w="45" w:type="dxa"/>
            </w:tcMar>
            <w:vAlign w:val="center"/>
          </w:tcPr>
          <w:p>
            <w:r>
              <w:rPr>
                <w:sz w:val="16"/>
              </w:rPr>
              <w:t>Technische Gate-Implementierung später.</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MS1-K08</w:t>
            </w:r>
          </w:p>
        </w:tc>
        <w:tc>
          <w:tcPr>
            <w:tcW w:type="dxa" w:w="2062"/>
            <w:tcMar>
              <w:top w:w="45" w:type="dxa"/>
              <w:start w:w="45" w:type="dxa"/>
              <w:bottom w:w="45" w:type="dxa"/>
              <w:end w:w="45" w:type="dxa"/>
            </w:tcMar>
            <w:vAlign w:val="center"/>
          </w:tcPr>
          <w:p>
            <w:r>
              <w:rPr>
                <w:sz w:val="16"/>
              </w:rPr>
              <w:t>Technische Abbildbarkeit Regelwerk</w:t>
            </w:r>
          </w:p>
        </w:tc>
        <w:tc>
          <w:tcPr>
            <w:tcW w:type="dxa" w:w="2062"/>
            <w:tcMar>
              <w:top w:w="45" w:type="dxa"/>
              <w:start w:w="45" w:type="dxa"/>
              <w:bottom w:w="45" w:type="dxa"/>
              <w:end w:w="45" w:type="dxa"/>
            </w:tcMar>
            <w:vAlign w:val="center"/>
          </w:tcPr>
          <w:p>
            <w:r>
              <w:rPr>
                <w:sz w:val="16"/>
              </w:rPr>
              <w:t>DOC-007/009/012; zusätzlich W7-Regelkonsolidierung v0.1 mit explizitem K08-Nachweis.</w:t>
            </w:r>
          </w:p>
        </w:tc>
        <w:tc>
          <w:tcPr>
            <w:tcW w:type="dxa" w:w="2062"/>
            <w:tcMar>
              <w:top w:w="45" w:type="dxa"/>
              <w:start w:w="45" w:type="dxa"/>
              <w:bottom w:w="45" w:type="dxa"/>
              <w:end w:w="45" w:type="dxa"/>
            </w:tcMar>
            <w:vAlign w:val="center"/>
          </w:tcPr>
          <w:p>
            <w:r>
              <w:rPr>
                <w:sz w:val="16"/>
              </w:rPr>
              <w:t>Technische Implementierung/Testausführung später.</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MS1-K09</w:t>
            </w:r>
          </w:p>
        </w:tc>
        <w:tc>
          <w:tcPr>
            <w:tcW w:type="dxa" w:w="2062"/>
            <w:tcMar>
              <w:top w:w="45" w:type="dxa"/>
              <w:start w:w="45" w:type="dxa"/>
              <w:bottom w:w="45" w:type="dxa"/>
              <w:end w:w="45" w:type="dxa"/>
            </w:tcMar>
            <w:vAlign w:val="center"/>
          </w:tcPr>
          <w:p>
            <w:r>
              <w:rPr>
                <w:sz w:val="16"/>
              </w:rPr>
              <w:t>Trennung Bewertungsdimensionen</w:t>
            </w:r>
          </w:p>
        </w:tc>
        <w:tc>
          <w:tcPr>
            <w:tcW w:type="dxa" w:w="2062"/>
            <w:tcMar>
              <w:top w:w="45" w:type="dxa"/>
              <w:start w:w="45" w:type="dxa"/>
              <w:bottom w:w="45" w:type="dxa"/>
              <w:end w:w="45" w:type="dxa"/>
            </w:tcMar>
            <w:vAlign w:val="center"/>
          </w:tcPr>
          <w:p>
            <w:r>
              <w:rPr>
                <w:sz w:val="16"/>
              </w:rPr>
              <w:t>DOC-009 trennt historisches Profil, Spieltagskontext/-prognose und aufstellungsabhängigen Variantenwert.</w:t>
            </w:r>
          </w:p>
        </w:tc>
        <w:tc>
          <w:tcPr>
            <w:tcW w:type="dxa" w:w="2062"/>
            <w:tcMar>
              <w:top w:w="45" w:type="dxa"/>
              <w:start w:w="45" w:type="dxa"/>
              <w:bottom w:w="45" w:type="dxa"/>
              <w:end w:w="45" w:type="dxa"/>
            </w:tcMar>
            <w:vAlign w:val="center"/>
          </w:tcPr>
          <w:p>
            <w:r>
              <w:rPr>
                <w:sz w:val="16"/>
              </w:rPr>
              <w:t>Konkrete Gewichtungen bewusst später.</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MS1-K10</w:t>
            </w:r>
          </w:p>
        </w:tc>
        <w:tc>
          <w:tcPr>
            <w:tcW w:type="dxa" w:w="2062"/>
            <w:tcMar>
              <w:top w:w="45" w:type="dxa"/>
              <w:start w:w="45" w:type="dxa"/>
              <w:bottom w:w="45" w:type="dxa"/>
              <w:end w:w="45" w:type="dxa"/>
            </w:tcMar>
            <w:vAlign w:val="center"/>
          </w:tcPr>
          <w:p>
            <w:r>
              <w:rPr>
                <w:sz w:val="16"/>
              </w:rPr>
              <w:t>Snapshot- und Versionsmodell</w:t>
            </w:r>
          </w:p>
        </w:tc>
        <w:tc>
          <w:tcPr>
            <w:tcW w:type="dxa" w:w="2062"/>
            <w:tcMar>
              <w:top w:w="45" w:type="dxa"/>
              <w:start w:w="45" w:type="dxa"/>
              <w:bottom w:w="45" w:type="dxa"/>
              <w:end w:w="45" w:type="dxa"/>
            </w:tcMar>
            <w:vAlign w:val="center"/>
          </w:tcPr>
          <w:p>
            <w:r>
              <w:rPr>
                <w:sz w:val="16"/>
              </w:rPr>
              <w:t>DOC-008/009/010/011/012: unveränderliche Snapshots, Version Context, Roh-/Mapping-/Ergebnishistorie.</w:t>
            </w:r>
          </w:p>
        </w:tc>
        <w:tc>
          <w:tcPr>
            <w:tcW w:type="dxa" w:w="2062"/>
            <w:tcMar>
              <w:top w:w="45" w:type="dxa"/>
              <w:start w:w="45" w:type="dxa"/>
              <w:bottom w:w="45" w:type="dxa"/>
              <w:end w:w="45" w:type="dxa"/>
            </w:tcMar>
            <w:vAlign w:val="center"/>
          </w:tcPr>
          <w:p>
            <w:r>
              <w:rPr>
                <w:sz w:val="16"/>
              </w:rPr>
              <w:t>Keine.</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MS1-K11</w:t>
            </w:r>
          </w:p>
        </w:tc>
        <w:tc>
          <w:tcPr>
            <w:tcW w:type="dxa" w:w="2062"/>
            <w:tcMar>
              <w:top w:w="45" w:type="dxa"/>
              <w:start w:w="45" w:type="dxa"/>
              <w:bottom w:w="45" w:type="dxa"/>
              <w:end w:w="45" w:type="dxa"/>
            </w:tcMar>
            <w:vAlign w:val="center"/>
          </w:tcPr>
          <w:p>
            <w:r>
              <w:rPr>
                <w:sz w:val="16"/>
              </w:rPr>
              <w:t>Trennung Modell, Diskussion, Entscheidung, Ergebnis</w:t>
            </w:r>
          </w:p>
        </w:tc>
        <w:tc>
          <w:tcPr>
            <w:tcW w:type="dxa" w:w="2062"/>
            <w:tcMar>
              <w:top w:w="45" w:type="dxa"/>
              <w:start w:w="45" w:type="dxa"/>
              <w:bottom w:w="45" w:type="dxa"/>
              <w:end w:w="45" w:type="dxa"/>
            </w:tcMar>
            <w:vAlign w:val="center"/>
          </w:tcPr>
          <w:p>
            <w:r>
              <w:rPr>
                <w:sz w:val="16"/>
              </w:rPr>
              <w:t>DOC-009/012 und W7-Regelkonsolidierung v0.1: Proposal, Release, Snapshot, Diskussion, Managerentscheidung, Override, Effective Lineup, Result und Evaluation getrennt.</w:t>
            </w:r>
          </w:p>
        </w:tc>
        <w:tc>
          <w:tcPr>
            <w:tcW w:type="dxa" w:w="2062"/>
            <w:tcMar>
              <w:top w:w="45" w:type="dxa"/>
              <w:start w:w="45" w:type="dxa"/>
              <w:bottom w:w="45" w:type="dxa"/>
              <w:end w:w="45" w:type="dxa"/>
            </w:tcMar>
            <w:vAlign w:val="center"/>
          </w:tcPr>
          <w:p>
            <w:r>
              <w:rPr>
                <w:sz w:val="16"/>
              </w:rPr>
              <w:t>Keine.</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MS1-K12</w:t>
            </w:r>
          </w:p>
        </w:tc>
        <w:tc>
          <w:tcPr>
            <w:tcW w:type="dxa" w:w="2062"/>
            <w:tcMar>
              <w:top w:w="45" w:type="dxa"/>
              <w:start w:w="45" w:type="dxa"/>
              <w:bottom w:w="45" w:type="dxa"/>
              <w:end w:w="45" w:type="dxa"/>
            </w:tcMar>
            <w:vAlign w:val="center"/>
          </w:tcPr>
          <w:p>
            <w:r>
              <w:rPr>
                <w:sz w:val="16"/>
              </w:rPr>
              <w:t>Definierte Fachbereichsschnittstellen</w:t>
            </w:r>
          </w:p>
        </w:tc>
        <w:tc>
          <w:tcPr>
            <w:tcW w:type="dxa" w:w="2062"/>
            <w:tcMar>
              <w:top w:w="45" w:type="dxa"/>
              <w:start w:w="45" w:type="dxa"/>
              <w:bottom w:w="45" w:type="dxa"/>
              <w:end w:w="45" w:type="dxa"/>
            </w:tcMar>
            <w:vAlign w:val="center"/>
          </w:tcPr>
          <w:p>
            <w:r>
              <w:rPr>
                <w:sz w:val="16"/>
              </w:rPr>
              <w:t>DOC-011 als integrierte Schnittstellenbasis; DOC-008/009/010/012 ergänzen Liefer-/Prüfverantwortung.</w:t>
            </w:r>
          </w:p>
        </w:tc>
        <w:tc>
          <w:tcPr>
            <w:tcW w:type="dxa" w:w="2062"/>
            <w:tcMar>
              <w:top w:w="45" w:type="dxa"/>
              <w:start w:w="45" w:type="dxa"/>
              <w:bottom w:w="45" w:type="dxa"/>
              <w:end w:w="45" w:type="dxa"/>
            </w:tcMar>
            <w:vAlign w:val="center"/>
          </w:tcPr>
          <w:p>
            <w:r>
              <w:rPr>
                <w:sz w:val="16"/>
              </w:rPr>
              <w:t>Keine.</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MS1-K13</w:t>
            </w:r>
          </w:p>
        </w:tc>
        <w:tc>
          <w:tcPr>
            <w:tcW w:type="dxa" w:w="2062"/>
            <w:tcMar>
              <w:top w:w="45" w:type="dxa"/>
              <w:start w:w="45" w:type="dxa"/>
              <w:bottom w:w="45" w:type="dxa"/>
              <w:end w:w="45" w:type="dxa"/>
            </w:tcMar>
            <w:vAlign w:val="center"/>
          </w:tcPr>
          <w:p>
            <w:r>
              <w:rPr>
                <w:sz w:val="16"/>
              </w:rPr>
              <w:t>Kontroll- und Freigabepunkte</w:t>
            </w:r>
          </w:p>
        </w:tc>
        <w:tc>
          <w:tcPr>
            <w:tcW w:type="dxa" w:w="2062"/>
            <w:tcMar>
              <w:top w:w="45" w:type="dxa"/>
              <w:start w:w="45" w:type="dxa"/>
              <w:bottom w:w="45" w:type="dxa"/>
              <w:end w:w="45" w:type="dxa"/>
            </w:tcMar>
            <w:vAlign w:val="center"/>
          </w:tcPr>
          <w:p>
            <w:r>
              <w:rPr>
                <w:sz w:val="16"/>
              </w:rPr>
              <w:t>DOC-012: K0–K7 und G1–G7.</w:t>
            </w:r>
          </w:p>
        </w:tc>
        <w:tc>
          <w:tcPr>
            <w:tcW w:type="dxa" w:w="2062"/>
            <w:tcMar>
              <w:top w:w="45" w:type="dxa"/>
              <w:start w:w="45" w:type="dxa"/>
              <w:bottom w:w="45" w:type="dxa"/>
              <w:end w:w="45" w:type="dxa"/>
            </w:tcMar>
            <w:vAlign w:val="center"/>
          </w:tcPr>
          <w:p>
            <w:r>
              <w:rPr>
                <w:sz w:val="16"/>
              </w:rPr>
              <w:t>Vollständige technische Testausführung später.</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MS1-K14</w:t>
            </w:r>
          </w:p>
        </w:tc>
        <w:tc>
          <w:tcPr>
            <w:tcW w:type="dxa" w:w="2062"/>
            <w:tcMar>
              <w:top w:w="45" w:type="dxa"/>
              <w:start w:w="45" w:type="dxa"/>
              <w:bottom w:w="45" w:type="dxa"/>
              <w:end w:w="45" w:type="dxa"/>
            </w:tcMar>
            <w:vAlign w:val="center"/>
          </w:tcPr>
          <w:p>
            <w:r>
              <w:rPr>
                <w:sz w:val="16"/>
              </w:rPr>
              <w:t>Quellen- und Nachweisdaten</w:t>
            </w:r>
          </w:p>
        </w:tc>
        <w:tc>
          <w:tcPr>
            <w:tcW w:type="dxa" w:w="2062"/>
            <w:tcMar>
              <w:top w:w="45" w:type="dxa"/>
              <w:start w:w="45" w:type="dxa"/>
              <w:bottom w:w="45" w:type="dxa"/>
              <w:end w:w="45" w:type="dxa"/>
            </w:tcMar>
            <w:vAlign w:val="center"/>
          </w:tcPr>
          <w:p>
            <w:r>
              <w:rPr>
                <w:sz w:val="16"/>
              </w:rPr>
              <w:t>DOC-010/011/012: source_reference, Rohwert-, Zeit-, Evidence- und Korrekturbezüge.</w:t>
            </w:r>
          </w:p>
        </w:tc>
        <w:tc>
          <w:tcPr>
            <w:tcW w:type="dxa" w:w="2062"/>
            <w:tcMar>
              <w:top w:w="45" w:type="dxa"/>
              <w:start w:w="45" w:type="dxa"/>
              <w:bottom w:w="45" w:type="dxa"/>
              <w:end w:w="45" w:type="dxa"/>
            </w:tcMar>
            <w:vAlign w:val="center"/>
          </w:tcPr>
          <w:p>
            <w:r>
              <w:rPr>
                <w:sz w:val="16"/>
              </w:rPr>
              <w:t>Produktive Quellenfreigabe bleibt quellenbezogen.</w:t>
            </w:r>
          </w:p>
        </w:tc>
        <w:tc>
          <w:tcPr>
            <w:tcW w:type="dxa" w:w="2062"/>
            <w:tcMar>
              <w:top w:w="45" w:type="dxa"/>
              <w:start w:w="45" w:type="dxa"/>
              <w:bottom w:w="45" w:type="dxa"/>
              <w:end w:w="45" w:type="dxa"/>
            </w:tcMar>
            <w:vAlign w:val="center"/>
          </w:tcPr>
          <w:p>
            <w:r>
              <w:rPr>
                <w:b/>
                <w:sz w:val="16"/>
              </w:rPr>
              <w:t>ERFÜLLT</w:t>
            </w:r>
          </w:p>
        </w:tc>
      </w:tr>
      <w:tr>
        <w:tc>
          <w:tcPr>
            <w:tcW w:type="dxa" w:w="2062"/>
            <w:tcMar>
              <w:top w:w="45" w:type="dxa"/>
              <w:start w:w="45" w:type="dxa"/>
              <w:bottom w:w="45" w:type="dxa"/>
              <w:end w:w="45" w:type="dxa"/>
            </w:tcMar>
            <w:vAlign w:val="center"/>
          </w:tcPr>
          <w:p>
            <w:r>
              <w:rPr>
                <w:sz w:val="16"/>
              </w:rPr>
              <w:t>MS1-K15</w:t>
            </w:r>
          </w:p>
        </w:tc>
        <w:tc>
          <w:tcPr>
            <w:tcW w:type="dxa" w:w="2062"/>
            <w:tcMar>
              <w:top w:w="45" w:type="dxa"/>
              <w:start w:w="45" w:type="dxa"/>
              <w:bottom w:w="45" w:type="dxa"/>
              <w:end w:w="45" w:type="dxa"/>
            </w:tcMar>
            <w:vAlign w:val="center"/>
          </w:tcPr>
          <w:p>
            <w:r>
              <w:rPr>
                <w:sz w:val="16"/>
              </w:rPr>
              <w:t>Konsistenz und Traceability</w:t>
            </w:r>
          </w:p>
        </w:tc>
        <w:tc>
          <w:tcPr>
            <w:tcW w:type="dxa" w:w="2062"/>
            <w:tcMar>
              <w:top w:w="45" w:type="dxa"/>
              <w:start w:w="45" w:type="dxa"/>
              <w:bottom w:w="45" w:type="dxa"/>
              <w:end w:w="45" w:type="dxa"/>
            </w:tcMar>
            <w:vAlign w:val="center"/>
          </w:tcPr>
          <w:p>
            <w:r>
              <w:rPr>
                <w:sz w:val="16"/>
              </w:rPr>
              <w:t>DOC-001/002/003/006/011/012 plus beide W7-Lieferungen; DEC-/REQ-/CON-/DOC-Bezüge wurden in W8 geprüft.</w:t>
            </w:r>
          </w:p>
        </w:tc>
        <w:tc>
          <w:tcPr>
            <w:tcW w:type="dxa" w:w="2062"/>
            <w:tcMar>
              <w:top w:w="45" w:type="dxa"/>
              <w:start w:w="45" w:type="dxa"/>
              <w:bottom w:w="45" w:type="dxa"/>
              <w:end w:w="45" w:type="dxa"/>
            </w:tcMar>
            <w:vAlign w:val="center"/>
          </w:tcPr>
          <w:p>
            <w:r>
              <w:rPr>
                <w:sz w:val="16"/>
              </w:rPr>
              <w:t>Keine MS1-blockierende Restlücke.</w:t>
            </w:r>
          </w:p>
        </w:tc>
        <w:tc>
          <w:tcPr>
            <w:tcW w:type="dxa" w:w="2062"/>
            <w:tcMar>
              <w:top w:w="45" w:type="dxa"/>
              <w:start w:w="45" w:type="dxa"/>
              <w:bottom w:w="45" w:type="dxa"/>
              <w:end w:w="45" w:type="dxa"/>
            </w:tcMar>
            <w:vAlign w:val="center"/>
          </w:tcPr>
          <w:p>
            <w:r>
              <w:rPr>
                <w:b/>
                <w:sz w:val="16"/>
              </w:rPr>
              <w:t>ERFÜLLT</w:t>
            </w:r>
          </w:p>
        </w:tc>
      </w:tr>
    </w:tbl>
    <w:p>
      <w:pPr>
        <w:pStyle w:val="Heading1"/>
      </w:pPr>
      <w:r>
        <w:t>4. Konflikt-, Anforderungs- und Grundsatzprüfung</w:t>
      </w:r>
    </w:p>
    <w:p>
      <w:r>
        <w:t>Offene Konflikte hoher Schwere blockieren MS1 nicht. CON-001 ist fachlich gelöst und verbleibt als technische Umsetzungs-/Testabhängigkeit; CON-002 bleibt eine Quellen-/Nutzungsabhängigkeit vor Produktivfreigabe; CON-005 bleibt eine Pilotabhängigkeit; CON-008 bleibt als dauerhafte Governancekontrolle aktiv. CON-003 und CON-004 sind fachlich gelöst, CON-006, CON-007 und CON-009 gelöst.</w:t>
      </w:r>
    </w:p>
    <w:p>
      <w:r>
        <w:t>Die im Anforderungsregister noch als „Offen“ geführten Anforderungen stehen der MS1-Abnahme nicht entgegen, soweit ihr Abnahmekriterium technische Implementierung, produktiven Import oder Testausführung voraussetzt. DOC-006 schließt diese Tätigkeiten ausdrücklich aus dem notwendigen MS1-Umfang aus; die fachlich-technische Spezifikation ist durch die Fachkonzepte und DOC-012 vollständig vorbereitet.</w:t>
      </w:r>
    </w:p>
    <w:p>
      <w:r>
        <w:t>Die Welle-7-Regelkonsolidierung identifiziert keine offene Managerspiel-Grundsatzfrage. Neue DEC-, REQ- oder CON-IDs sind für die MS1-Abnahme nicht erforderlich.</w:t>
      </w:r>
    </w:p>
    <w:p>
      <w:pPr>
        <w:pStyle w:val="Heading1"/>
      </w:pPr>
      <w:r>
        <w:t>5. Schnittstellen-, Zuständigkeits- und Versionsprüfung</w:t>
      </w:r>
    </w:p>
    <w:p>
      <w:r>
        <w:t>Die Übergaben Quelle → Rohdaten → Mapping/Prüfung → SSOT → Monitoring → Empfehlung/Snapshot → Managerentscheidung → wirksame Aufstellung → Ergebnis/Evaluation sind definiert und widerspruchsfrei.</w:t>
      </w:r>
    </w:p>
    <w:p>
      <w:r>
        <w:t>Datenhoheiten bleiben getrennt: Rohdaten erzeugen keine SSOT-Verbindlichkeit; SSOT bleibt Hoheit für dauerhafte Identität/Verein/Position; Monitoring verantwortet Teilnehmerkader, Eligibility und Spieltagslogik; Kontrollmechanismen prüfen, warnen und blockieren, korrigieren aber nicht still fachliche Werte.</w:t>
      </w:r>
    </w:p>
    <w:p>
      <w:r>
        <w:t>Statusräume, Zeitbezüge und Versionskontexte sind getrennt modelliert. Historische Snapshots und Korrekturketten bleiben reproduzierbar.</w:t>
      </w:r>
    </w:p>
    <w:p>
      <w:pPr>
        <w:pStyle w:val="Heading1"/>
      </w:pPr>
      <w:r>
        <w:t>6. Formales Abnahmeurteil</w:t>
      </w:r>
    </w:p>
    <w:p>
      <w:r>
        <w:rPr>
          <w:b/>
          <w:sz w:val="26"/>
        </w:rPr>
        <w:t>MS1 – FESTLEGUNG VON DATENMODELL UND DATEISTRUKTUR: ABGENOMMEN.</w:t>
      </w:r>
    </w:p>
    <w:p>
      <w:r>
        <w:t>Alle Kriterien MS1-K01 bis MS1-K15 sind erfüllt. Es besteht kein fachlicher oder hochschwerer Konflikt, der den Übergang in die Umsetzung blockiert. Die verbleibenden Abhängigkeiten betreffen produktive Quellenfreigabe, Pilotierung, technische Implementierung, Testausführung und dauerhafte Governance und sind gemäß DOC-006 zulässige Folgeaktivitäten.</w:t>
      </w:r>
    </w:p>
    <w:p>
      <w:r>
        <w:t>Die nach MS1 vorgesehene Quellenkonsolidierung wird ausdrücklich nicht mit dieser Abnahme durchgeführt. Sie ist ein gesonderter Folgeschritt und darf erst nach Inkrafttreten dieses Abnahmeprotokolls erfolgen.</w:t>
      </w:r>
    </w:p>
    <w:p>
      <w:pPr>
        <w:pStyle w:val="Heading1"/>
      </w:pPr>
      <w:r>
        <w:t>7. Registerwirkung dieses Abnahmeschritts</w:t>
      </w:r>
    </w:p>
    <w:p>
      <w:r>
        <w:t>Zur formalen Wirksamkeit der Abnahme werden ausschließlich folgende Governance-Artefakte fortgeschrieben:</w:t>
      </w:r>
    </w:p>
    <w:p>
      <w:pPr>
        <w:pStyle w:val="ListBullet"/>
      </w:pPr>
      <w:r>
        <w:t>DOC-004 Änderungsprotokoll → v0.22 (Nachholung CHG-0022 und Abnahme CHG-0023).</w:t>
      </w:r>
    </w:p>
    <w:p>
      <w:pPr>
        <w:pStyle w:val="ListBullet"/>
      </w:pPr>
      <w:r>
        <w:t>DOC-REG-001 Dokumentenregister → Stand 3.1.</w:t>
      </w:r>
    </w:p>
    <w:p>
      <w:pPr>
        <w:pStyle w:val="ListBullet"/>
      </w:pPr>
      <w:r>
        <w:t>DOC-013 MS1-Abnahmeprotokoll v0.1 wird als neue aktuelle Projektquelle registriert.</w:t>
      </w:r>
    </w:p>
    <w:p>
      <w:r>
        <w:t>DOC-001, DOC-002 und DOC-003 bleiben unverändert, da keine neue Entscheidung, Anforderung oder Konflikt-ID entsteht. Die beiden Welle-7-Lieferungen bleiben versionierte Abnahmenachweise und werden in diesem Schritt nicht als dauerhafte Projektquellen registriert.</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