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0"/>
        </w:rPr>
        <w:t>DOC-016 – Steuerungsdokument Milestone 2</w:t>
      </w:r>
    </w:p>
    <w:p>
      <w:pPr>
        <w:jc w:val="center"/>
      </w:pPr>
      <w:r>
        <w:rPr>
          <w:b/>
          <w:color w:val="1F4E78"/>
          <w:sz w:val="34"/>
        </w:rPr>
        <w:t>Umsetzung und Pilotierung</w:t>
      </w:r>
    </w:p>
    <w:p>
      <w:pPr>
        <w:spacing w:after="240"/>
        <w:jc w:val="center"/>
      </w:pPr>
      <w:r>
        <w:rPr>
          <w:b/>
          <w:color w:val="C00000"/>
          <w:sz w:val="20"/>
        </w:rPr>
        <w:t>AKTUELL UND VERBINDLICH – freigegeben am 15.09.2026</w:t>
      </w:r>
    </w:p>
    <w:tbl>
      <w:tblPr>
        <w:tblStyle w:val="TableGrid"/>
        <w:tblW w:type="auto" w:w="0"/>
        <w:jc w:val="center"/>
        <w:tblLayout w:type="fixed"/>
        <w:tblLook w:firstColumn="1" w:firstRow="1" w:lastColumn="0" w:lastRow="0" w:noHBand="0" w:noVBand="1" w:val="04A0"/>
      </w:tblPr>
      <w:tblGrid>
        <w:gridCol w:w="2665"/>
        <w:gridCol w:w="6803"/>
      </w:tblGrid>
      <w:tr>
        <w:trPr>
          <w:cantSplit/>
        </w:trPr>
        <w:tc>
          <w:tcPr>
            <w:tcW w:type="dxa" w:w="4933"/>
            <w:shd w:fill="F2F2F2"/>
            <w:tcMar>
              <w:top w:w="100" w:type="dxa"/>
              <w:start w:w="100" w:type="dxa"/>
              <w:bottom w:w="100" w:type="dxa"/>
              <w:end w:w="100" w:type="dxa"/>
            </w:tcMar>
          </w:tcPr>
          <w:p>
            <w:pPr>
              <w:pStyle w:val="TableText"/>
            </w:pPr>
            <w:r>
              <w:rPr>
                <w:b/>
                <w:color w:val="595959"/>
              </w:rPr>
              <w:t>Dokument-ID</w:t>
            </w:r>
          </w:p>
        </w:tc>
        <w:tc>
          <w:tcPr>
            <w:tcW w:type="dxa" w:w="4933"/>
            <w:tcMar>
              <w:top w:w="100" w:type="dxa"/>
              <w:start w:w="100" w:type="dxa"/>
              <w:bottom w:w="100" w:type="dxa"/>
              <w:end w:w="100" w:type="dxa"/>
            </w:tcMar>
          </w:tcPr>
          <w:p>
            <w:pPr>
              <w:pStyle w:val="TableText"/>
            </w:pPr>
            <w:r>
              <w:t>DOC-016</w:t>
            </w:r>
          </w:p>
        </w:tc>
      </w:tr>
      <w:tr>
        <w:trPr>
          <w:cantSplit/>
        </w:trPr>
        <w:tc>
          <w:tcPr>
            <w:tcW w:type="dxa" w:w="4933"/>
            <w:shd w:fill="F2F2F2"/>
            <w:tcMar>
              <w:top w:w="100" w:type="dxa"/>
              <w:start w:w="100" w:type="dxa"/>
              <w:bottom w:w="100" w:type="dxa"/>
              <w:end w:w="100" w:type="dxa"/>
            </w:tcMar>
          </w:tcPr>
          <w:p>
            <w:pPr>
              <w:pStyle w:val="TableText"/>
            </w:pPr>
            <w:r>
              <w:rPr>
                <w:b/>
                <w:color w:val="595959"/>
              </w:rPr>
              <w:t>Version / Stand</w:t>
            </w:r>
          </w:p>
        </w:tc>
        <w:tc>
          <w:tcPr>
            <w:tcW w:type="dxa" w:w="4933"/>
            <w:tcMar>
              <w:top w:w="100" w:type="dxa"/>
              <w:start w:w="100" w:type="dxa"/>
              <w:bottom w:w="100" w:type="dxa"/>
              <w:end w:w="100" w:type="dxa"/>
            </w:tcMar>
          </w:tcPr>
          <w:p>
            <w:r/>
            <w:r>
              <w:rPr>
                <w:b w:val="0"/>
              </w:rPr>
              <w:t>0.3 / 15.09.2026</w:t>
            </w:r>
          </w:p>
        </w:tc>
      </w:tr>
      <w:tr>
        <w:trPr>
          <w:cantSplit/>
        </w:trPr>
        <w:tc>
          <w:tcPr>
            <w:tcW w:type="dxa" w:w="4933"/>
            <w:shd w:fill="F2F2F2"/>
            <w:tcMar>
              <w:top w:w="100" w:type="dxa"/>
              <w:start w:w="100" w:type="dxa"/>
              <w:bottom w:w="100" w:type="dxa"/>
              <w:end w:w="100" w:type="dxa"/>
            </w:tcMar>
          </w:tcPr>
          <w:p>
            <w:pPr>
              <w:pStyle w:val="TableText"/>
            </w:pPr>
            <w:r>
              <w:rPr>
                <w:b/>
                <w:color w:val="595959"/>
              </w:rPr>
              <w:t>Milestone</w:t>
            </w:r>
          </w:p>
        </w:tc>
        <w:tc>
          <w:tcPr>
            <w:tcW w:type="dxa" w:w="4933"/>
            <w:tcMar>
              <w:top w:w="100" w:type="dxa"/>
              <w:start w:w="100" w:type="dxa"/>
              <w:bottom w:w="100" w:type="dxa"/>
              <w:end w:w="100" w:type="dxa"/>
            </w:tcMar>
          </w:tcPr>
          <w:p>
            <w:pPr>
              <w:pStyle w:val="TableText"/>
            </w:pPr>
            <w:r>
              <w:t>MS2 – Umsetzung und Pilotierung</w:t>
            </w:r>
          </w:p>
        </w:tc>
      </w:tr>
      <w:tr>
        <w:trPr>
          <w:cantSplit/>
        </w:trPr>
        <w:tc>
          <w:tcPr>
            <w:tcW w:type="dxa" w:w="4933"/>
            <w:shd w:fill="F2F2F2"/>
            <w:tcMar>
              <w:top w:w="100" w:type="dxa"/>
              <w:start w:w="100" w:type="dxa"/>
              <w:bottom w:w="100" w:type="dxa"/>
              <w:end w:w="100" w:type="dxa"/>
            </w:tcMar>
          </w:tcPr>
          <w:p>
            <w:pPr>
              <w:pStyle w:val="TableText"/>
            </w:pPr>
            <w:r>
              <w:rPr>
                <w:b/>
                <w:color w:val="595959"/>
              </w:rPr>
              <w:t>Status</w:t>
            </w:r>
          </w:p>
        </w:tc>
        <w:tc>
          <w:tcPr>
            <w:tcW w:type="dxa" w:w="4933"/>
            <w:tcMar>
              <w:top w:w="100" w:type="dxa"/>
              <w:start w:w="100" w:type="dxa"/>
              <w:bottom w:w="100" w:type="dxa"/>
              <w:end w:w="100" w:type="dxa"/>
            </w:tcMar>
          </w:tcPr>
          <w:p>
            <w:r/>
            <w:r>
              <w:rPr>
                <w:b w:val="0"/>
              </w:rPr>
              <w:t>AKTUELL UND VERBINDLICH – in DOC-REG-001 Stand 4.1 registriert</w:t>
            </w:r>
          </w:p>
        </w:tc>
      </w:tr>
      <w:tr>
        <w:trPr>
          <w:cantSplit/>
        </w:trPr>
        <w:tc>
          <w:tcPr>
            <w:tcW w:type="dxa" w:w="4933"/>
            <w:shd w:fill="F2F2F2"/>
            <w:tcMar>
              <w:top w:w="100" w:type="dxa"/>
              <w:start w:w="100" w:type="dxa"/>
              <w:bottom w:w="100" w:type="dxa"/>
              <w:end w:w="100" w:type="dxa"/>
            </w:tcMar>
          </w:tcPr>
          <w:p>
            <w:pPr>
              <w:pStyle w:val="TableText"/>
            </w:pPr>
            <w:r>
              <w:rPr>
                <w:b/>
                <w:color w:val="595959"/>
              </w:rPr>
              <w:t>Freigabebasis</w:t>
            </w:r>
          </w:p>
        </w:tc>
        <w:tc>
          <w:tcPr>
            <w:tcW w:type="dxa" w:w="4933"/>
            <w:tcMar>
              <w:top w:w="100" w:type="dxa"/>
              <w:start w:w="100" w:type="dxa"/>
              <w:bottom w:w="100" w:type="dxa"/>
              <w:end w:w="100" w:type="dxa"/>
            </w:tcMar>
          </w:tcPr>
          <w:p>
            <w:r/>
            <w:r>
              <w:rPr>
                <w:b w:val="0"/>
              </w:rPr>
              <w:t>DOC-REG-001 Stand 4.0; DOC-013 v0.1; DOC-014 v0.9; DOC-015 v0.8; Grundsatzentscheidung vom 15.09.2026 / DEC-034</w:t>
            </w:r>
          </w:p>
        </w:tc>
      </w:tr>
      <w:tr>
        <w:trPr>
          <w:cantSplit/>
        </w:trPr>
        <w:tc>
          <w:tcPr>
            <w:tcW w:type="dxa" w:w="4933"/>
            <w:shd w:fill="F2F2F2"/>
            <w:tcMar>
              <w:top w:w="100" w:type="dxa"/>
              <w:start w:w="100" w:type="dxa"/>
              <w:bottom w:w="100" w:type="dxa"/>
              <w:end w:w="100" w:type="dxa"/>
            </w:tcMar>
          </w:tcPr>
          <w:p>
            <w:pPr>
              <w:pStyle w:val="TableText"/>
            </w:pPr>
            <w:r>
              <w:rPr>
                <w:b/>
                <w:color w:val="595959"/>
              </w:rPr>
              <w:t>Zuständigkeit</w:t>
            </w:r>
          </w:p>
        </w:tc>
        <w:tc>
          <w:tcPr>
            <w:tcW w:type="dxa" w:w="4933"/>
            <w:tcMar>
              <w:top w:w="100" w:type="dxa"/>
              <w:start w:w="100" w:type="dxa"/>
              <w:bottom w:w="100" w:type="dxa"/>
              <w:end w:w="100" w:type="dxa"/>
            </w:tcMar>
          </w:tcPr>
          <w:p>
            <w:pPr>
              <w:pStyle w:val="TableText"/>
            </w:pPr>
            <w:r>
              <w:t>Projektsteuerung und Integrationsmanagement; technische Umsetzung in abgestimmten Arbeitsaufträgen</w:t>
            </w:r>
          </w:p>
        </w:tc>
      </w:tr>
      <w:tr>
        <w:trPr>
          <w:cantSplit/>
        </w:trPr>
        <w:tc>
          <w:tcPr>
            <w:tcW w:type="dxa" w:w="4933"/>
            <w:shd w:fill="F2F2F2"/>
            <w:tcMar>
              <w:top w:w="100" w:type="dxa"/>
              <w:start w:w="100" w:type="dxa"/>
              <w:bottom w:w="100" w:type="dxa"/>
              <w:end w:w="100" w:type="dxa"/>
            </w:tcMar>
          </w:tcPr>
          <w:p>
            <w:pPr>
              <w:pStyle w:val="TableText"/>
            </w:pPr>
            <w:r>
              <w:rPr>
                <w:b/>
                <w:color w:val="595959"/>
              </w:rPr>
              <w:t>Technische Präferenz</w:t>
            </w:r>
          </w:p>
        </w:tc>
        <w:tc>
          <w:tcPr>
            <w:tcW w:type="dxa" w:w="4933"/>
            <w:tcMar>
              <w:top w:w="100" w:type="dxa"/>
              <w:start w:w="100" w:type="dxa"/>
              <w:bottom w:w="100" w:type="dxa"/>
              <w:end w:w="100" w:type="dxa"/>
            </w:tcMar>
          </w:tcPr>
          <w:p>
            <w:pPr>
              <w:pStyle w:val="TableText"/>
            </w:pPr>
            <w:r>
              <w:t>Git-Repository; Codex bevorzugt, insbesondere in VS Code; konkrete Stack-Entscheidung erst in MS2-W0/W1</w:t>
            </w:r>
          </w:p>
        </w:tc>
      </w:tr>
      <w:tr>
        <w:trPr>
          <w:cantSplit/>
        </w:trPr>
        <w:tc>
          <w:tcPr>
            <w:tcW w:type="dxa" w:w="4933"/>
            <w:shd w:fill="F2F2F2"/>
            <w:tcMar>
              <w:top w:w="100" w:type="dxa"/>
              <w:start w:w="100" w:type="dxa"/>
              <w:bottom w:w="100" w:type="dxa"/>
              <w:end w:w="100" w:type="dxa"/>
            </w:tcMar>
          </w:tcPr>
          <w:p>
            <w:pPr>
              <w:pStyle w:val="TableText"/>
            </w:pPr>
            <w:r>
              <w:rPr>
                <w:b/>
                <w:color w:val="595959"/>
              </w:rPr>
              <w:t>Freigabewirkung</w:t>
            </w:r>
          </w:p>
        </w:tc>
        <w:tc>
          <w:tcPr>
            <w:tcW w:type="dxa" w:w="4933"/>
            <w:tcMar>
              <w:top w:w="100" w:type="dxa"/>
              <w:start w:w="100" w:type="dxa"/>
              <w:bottom w:w="100" w:type="dxa"/>
              <w:end w:w="100" w:type="dxa"/>
            </w:tcMar>
          </w:tcPr>
          <w:p>
            <w:r/>
            <w:r>
              <w:rPr>
                <w:b w:val="0"/>
              </w:rPr>
              <w:t>Mit CHG-0033 als DOC-016 v0.3 freigegeben; DOC-014 auf v1.0 und DOC-REG-001 auf Stand 4.1 fortgeschrieben. DOC-015 v0.8 bleibt unverändert. DEC-034 neu; keine neue REQ/CON.</w:t>
            </w:r>
          </w:p>
        </w:tc>
      </w:tr>
    </w:tbl>
    <w:p>
      <w:pPr>
        <w:spacing w:before="200" w:after="80"/>
      </w:pPr>
      <w:r>
        <w:rPr>
          <w:b/>
          <w:color w:val="17365D"/>
        </w:rPr>
        <w:t>Leitsatz MS2</w:t>
      </w:r>
    </w:p>
    <w:tbl>
      <w:tblPr>
        <w:tblW w:type="auto" w:w="0"/>
        <w:jc w:val="center"/>
        <w:tblLayout w:type="fixed"/>
        <w:tblLook w:firstColumn="1" w:firstRow="1" w:lastColumn="0" w:lastRow="0" w:noHBand="0" w:noVBand="1" w:val="04A0"/>
      </w:tblPr>
      <w:tblGrid>
        <w:gridCol w:w="9524"/>
      </w:tblGrid>
      <w:tr>
        <w:trPr>
          <w:cantSplit/>
        </w:trPr>
        <w:tc>
          <w:tcPr>
            <w:tcW w:type="dxa" w:w="9866"/>
            <w:shd w:fill="EAF2F8"/>
            <w:tcMar>
              <w:top w:w="120" w:type="dxa"/>
              <w:start w:w="160" w:type="dxa"/>
              <w:bottom w:w="120" w:type="dxa"/>
              <w:end w:w="160" w:type="dxa"/>
            </w:tcMar>
            <w:tcBorders>
              <w:top w:val="single" w:sz="8" w:space="0" w:color="1F4E78"/>
              <w:left w:val="single" w:sz="8" w:space="0" w:color="1F4E78"/>
              <w:bottom w:val="single" w:sz="8" w:space="0" w:color="1F4E78"/>
              <w:right w:val="single" w:sz="8" w:space="0" w:color="1F4E78"/>
            </w:tcBorders>
          </w:tcPr>
          <w:p>
            <w:pPr>
              <w:pStyle w:val="Callout"/>
            </w:pPr>
            <w:r>
              <w:t>Ziel ist ein durchgängiger funktionsfähiger vertikaler Schnitt: reale Datenquelle → Import → Mapping → SSOT → Monitoring → Aufstellung/Empfehlung → Snapshot → Ergebnis → Evaluation – einschließlich tatsächlich ausgeführter Kontrollen. Der frühe Hauptnachweis ist die reproduzierbare End-to-End-Verarbeitung eines historischen bzw. archiviert realen Pilot-Spieltags; Prognoseoptimierung ist nachrangig.</w:t>
            </w:r>
          </w:p>
        </w:tc>
      </w:tr>
    </w:tbl>
    <w:p>
      <w:pPr>
        <w:spacing w:after="0"/>
      </w:pPr>
    </w:p>
    <w:p>
      <w:pPr>
        <w:pStyle w:val="Small"/>
        <w:jc w:val="center"/>
      </w:pPr>
      <w:r>
        <w:rPr>
          <w:i/>
        </w:rPr>
        <w:t>Verbindlichkeitshinweis: DOC-016 v0.3 ist gemäß DOC-REG-001 Stand 4.1 die verbindliche Steuerungsgrundlage für MS2. Es ändert keine bestehende fachliche Regel oder Datenhoheit aus DOC-014/DOC-015; DEC-034 ergänzt ausschließlich die Steuerungslogik nach einem datenlimitierten W3.2-Pilotbefund. Bei Widerspruch ist die Register- und Governance-Regelung anzuwenden.</w:t>
      </w:r>
    </w:p>
    <w:p>
      <w:r>
        <w:br w:type="page"/>
      </w:r>
    </w:p>
    <w:p>
      <w:pPr>
        <w:pStyle w:val="Heading1"/>
      </w:pPr>
      <w:r>
        <w:t>0. Dokumentstatus, Quellenbasis und Verbindlichkeit</w:t>
      </w:r>
    </w:p>
    <w:p>
      <w:pPr>
        <w:spacing w:after="40"/>
        <w:ind w:left="255" w:hanging="142"/>
      </w:pPr>
      <w:r>
        <w:rPr>
          <w:b/>
        </w:rPr>
        <w:t>• Vor dieser Fortschreibung wurde DOC-REG-001 Stand 4.0 als verbindliches Dokumentenregister geprüft. Mit CHG-0033 werden DOC-016 v0.3 als aktuelle Projektquelle registriert, DOC-014 auf v1.0 fortgeschrieben und DOC-REG-001 auf Stand 4.1 angehoben. Aktuelle Projektquellen sind damit DOC-013 v0.1, DOC-014 v1.0, DOC-015 v0.8, DOC-016 v0.3 und DOC-REG-001 Stand 4.1.</w:t>
      </w:r>
      <w:r/>
    </w:p>
    <w:p>
      <w:pPr>
        <w:spacing w:after="40"/>
        <w:ind w:left="255" w:hanging="142"/>
      </w:pPr>
      <w:r>
        <w:rPr>
          <w:b/>
        </w:rPr>
        <w:t xml:space="preserve">• </w:t>
      </w:r>
      <w:r>
        <w:t>DOC-013 bestätigt MS1 als abgenommen und ordnet produktive Quellenfreigabe, Pilotierung, technische Implementierung, Testausführung und dauerhafte Governance ausdrücklich als Folgeaktivitäten ein.</w:t>
      </w:r>
    </w:p>
    <w:p>
      <w:pPr>
        <w:spacing w:after="40"/>
        <w:ind w:left="255" w:hanging="142"/>
      </w:pPr>
      <w:r>
        <w:rPr>
          <w:b/>
        </w:rPr>
        <w:t xml:space="preserve">• </w:t>
      </w:r>
      <w:r>
        <w:t>DOC-014 enthält die aktuelle Governance einschließlich DEC-/REQ-/CON-/CHG-Register sowie offene Umsetzungs- und Pilotabhängigkeiten.</w:t>
      </w:r>
    </w:p>
    <w:p>
      <w:pPr>
        <w:spacing w:after="40"/>
        <w:ind w:left="255" w:hanging="142"/>
      </w:pPr>
      <w:r>
        <w:rPr>
          <w:b/>
        </w:rPr>
        <w:t xml:space="preserve">• </w:t>
      </w:r>
      <w:r>
        <w:t>DOC-015 enthält das aktuelle fachliche Zielmodell, die Verarbeitungskette, K0–K7, G1–G7, Kontrollereignismodell, Testfallkatalog und fachliche Traceability.</w:t>
      </w:r>
    </w:p>
    <w:p>
      <w:pPr>
        <w:spacing w:after="40"/>
        <w:ind w:left="255" w:hanging="142"/>
      </w:pPr>
      <w:r>
        <w:rPr>
          <w:b/>
        </w:rPr>
        <w:t>• Diese Fassung ist mit CHG-0033 freigegeben. Sie ändert keine bestehende fachliche Regel, Datenhoheit, Missing-Semantik oder Modelllogik; sie integriert DEC-034 als Steuerungsentscheidung zur Fortsetzung nach dem negativen W3.2-Pilotbefund. Fachliche Änderungen erfordern weiterhin die Governance nach DOC-014.</w:t>
      </w:r>
      <w:r/>
    </w:p>
    <w:p>
      <w:pPr>
        <w:pStyle w:val="Heading1"/>
      </w:pPr>
      <w:r>
        <w:t>1. Zweck und Milestone-Definition</w:t>
      </w:r>
    </w:p>
    <w:p>
      <w:r>
        <w:t>MS2 setzt den in MS1 fachlich und fachlich-technisch festgelegten Sollzustand erstmals als durchgängigen, ausführbaren und prüfbaren Prozess um. Der Milestone verbindet technische Umsetzung und reale Pilotierung; er ist weder ein reines Software-Baupaket noch ein reiner Modellgüte-Test.</w:t>
      </w:r>
    </w:p>
    <w:p>
      <w:r>
        <w:t>MS2 gilt als erfolgreich, wenn ein kompletter Spieltag beziehungsweise ein klar abgegrenzter Pilot-Spieltag von der realen Rohquelle bis zur Evaluation reproduzierbar verarbeitet werden kann, die vorgesehenen Kontrollen tatsächlich ausgeführt werden und die damaligen Daten-, Versions-, Entscheidungs-, Sperr-, Fehler- und Nachweisstände nachträglich rekonstruierbar bleiben.</w:t>
      </w:r>
    </w:p>
    <w:tbl>
      <w:tblPr>
        <w:tblW w:type="auto" w:w="0"/>
        <w:jc w:val="center"/>
        <w:tblLayout w:type="fixed"/>
        <w:tblLook w:firstColumn="1" w:firstRow="1" w:lastColumn="0" w:lastRow="0" w:noHBand="0" w:noVBand="1" w:val="04A0"/>
      </w:tblPr>
      <w:tblGrid>
        <w:gridCol w:w="9524"/>
      </w:tblGrid>
      <w:tr>
        <w:trPr>
          <w:cantSplit/>
        </w:trPr>
        <w:tc>
          <w:tcPr>
            <w:tcW w:type="dxa" w:w="9866"/>
            <w:shd w:fill="FFF2CC"/>
            <w:tcMar>
              <w:top w:w="120" w:type="dxa"/>
              <w:start w:w="160" w:type="dxa"/>
              <w:bottom w:w="120" w:type="dxa"/>
              <w:end w:w="160" w:type="dxa"/>
            </w:tcMar>
            <w:tcBorders>
              <w:top w:val="single" w:sz="8" w:space="0" w:color="BF9000"/>
              <w:left w:val="single" w:sz="8" w:space="0" w:color="BF9000"/>
              <w:bottom w:val="single" w:sz="8" w:space="0" w:color="BF9000"/>
              <w:right w:val="single" w:sz="8" w:space="0" w:color="BF9000"/>
            </w:tcBorders>
          </w:tcPr>
          <w:p>
            <w:pPr>
              <w:pStyle w:val="Callout"/>
            </w:pPr>
            <w:r>
              <w:t>Priorität: Reproduzierbarkeit, Kontrollwirksamkeit und End-to-End-Funktionsfähigkeit vor Prognoseoptimierung. Diese Priorisierung ist eine MS2-Steuerungs- und Abnahmeregel, keine neue Managerspielregel.</w:t>
            </w:r>
          </w:p>
        </w:tc>
      </w:tr>
    </w:tbl>
    <w:p>
      <w:pPr>
        <w:spacing w:after="0"/>
      </w:pPr>
    </w:p>
    <w:p>
      <w:pPr>
        <w:pStyle w:val="Heading1"/>
      </w:pPr>
      <w:r>
        <w:t>2. Zielzustand MS2</w:t>
      </w:r>
    </w:p>
    <w:p>
      <w:pPr>
        <w:ind w:left="312" w:hanging="312"/>
      </w:pPr>
      <w:r>
        <w:rPr>
          <w:b/>
          <w:color w:val="17365D"/>
        </w:rPr>
        <w:t xml:space="preserve">Z1  </w:t>
      </w:r>
      <w:r>
        <w:t>Ein technisch ausführbarer vertikaler Schnitt bildet die in DOC-015 festgelegte Verarbeitungskette vollständig ab.</w:t>
      </w:r>
    </w:p>
    <w:p>
      <w:pPr>
        <w:ind w:left="312" w:hanging="312"/>
      </w:pPr>
      <w:r>
        <w:rPr>
          <w:b/>
          <w:color w:val="17365D"/>
        </w:rPr>
        <w:t xml:space="preserve">Z2  </w:t>
      </w:r>
      <w:r>
        <w:t>Mindestens ein historischer bzw. archiviert realer Pilot-Spieltag kann aus eingefrorenen Eingangsdaten wiederholt bis zur Evaluation durchlaufen werden.</w:t>
      </w:r>
    </w:p>
    <w:p>
      <w:pPr>
        <w:ind w:left="312" w:hanging="312"/>
      </w:pPr>
      <w:r>
        <w:rPr>
          <w:b/>
          <w:color w:val="17365D"/>
        </w:rPr>
        <w:t xml:space="preserve">Z3  </w:t>
      </w:r>
      <w:r>
        <w:t>K0–K7 und G1–G7 sind nicht nur beschrieben, sondern im Pilot technisch oder technisch unterstützend ausgeführt, protokolliert und mit konkreter Blockadewirkung verbunden.</w:t>
      </w:r>
    </w:p>
    <w:p>
      <w:pPr>
        <w:ind w:left="312" w:hanging="312"/>
      </w:pPr>
      <w:r>
        <w:rPr>
          <w:b/>
          <w:color w:val="17365D"/>
        </w:rPr>
        <w:t xml:space="preserve">Z4  </w:t>
      </w:r>
      <w:r>
        <w:t>Die fachliche Lineage von Rohbeobachtung bis Ergebnisversion ist über unveränderliche IDs/Versionen und ein Run-/Traceability-Manifest rekonstruierbar.</w:t>
      </w:r>
    </w:p>
    <w:p>
      <w:pPr>
        <w:ind w:left="312" w:hanging="312"/>
      </w:pPr>
      <w:r>
        <w:rPr>
          <w:b/>
          <w:color w:val="17365D"/>
        </w:rPr>
        <w:t xml:space="preserve">Z5  </w:t>
      </w:r>
      <w:r>
        <w:t>Fehlerfälle führen reproduzierbar zu den vorgesehenen Warn-, Review-, Partial-/Release-/Process-Block-Reaktionen und nicht zu stillen Korrekturen.</w:t>
      </w:r>
    </w:p>
    <w:p>
      <w:pPr>
        <w:ind w:left="312" w:hanging="312"/>
      </w:pPr>
      <w:r>
        <w:rPr>
          <w:b/>
          <w:color w:val="17365D"/>
        </w:rPr>
        <w:t xml:space="preserve">Z6  </w:t>
      </w:r>
      <w:r>
        <w:t>Nach bestandenem Replay- und Fehler-Gate wird der Ablauf unter realen zeitlichen Bedingungen an mindestens einem geeigneten aktuellen Spieltag bzw. einem gleichwertigen operativen Pilotfenster erprobt.</w:t>
      </w:r>
    </w:p>
    <w:p>
      <w:pPr>
        <w:ind w:left="312" w:hanging="312"/>
      </w:pPr>
      <w:r>
        <w:rPr>
          <w:b/>
          <w:color w:val="17365D"/>
        </w:rPr>
        <w:t xml:space="preserve">Z7  </w:t>
      </w:r>
      <w:r>
        <w:t>Offene MS1-Folgeabhängigkeiten werden durch Pilotbefunde konkretisiert, ohne sie ohne ausreichenden Nachweis als erledigt zu deklarieren.</w:t>
      </w:r>
    </w:p>
    <w:p>
      <w:pPr>
        <w:pStyle w:val="Heading1"/>
      </w:pPr>
      <w:r>
        <w:t>3. Scope und Abgrenzung</w:t>
      </w:r>
    </w:p>
    <w:p>
      <w:pPr>
        <w:pStyle w:val="Heading2"/>
      </w:pPr>
      <w:r>
        <w:t>3.1 Im Scope</w:t>
      </w:r>
    </w:p>
    <w:p>
      <w:pPr>
        <w:spacing w:after="40"/>
        <w:ind w:left="255" w:hanging="142"/>
      </w:pPr>
      <w:r>
        <w:rPr>
          <w:b/>
        </w:rPr>
        <w:t>• Für den ersten ausführbaren Slice zwingend erforderliche Repository- und Laufzeitgrundlage einschließlich Versionsverwaltung, minimaler Persistenz/Schemaführung, Run-/Evidence-Erfassung und automatisierbarer Tests.</w:t>
      </w:r>
      <w:r/>
    </w:p>
    <w:p>
      <w:pPr>
        <w:spacing w:after="40"/>
        <w:ind w:left="255" w:hanging="142"/>
      </w:pPr>
      <w:r>
        <w:rPr>
          <w:b/>
        </w:rPr>
        <w:t xml:space="preserve">• </w:t>
      </w:r>
      <w:r>
        <w:t>Quellenneutraler Import eines realen bzw. archiviert realen Quelldatensatzes einschließlich source_reference, Zeit- und Evidence-Bezug.</w:t>
      </w:r>
    </w:p>
    <w:p>
      <w:pPr>
        <w:spacing w:after="40"/>
        <w:ind w:left="255" w:hanging="142"/>
      </w:pPr>
      <w:r>
        <w:rPr>
          <w:b/>
        </w:rPr>
        <w:t xml:space="preserve">• </w:t>
      </w:r>
      <w:r>
        <w:t>Mapping, Identitätsprüfung, SSOT-Prüffall/Freigabe und versionierter SSOT-Stand unter Wahrung der Datenhoheit.</w:t>
      </w:r>
    </w:p>
    <w:p>
      <w:pPr>
        <w:spacing w:after="40"/>
        <w:ind w:left="255" w:hanging="142"/>
      </w:pPr>
      <w:r>
        <w:rPr>
          <w:b/>
        </w:rPr>
        <w:t xml:space="preserve">• </w:t>
      </w:r>
      <w:r>
        <w:t>Monitoring-Datenstand, Kader-/Spieltagkontext, Eligibility, Termin-/Lock-Bezüge und Re-Check-relevante Informationen.</w:t>
      </w:r>
    </w:p>
    <w:p>
      <w:pPr>
        <w:spacing w:after="40"/>
        <w:ind w:left="255" w:hanging="142"/>
      </w:pPr>
      <w:r>
        <w:rPr>
          <w:b/>
        </w:rPr>
        <w:t xml:space="preserve">• </w:t>
      </w:r>
      <w:r>
        <w:t>Versionierte Prognose-/Variantenberechnung und eine vollständige regelkonforme Empfehlung; Pilotparameter sind zulässig, müssen aber explizit versioniert sein.</w:t>
      </w:r>
    </w:p>
    <w:p>
      <w:pPr>
        <w:spacing w:after="40"/>
        <w:ind w:left="255" w:hanging="142"/>
      </w:pPr>
      <w:r>
        <w:rPr>
          <w:b/>
        </w:rPr>
        <w:t xml:space="preserve">• </w:t>
      </w:r>
      <w:r>
        <w:t>Freigabe, unveränderlicher Empfehlungssnapshot, Managerentscheidung/Override und tatsächlich wirksame Aufstellung.</w:t>
      </w:r>
    </w:p>
    <w:p>
      <w:pPr>
        <w:spacing w:after="40"/>
        <w:ind w:left="255" w:hanging="142"/>
      </w:pPr>
      <w:r>
        <w:rPr>
          <w:b/>
        </w:rPr>
        <w:t xml:space="preserve">• </w:t>
      </w:r>
      <w:r>
        <w:t>Ist-Ergebnis, regelkonforme Kategorienberechnung, Ergebnisversion/Korrektur und Evaluation.</w:t>
      </w:r>
    </w:p>
    <w:p>
      <w:pPr>
        <w:spacing w:after="40"/>
        <w:ind w:left="255" w:hanging="142"/>
      </w:pPr>
      <w:r>
        <w:rPr>
          <w:b/>
        </w:rPr>
        <w:t xml:space="preserve">• </w:t>
      </w:r>
      <w:r>
        <w:t>Technische Ausführung und Persistierung der Kontrollen K0–K7 sowie der Freigabegates G1–G7.</w:t>
      </w:r>
    </w:p>
    <w:p>
      <w:pPr>
        <w:spacing w:after="40"/>
        <w:ind w:left="255" w:hanging="142"/>
      </w:pPr>
      <w:r>
        <w:rPr>
          <w:b/>
        </w:rPr>
        <w:t xml:space="preserve">• </w:t>
      </w:r>
      <w:r>
        <w:t>Historischer Replay, definierte Negativ-/Fehlerfälle und anschließender Live-/Operationspilot.</w:t>
      </w:r>
    </w:p>
    <w:p>
      <w:pPr>
        <w:spacing w:after="40"/>
        <w:ind w:left="255" w:hanging="142"/>
      </w:pPr>
      <w:r>
        <w:rPr>
          <w:b/>
        </w:rPr>
        <w:t>• Nachweis-/Traceability-Paket für Abnahme und spätere Reproduktion, soweit technisch möglich automatisch aus Code, Tests und Runs erzeugt.</w:t>
      </w:r>
      <w:r/>
    </w:p>
    <w:p>
      <w:pPr>
        <w:pStyle w:val="Heading2"/>
      </w:pPr>
      <w:r>
        <w:t>3.2 Nicht zwingender MS2-Abnahmeumfang</w:t>
      </w:r>
    </w:p>
    <w:p>
      <w:pPr>
        <w:spacing w:after="40"/>
        <w:ind w:left="255" w:hanging="142"/>
      </w:pPr>
      <w:r>
        <w:rPr>
          <w:b/>
        </w:rPr>
        <w:t xml:space="preserve">• </w:t>
      </w:r>
      <w:r>
        <w:t>Perfekte oder bereits endgültig kalibrierte Prognosegüte; ein Mindestwert für Prognosequalität wird durch dieses Steuerungsdokument nicht festgelegt.</w:t>
      </w:r>
    </w:p>
    <w:p>
      <w:pPr>
        <w:spacing w:after="40"/>
        <w:ind w:left="255" w:hanging="142"/>
      </w:pPr>
      <w:r>
        <w:rPr>
          <w:b/>
        </w:rPr>
        <w:t xml:space="preserve">• </w:t>
      </w:r>
      <w:r>
        <w:t>Endgültige Gewichtungen, Kandidatenbegrenzung, Zielfunktion oder Optimierungstechnik; sie bleiben versionierte Modellparameter, solange keine neue fachliche Regel berührt wird.</w:t>
      </w:r>
    </w:p>
    <w:p>
      <w:pPr>
        <w:spacing w:after="40"/>
        <w:ind w:left="255" w:hanging="142"/>
      </w:pPr>
      <w:r>
        <w:rPr>
          <w:b/>
        </w:rPr>
        <w:t xml:space="preserve">• </w:t>
      </w:r>
      <w:r>
        <w:t>Vollautomatisierung jeder Datenquelle. Manuelle, dateibasierte und teilautomatische Fallbacks bleiben bei gleichwertiger Nachweis- und Kontrollqualität zulässig.</w:t>
      </w:r>
    </w:p>
    <w:p>
      <w:pPr>
        <w:spacing w:after="40"/>
        <w:ind w:left="255" w:hanging="142"/>
      </w:pPr>
      <w:r>
        <w:rPr>
          <w:b/>
        </w:rPr>
        <w:t xml:space="preserve">• </w:t>
      </w:r>
      <w:r>
        <w:t>Vollständige Produktionshärtung für Hochverfügbarkeit, Skalierung oder Vollsaisonbetrieb, soweit sie für den Pilot nicht erforderlich ist.</w:t>
      </w:r>
    </w:p>
    <w:p>
      <w:pPr>
        <w:spacing w:after="40"/>
        <w:ind w:left="255" w:hanging="142"/>
      </w:pPr>
      <w:r>
        <w:rPr>
          <w:b/>
        </w:rPr>
        <w:t xml:space="preserve">• </w:t>
      </w:r>
      <w:r>
        <w:t>Stillschweigende Freigabe rechtlich/nutzungsbezogen offener Automationswege.</w:t>
      </w:r>
    </w:p>
    <w:p>
      <w:pPr>
        <w:spacing w:after="40"/>
        <w:ind w:left="255" w:hanging="142"/>
      </w:pPr>
      <w:r>
        <w:rPr>
          <w:b/>
        </w:rPr>
        <w:t xml:space="preserve">• </w:t>
      </w:r>
      <w:r>
        <w:t>Neue Auktions-, Transfer- oder sonstige Bewertungslogiken außerhalb des in DOC-015 festgelegten Zielmodells.</w:t>
      </w:r>
    </w:p>
    <w:p>
      <w:pPr>
        <w:pStyle w:val="Heading1"/>
      </w:pPr>
      <w:r>
        <w:t>4. Umsetzungs- und Qualitätsprinzipien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907"/>
            <w:vAlign w:val="top"/>
            <w:tcMar>
              <w:top w:w="80" w:type="dxa"/>
              <w:start w:w="90" w:type="dxa"/>
              <w:bottom w:w="80" w:type="dxa"/>
              <w:end w:w="90" w:type="dxa"/>
            </w:tcMar>
            <w:shd w:fill="17365D"/>
          </w:tcPr>
          <w:p>
            <w:pPr>
              <w:pStyle w:val="TableText"/>
            </w:pPr>
            <w:r>
              <w:rPr>
                <w:rFonts w:ascii="Arial" w:hAnsi="Arial"/>
                <w:b/>
                <w:color w:val="FFFFFF"/>
                <w:sz w:val="16"/>
              </w:rPr>
              <w:t>ID</w:t>
            </w:r>
          </w:p>
        </w:tc>
        <w:tc>
          <w:tcPr>
            <w:tcW w:type="dxa" w:w="2835"/>
            <w:vAlign w:val="top"/>
            <w:tcMar>
              <w:top w:w="80" w:type="dxa"/>
              <w:start w:w="90" w:type="dxa"/>
              <w:bottom w:w="80" w:type="dxa"/>
              <w:end w:w="90" w:type="dxa"/>
            </w:tcMar>
            <w:shd w:fill="17365D"/>
          </w:tcPr>
          <w:p>
            <w:pPr>
              <w:pStyle w:val="TableText"/>
            </w:pPr>
            <w:r>
              <w:rPr>
                <w:rFonts w:ascii="Arial" w:hAnsi="Arial"/>
                <w:b/>
                <w:color w:val="FFFFFF"/>
                <w:sz w:val="16"/>
              </w:rPr>
              <w:t>Prinzip</w:t>
            </w:r>
          </w:p>
        </w:tc>
        <w:tc>
          <w:tcPr>
            <w:tcW w:type="dxa" w:w="5726"/>
            <w:vAlign w:val="top"/>
            <w:tcMar>
              <w:top w:w="80" w:type="dxa"/>
              <w:start w:w="90" w:type="dxa"/>
              <w:bottom w:w="80" w:type="dxa"/>
              <w:end w:w="90" w:type="dxa"/>
            </w:tcMar>
            <w:shd w:fill="17365D"/>
          </w:tcPr>
          <w:p>
            <w:pPr>
              <w:pStyle w:val="TableText"/>
            </w:pPr>
            <w:r>
              <w:rPr>
                <w:rFonts w:ascii="Arial" w:hAnsi="Arial"/>
                <w:b/>
                <w:color w:val="FFFFFF"/>
                <w:sz w:val="16"/>
              </w:rPr>
              <w:t>Steuerungswirkung</w:t>
            </w:r>
          </w:p>
        </w:tc>
      </w:tr>
      <w:tr>
        <w:trPr>
          <w:cantSplit/>
        </w:trPr>
        <w:tc>
          <w:tcPr>
            <w:tcW w:type="dxa" w:w="907"/>
            <w:vAlign w:val="top"/>
            <w:tcMar>
              <w:top w:w="80" w:type="dxa"/>
              <w:start w:w="90" w:type="dxa"/>
              <w:bottom w:w="80" w:type="dxa"/>
              <w:end w:w="90" w:type="dxa"/>
            </w:tcMar>
          </w:tcPr>
          <w:p>
            <w:pPr>
              <w:pStyle w:val="TableText"/>
            </w:pPr>
            <w:r>
              <w:rPr>
                <w:rFonts w:ascii="Arial" w:hAnsi="Arial"/>
                <w:sz w:val="16"/>
              </w:rPr>
              <w:t>P1</w:t>
            </w:r>
          </w:p>
        </w:tc>
        <w:tc>
          <w:tcPr>
            <w:tcW w:type="dxa" w:w="2835"/>
            <w:vAlign w:val="top"/>
            <w:tcMar>
              <w:top w:w="80" w:type="dxa"/>
              <w:start w:w="90" w:type="dxa"/>
              <w:bottom w:w="80" w:type="dxa"/>
              <w:end w:w="90" w:type="dxa"/>
            </w:tcMar>
          </w:tcPr>
          <w:p>
            <w:pPr>
              <w:pStyle w:val="TableText"/>
            </w:pPr>
            <w:r>
              <w:rPr>
                <w:rFonts w:ascii="Arial" w:hAnsi="Arial"/>
                <w:sz w:val="16"/>
              </w:rPr>
              <w:t>P1 – Vertikal vor horizontal</w:t>
            </w:r>
          </w:p>
        </w:tc>
        <w:tc>
          <w:tcPr>
            <w:tcW w:type="dxa" w:w="5726"/>
            <w:vAlign w:val="top"/>
            <w:tcMar>
              <w:top w:w="80" w:type="dxa"/>
              <w:start w:w="90" w:type="dxa"/>
              <w:bottom w:w="80" w:type="dxa"/>
              <w:end w:w="90" w:type="dxa"/>
            </w:tcMar>
          </w:tcPr>
          <w:p>
            <w:pPr>
              <w:pStyle w:val="TableText"/>
            </w:pPr>
            <w:r>
              <w:rPr>
                <w:rFonts w:ascii="Arial" w:hAnsi="Arial"/>
                <w:sz w:val="16"/>
              </w:rPr>
              <w:t>Früh einen kleinen, aber vollständigen Durchlauf herstellen; zusätzliche Breite erst nach funktionsfähigem End-to-End-Pfad.</w:t>
            </w:r>
          </w:p>
        </w:tc>
      </w:tr>
      <w:tr>
        <w:trPr>
          <w:cantSplit/>
        </w:trPr>
        <w:tc>
          <w:tcPr>
            <w:tcW w:type="dxa" w:w="907"/>
            <w:vAlign w:val="top"/>
            <w:tcMar>
              <w:top w:w="80" w:type="dxa"/>
              <w:start w:w="90" w:type="dxa"/>
              <w:bottom w:w="80" w:type="dxa"/>
              <w:end w:w="90" w:type="dxa"/>
            </w:tcMar>
            <w:shd w:fill="F8FAFC"/>
          </w:tcPr>
          <w:p>
            <w:pPr>
              <w:pStyle w:val="TableText"/>
            </w:pPr>
            <w:r>
              <w:rPr>
                <w:rFonts w:ascii="Arial" w:hAnsi="Arial"/>
                <w:sz w:val="16"/>
              </w:rPr>
              <w:t>P2</w:t>
            </w:r>
          </w:p>
        </w:tc>
        <w:tc>
          <w:tcPr>
            <w:tcW w:type="dxa" w:w="2835"/>
            <w:vAlign w:val="top"/>
            <w:tcMar>
              <w:top w:w="80" w:type="dxa"/>
              <w:start w:w="90" w:type="dxa"/>
              <w:bottom w:w="80" w:type="dxa"/>
              <w:end w:w="90" w:type="dxa"/>
            </w:tcMar>
            <w:shd w:fill="F8FAFC"/>
          </w:tcPr>
          <w:p>
            <w:pPr>
              <w:pStyle w:val="TableText"/>
            </w:pPr>
            <w:r>
              <w:rPr>
                <w:rFonts w:ascii="Arial" w:hAnsi="Arial"/>
                <w:sz w:val="16"/>
              </w:rPr>
              <w:t>P2 – Reproduzierbarkeit vor Modellgüte</w:t>
            </w:r>
          </w:p>
        </w:tc>
        <w:tc>
          <w:tcPr>
            <w:tcW w:type="dxa" w:w="5726"/>
            <w:vAlign w:val="top"/>
            <w:tcMar>
              <w:top w:w="80" w:type="dxa"/>
              <w:start w:w="90" w:type="dxa"/>
              <w:bottom w:w="80" w:type="dxa"/>
              <w:end w:w="90" w:type="dxa"/>
            </w:tcMar>
            <w:shd w:fill="F8FAFC"/>
          </w:tcPr>
          <w:p>
            <w:pPr>
              <w:pStyle w:val="TableText"/>
            </w:pPr>
            <w:r>
              <w:rPr>
                <w:rFonts w:ascii="Arial" w:hAnsi="Arial"/>
                <w:sz w:val="16"/>
              </w:rPr>
              <w:t>Zunächst beweisen, dass derselbe eingefrorene fachliche Input mit demselben Code-/Konfigurationsstand dieselben fachlichen Outputs und Kontrollurteile erzeugt.</w:t>
            </w:r>
          </w:p>
        </w:tc>
      </w:tr>
      <w:tr>
        <w:trPr>
          <w:cantSplit/>
        </w:trPr>
        <w:tc>
          <w:tcPr>
            <w:tcW w:type="dxa" w:w="907"/>
            <w:vAlign w:val="top"/>
            <w:tcMar>
              <w:top w:w="80" w:type="dxa"/>
              <w:start w:w="90" w:type="dxa"/>
              <w:bottom w:w="80" w:type="dxa"/>
              <w:end w:w="90" w:type="dxa"/>
            </w:tcMar>
          </w:tcPr>
          <w:p>
            <w:pPr>
              <w:pStyle w:val="TableText"/>
            </w:pPr>
            <w:r>
              <w:rPr>
                <w:rFonts w:ascii="Arial" w:hAnsi="Arial"/>
                <w:sz w:val="16"/>
              </w:rPr>
              <w:t>P3</w:t>
            </w:r>
          </w:p>
        </w:tc>
        <w:tc>
          <w:tcPr>
            <w:tcW w:type="dxa" w:w="2835"/>
            <w:vAlign w:val="top"/>
            <w:tcMar>
              <w:top w:w="80" w:type="dxa"/>
              <w:start w:w="90" w:type="dxa"/>
              <w:bottom w:w="80" w:type="dxa"/>
              <w:end w:w="90" w:type="dxa"/>
            </w:tcMar>
          </w:tcPr>
          <w:p>
            <w:pPr>
              <w:pStyle w:val="TableText"/>
            </w:pPr>
            <w:r>
              <w:rPr>
                <w:rFonts w:ascii="Arial" w:hAnsi="Arial"/>
                <w:sz w:val="16"/>
              </w:rPr>
              <w:t>P3 – Historie statt Überschreibung</w:t>
            </w:r>
          </w:p>
        </w:tc>
        <w:tc>
          <w:tcPr>
            <w:tcW w:type="dxa" w:w="5726"/>
            <w:vAlign w:val="top"/>
            <w:tcMar>
              <w:top w:w="80" w:type="dxa"/>
              <w:start w:w="90" w:type="dxa"/>
              <w:bottom w:w="80" w:type="dxa"/>
              <w:end w:w="90" w:type="dxa"/>
            </w:tcMar>
          </w:tcPr>
          <w:p>
            <w:pPr>
              <w:pStyle w:val="TableText"/>
            </w:pPr>
            <w:r>
              <w:rPr>
                <w:rFonts w:ascii="Arial" w:hAnsi="Arial"/>
                <w:sz w:val="16"/>
              </w:rPr>
              <w:t>Rohdaten, Mapping, SSOT, Termin, Monitoring, Snapshot, Ergebnis und Korrekturen bleiben versioniert und referenzierbar.</w:t>
            </w:r>
          </w:p>
        </w:tc>
      </w:tr>
      <w:tr>
        <w:trPr>
          <w:cantSplit/>
        </w:trPr>
        <w:tc>
          <w:tcPr>
            <w:tcW w:type="dxa" w:w="907"/>
            <w:vAlign w:val="top"/>
            <w:tcMar>
              <w:top w:w="80" w:type="dxa"/>
              <w:start w:w="90" w:type="dxa"/>
              <w:bottom w:w="80" w:type="dxa"/>
              <w:end w:w="90" w:type="dxa"/>
            </w:tcMar>
            <w:shd w:fill="F8FAFC"/>
          </w:tcPr>
          <w:p>
            <w:pPr>
              <w:pStyle w:val="TableText"/>
            </w:pPr>
            <w:r>
              <w:rPr>
                <w:rFonts w:ascii="Arial" w:hAnsi="Arial"/>
                <w:sz w:val="16"/>
              </w:rPr>
              <w:t>P4</w:t>
            </w:r>
          </w:p>
        </w:tc>
        <w:tc>
          <w:tcPr>
            <w:tcW w:type="dxa" w:w="2835"/>
            <w:vAlign w:val="top"/>
            <w:tcMar>
              <w:top w:w="80" w:type="dxa"/>
              <w:start w:w="90" w:type="dxa"/>
              <w:bottom w:w="80" w:type="dxa"/>
              <w:end w:w="90" w:type="dxa"/>
            </w:tcMar>
            <w:shd w:fill="F8FAFC"/>
          </w:tcPr>
          <w:p>
            <w:pPr>
              <w:pStyle w:val="TableText"/>
            </w:pPr>
            <w:r>
              <w:rPr>
                <w:rFonts w:ascii="Arial" w:hAnsi="Arial"/>
                <w:sz w:val="16"/>
              </w:rPr>
              <w:t>P4 – Kontrollen sind ausführbar</w:t>
            </w:r>
          </w:p>
        </w:tc>
        <w:tc>
          <w:tcPr>
            <w:tcW w:type="dxa" w:w="5726"/>
            <w:vAlign w:val="top"/>
            <w:tcMar>
              <w:top w:w="80" w:type="dxa"/>
              <w:start w:w="90" w:type="dxa"/>
              <w:bottom w:w="80" w:type="dxa"/>
              <w:end w:w="90" w:type="dxa"/>
            </w:tcMar>
            <w:shd w:fill="F8FAFC"/>
          </w:tcPr>
          <w:p>
            <w:pPr>
              <w:pStyle w:val="TableText"/>
            </w:pPr>
            <w:r>
              <w:rPr>
                <w:rFonts w:ascii="Arial" w:hAnsi="Arial"/>
                <w:sz w:val="16"/>
              </w:rPr>
              <w:t>Kontrollen erzeugen persistierte Kontrollereignisse und setzen die definierte Blockadewirkung tatsächlich durch.</w:t>
            </w:r>
          </w:p>
        </w:tc>
      </w:tr>
      <w:tr>
        <w:trPr>
          <w:cantSplit/>
        </w:trPr>
        <w:tc>
          <w:tcPr>
            <w:tcW w:type="dxa" w:w="907"/>
            <w:vAlign w:val="top"/>
            <w:tcMar>
              <w:top w:w="80" w:type="dxa"/>
              <w:start w:w="90" w:type="dxa"/>
              <w:bottom w:w="80" w:type="dxa"/>
              <w:end w:w="90" w:type="dxa"/>
            </w:tcMar>
          </w:tcPr>
          <w:p>
            <w:pPr>
              <w:pStyle w:val="TableText"/>
            </w:pPr>
            <w:r>
              <w:rPr>
                <w:rFonts w:ascii="Arial" w:hAnsi="Arial"/>
                <w:sz w:val="16"/>
              </w:rPr>
              <w:t>P5</w:t>
            </w:r>
          </w:p>
        </w:tc>
        <w:tc>
          <w:tcPr>
            <w:tcW w:type="dxa" w:w="2835"/>
            <w:vAlign w:val="top"/>
            <w:tcMar>
              <w:top w:w="80" w:type="dxa"/>
              <w:start w:w="90" w:type="dxa"/>
              <w:bottom w:w="80" w:type="dxa"/>
              <w:end w:w="90" w:type="dxa"/>
            </w:tcMar>
          </w:tcPr>
          <w:p>
            <w:pPr>
              <w:pStyle w:val="TableText"/>
            </w:pPr>
            <w:r>
              <w:rPr>
                <w:rFonts w:ascii="Arial" w:hAnsi="Arial"/>
                <w:sz w:val="16"/>
              </w:rPr>
              <w:t>P5 – Datenhoheiten bleiben getrennt</w:t>
            </w:r>
          </w:p>
        </w:tc>
        <w:tc>
          <w:tcPr>
            <w:tcW w:type="dxa" w:w="5726"/>
            <w:vAlign w:val="top"/>
            <w:tcMar>
              <w:top w:w="80" w:type="dxa"/>
              <w:start w:w="90" w:type="dxa"/>
              <w:bottom w:w="80" w:type="dxa"/>
              <w:end w:w="90" w:type="dxa"/>
            </w:tcMar>
          </w:tcPr>
          <w:p>
            <w:pPr>
              <w:pStyle w:val="TableText"/>
            </w:pPr>
            <w:r>
              <w:rPr>
                <w:rFonts w:ascii="Arial" w:hAnsi="Arial"/>
                <w:sz w:val="16"/>
              </w:rPr>
              <w:t>Rohdaten ändern keine SSOT-Werte still; Monitoring erzeugt keine konkurrierende SSOT-Hoheit; Managerentscheidung ändert keinen Modell-Snapshot.</w:t>
            </w:r>
          </w:p>
        </w:tc>
      </w:tr>
      <w:tr>
        <w:trPr>
          <w:cantSplit/>
        </w:trPr>
        <w:tc>
          <w:tcPr>
            <w:tcW w:type="dxa" w:w="907"/>
            <w:vAlign w:val="top"/>
            <w:tcMar>
              <w:top w:w="80" w:type="dxa"/>
              <w:start w:w="90" w:type="dxa"/>
              <w:bottom w:w="80" w:type="dxa"/>
              <w:end w:w="90" w:type="dxa"/>
            </w:tcMar>
            <w:shd w:fill="F8FAFC"/>
          </w:tcPr>
          <w:p>
            <w:pPr>
              <w:pStyle w:val="TableText"/>
            </w:pPr>
            <w:r>
              <w:rPr>
                <w:rFonts w:ascii="Arial" w:hAnsi="Arial"/>
                <w:sz w:val="16"/>
              </w:rPr>
              <w:t>P6</w:t>
            </w:r>
          </w:p>
        </w:tc>
        <w:tc>
          <w:tcPr>
            <w:tcW w:type="dxa" w:w="2835"/>
            <w:vAlign w:val="top"/>
            <w:tcMar>
              <w:top w:w="80" w:type="dxa"/>
              <w:start w:w="90" w:type="dxa"/>
              <w:bottom w:w="80" w:type="dxa"/>
              <w:end w:w="90" w:type="dxa"/>
            </w:tcMar>
            <w:shd w:fill="F8FAFC"/>
          </w:tcPr>
          <w:p>
            <w:pPr>
              <w:pStyle w:val="TableText"/>
            </w:pPr>
            <w:r>
              <w:rPr>
                <w:rFonts w:ascii="Arial" w:hAnsi="Arial"/>
                <w:sz w:val="16"/>
              </w:rPr>
              <w:t>P6 – Kein Null-/Missing-Ersatz</w:t>
            </w:r>
          </w:p>
        </w:tc>
        <w:tc>
          <w:tcPr>
            <w:tcW w:type="dxa" w:w="5726"/>
            <w:vAlign w:val="top"/>
            <w:tcMar>
              <w:top w:w="80" w:type="dxa"/>
              <w:start w:w="90" w:type="dxa"/>
              <w:bottom w:w="80" w:type="dxa"/>
              <w:end w:w="90" w:type="dxa"/>
            </w:tcMar>
            <w:shd w:fill="F8FAFC"/>
          </w:tcPr>
          <w:p>
            <w:pPr>
              <w:pStyle w:val="TableText"/>
            </w:pPr>
            <w:r>
              <w:rPr>
                <w:rFonts w:ascii="Arial" w:hAnsi="Arial"/>
                <w:sz w:val="16"/>
              </w:rPr>
              <w:t>MISSING, PENDING, ACTUAL_ZERO, NOT_APPLICABLE und fachliche Sonderstatus bleiben getrennt; fehlende Ist-Werte werden nicht neutral imputiert.</w:t>
            </w:r>
          </w:p>
        </w:tc>
      </w:tr>
      <w:tr>
        <w:trPr>
          <w:cantSplit/>
        </w:trPr>
        <w:tc>
          <w:tcPr>
            <w:tcW w:type="dxa" w:w="907"/>
            <w:vAlign w:val="top"/>
            <w:tcMar>
              <w:top w:w="80" w:type="dxa"/>
              <w:start w:w="90" w:type="dxa"/>
              <w:bottom w:w="80" w:type="dxa"/>
              <w:end w:w="90" w:type="dxa"/>
            </w:tcMar>
          </w:tcPr>
          <w:p>
            <w:pPr>
              <w:pStyle w:val="TableText"/>
            </w:pPr>
            <w:r>
              <w:rPr>
                <w:rFonts w:ascii="Arial" w:hAnsi="Arial"/>
                <w:sz w:val="16"/>
              </w:rPr>
              <w:t>P7</w:t>
            </w:r>
          </w:p>
        </w:tc>
        <w:tc>
          <w:tcPr>
            <w:tcW w:type="dxa" w:w="2835"/>
            <w:vAlign w:val="top"/>
            <w:tcMar>
              <w:top w:w="80" w:type="dxa"/>
              <w:start w:w="90" w:type="dxa"/>
              <w:bottom w:w="80" w:type="dxa"/>
              <w:end w:w="90" w:type="dxa"/>
            </w:tcMar>
          </w:tcPr>
          <w:p>
            <w:pPr>
              <w:pStyle w:val="TableText"/>
            </w:pPr>
            <w:r>
              <w:rPr>
                <w:rFonts w:ascii="Arial" w:hAnsi="Arial"/>
                <w:sz w:val="16"/>
              </w:rPr>
              <w:t>P7 – Versionierte Modellfreiheit</w:t>
            </w:r>
          </w:p>
        </w:tc>
        <w:tc>
          <w:tcPr>
            <w:tcW w:type="dxa" w:w="5726"/>
            <w:vAlign w:val="top"/>
            <w:tcMar>
              <w:top w:w="80" w:type="dxa"/>
              <w:start w:w="90" w:type="dxa"/>
              <w:bottom w:w="80" w:type="dxa"/>
              <w:end w:w="90" w:type="dxa"/>
            </w:tcMar>
          </w:tcPr>
          <w:p>
            <w:pPr>
              <w:pStyle w:val="TableText"/>
            </w:pPr>
            <w:r>
              <w:rPr>
                <w:rFonts w:ascii="Arial" w:hAnsi="Arial"/>
                <w:sz w:val="16"/>
              </w:rPr>
              <w:t>Pilotmodell und Policyparameter dürfen iterieren, müssen aber je Lauf festgeschrieben und im Snapshot-/Run-Manifest referenziert werden.</w:t>
            </w:r>
          </w:p>
        </w:tc>
      </w:tr>
      <w:tr>
        <w:trPr>
          <w:cantSplit/>
        </w:trPr>
        <w:tc>
          <w:tcPr>
            <w:tcW w:type="dxa" w:w="907"/>
            <w:vAlign w:val="top"/>
            <w:tcMar>
              <w:top w:w="80" w:type="dxa"/>
              <w:start w:w="90" w:type="dxa"/>
              <w:bottom w:w="80" w:type="dxa"/>
              <w:end w:w="90" w:type="dxa"/>
            </w:tcMar>
            <w:shd w:fill="F8FAFC"/>
          </w:tcPr>
          <w:p>
            <w:pPr>
              <w:pStyle w:val="TableText"/>
            </w:pPr>
            <w:r>
              <w:rPr>
                <w:rFonts w:ascii="Arial" w:hAnsi="Arial"/>
                <w:sz w:val="16"/>
              </w:rPr>
              <w:t>P8</w:t>
            </w:r>
          </w:p>
        </w:tc>
        <w:tc>
          <w:tcPr>
            <w:tcW w:type="dxa" w:w="2835"/>
            <w:vAlign w:val="top"/>
            <w:tcMar>
              <w:top w:w="80" w:type="dxa"/>
              <w:start w:w="90" w:type="dxa"/>
              <w:bottom w:w="80" w:type="dxa"/>
              <w:end w:w="90" w:type="dxa"/>
            </w:tcMar>
            <w:shd w:fill="F8FAFC"/>
          </w:tcPr>
          <w:p>
            <w:pPr>
              <w:pStyle w:val="TableText"/>
            </w:pPr>
            <w:r>
              <w:rPr>
                <w:rFonts w:ascii="Arial" w:hAnsi="Arial"/>
                <w:sz w:val="16"/>
              </w:rPr>
              <w:t>P8 – Quellenneutralität</w:t>
            </w:r>
          </w:p>
        </w:tc>
        <w:tc>
          <w:tcPr>
            <w:tcW w:type="dxa" w:w="5726"/>
            <w:vAlign w:val="top"/>
            <w:tcMar>
              <w:top w:w="80" w:type="dxa"/>
              <w:start w:w="90" w:type="dxa"/>
              <w:bottom w:w="80" w:type="dxa"/>
              <w:end w:w="90" w:type="dxa"/>
            </w:tcMar>
            <w:shd w:fill="F8FAFC"/>
          </w:tcPr>
          <w:p>
            <w:pPr>
              <w:pStyle w:val="TableText"/>
            </w:pPr>
            <w:r>
              <w:rPr>
                <w:rFonts w:ascii="Arial" w:hAnsi="Arial"/>
                <w:sz w:val="16"/>
              </w:rPr>
              <w:t>Der technische Import darf den späteren Wechsel zwischen manuell, dateibasiert, teilautomatisch und automatisch nicht zu einer fachlichen Neuinterpretation zwingen.</w:t>
            </w:r>
          </w:p>
        </w:tc>
      </w:tr>
      <w:tr>
        <w:trPr>
          <w:cantSplit/>
        </w:trPr>
        <w:tc>
          <w:tcPr>
            <w:tcW w:type="dxa" w:w="907"/>
            <w:vAlign w:val="top"/>
            <w:tcMar>
              <w:top w:w="80" w:type="dxa"/>
              <w:start w:w="90" w:type="dxa"/>
              <w:bottom w:w="80" w:type="dxa"/>
              <w:end w:w="90" w:type="dxa"/>
            </w:tcMar>
          </w:tcPr>
          <w:p>
            <w:pPr>
              <w:pStyle w:val="TableText"/>
            </w:pPr>
            <w:r>
              <w:rPr>
                <w:rFonts w:ascii="Arial" w:hAnsi="Arial"/>
                <w:sz w:val="16"/>
              </w:rPr>
              <w:t>P9</w:t>
            </w:r>
          </w:p>
        </w:tc>
        <w:tc>
          <w:tcPr>
            <w:tcW w:type="dxa" w:w="2835"/>
            <w:vAlign w:val="top"/>
            <w:tcMar>
              <w:top w:w="80" w:type="dxa"/>
              <w:start w:w="90" w:type="dxa"/>
              <w:bottom w:w="80" w:type="dxa"/>
              <w:end w:w="90" w:type="dxa"/>
            </w:tcMar>
          </w:tcPr>
          <w:p>
            <w:pPr>
              <w:pStyle w:val="TableText"/>
            </w:pPr>
            <w:r>
              <w:rPr>
                <w:rFonts w:ascii="Arial" w:hAnsi="Arial"/>
                <w:sz w:val="16"/>
              </w:rPr>
              <w:t>P9 – Spezifikationsbindung</w:t>
            </w:r>
          </w:p>
        </w:tc>
        <w:tc>
          <w:tcPr>
            <w:tcW w:type="dxa" w:w="5726"/>
            <w:vAlign w:val="top"/>
            <w:tcMar>
              <w:top w:w="80" w:type="dxa"/>
              <w:start w:w="90" w:type="dxa"/>
              <w:bottom w:w="80" w:type="dxa"/>
              <w:end w:w="90" w:type="dxa"/>
            </w:tcMar>
          </w:tcPr>
          <w:p>
            <w:pPr>
              <w:pStyle w:val="TableText"/>
            </w:pPr>
            <w:r>
              <w:rPr>
                <w:rFonts w:ascii="Arial" w:hAnsi="Arial"/>
                <w:sz w:val="16"/>
              </w:rPr>
              <w:t>Jeder relevante Lauf hält den verwendeten Projektquellenstand fest. Bei einer verbindlichen Quellenänderung ist die technische Spezifikationsreferenz ereignisbezogen zu aktualisieren.</w:t>
            </w:r>
          </w:p>
        </w:tc>
      </w:tr>
      <w:tr>
        <w:trPr>
          <w:cantSplit/>
        </w:trPr>
        <w:tc>
          <w:tcPr>
            <w:tcW w:type="dxa" w:w="907"/>
            <w:vAlign w:val="top"/>
            <w:tcMar>
              <w:top w:w="80" w:type="dxa"/>
              <w:start w:w="90" w:type="dxa"/>
              <w:bottom w:w="80" w:type="dxa"/>
              <w:end w:w="90" w:type="dxa"/>
            </w:tcMar>
            <w:shd w:fill="F8FAFC"/>
          </w:tcPr>
          <w:p>
            <w:pPr>
              <w:pStyle w:val="TableText"/>
            </w:pPr>
            <w:r>
              <w:rPr>
                <w:rFonts w:ascii="Arial" w:hAnsi="Arial"/>
                <w:sz w:val="16"/>
              </w:rPr>
              <w:t>P10</w:t>
            </w:r>
          </w:p>
        </w:tc>
        <w:tc>
          <w:tcPr>
            <w:tcW w:type="dxa" w:w="2835"/>
            <w:vAlign w:val="top"/>
            <w:tcMar>
              <w:top w:w="80" w:type="dxa"/>
              <w:start w:w="90" w:type="dxa"/>
              <w:bottom w:w="80" w:type="dxa"/>
              <w:end w:w="90" w:type="dxa"/>
            </w:tcMar>
            <w:shd w:fill="F8FAFC"/>
          </w:tcPr>
          <w:p>
            <w:pPr>
              <w:pStyle w:val="TableText"/>
            </w:pPr>
            <w:r>
              <w:rPr>
                <w:rFonts w:ascii="Arial" w:hAnsi="Arial"/>
                <w:sz w:val="16"/>
              </w:rPr>
              <w:t>P10 – Kleine prüfbare Arbeitspakete</w:t>
            </w:r>
          </w:p>
        </w:tc>
        <w:tc>
          <w:tcPr>
            <w:tcW w:type="dxa" w:w="5726"/>
            <w:vAlign w:val="top"/>
            <w:tcMar>
              <w:top w:w="80" w:type="dxa"/>
              <w:start w:w="90" w:type="dxa"/>
              <w:bottom w:w="80" w:type="dxa"/>
              <w:end w:w="90" w:type="dxa"/>
            </w:tcMar>
            <w:shd w:fill="F8FAFC"/>
          </w:tcPr>
          <w:p>
            <w:pPr>
              <w:pStyle w:val="TableText"/>
            </w:pPr>
            <w:r>
              <w:rPr>
                <w:rFonts w:ascii="Arial" w:hAnsi="Arial"/>
                <w:sz w:val="16"/>
              </w:rPr>
              <w:t>Implementierung erfolgt in kleinen vertikalen Inkrementen mit Akzeptanztests und nachvollziehbaren Git-Änderungen.</w:t>
            </w:r>
          </w:p>
        </w:tc>
      </w:tr>
      <w:tr>
        <w:tc>
          <w:tcPr>
            <w:tcW w:type="dxa" w:w="3289"/>
          </w:tcPr>
          <w:p>
            <w:r>
              <w:t>P11</w:t>
            </w:r>
          </w:p>
        </w:tc>
        <w:tc>
          <w:tcPr>
            <w:tcW w:type="dxa" w:w="3289"/>
          </w:tcPr>
          <w:p>
            <w:r>
              <w:t>P11 – Evidence by execution</w:t>
            </w:r>
          </w:p>
        </w:tc>
        <w:tc>
          <w:tcPr>
            <w:tcW w:type="dxa" w:w="3289"/>
          </w:tcPr>
          <w:p>
            <w:r>
              <w:t>Technische Nachweise entstehen soweit möglich automatisch als Produkt von Code, Tests und Runs. Manuelle Nachdokumentation ist auf tatsächlich menschliche Entscheidungen, Pilotbeobachtungen, Begründungen und formale Abnahme zu begrenzen und ersetzt keine maschinenlesbaren Run-, Test- oder Control-Artefakte.</w:t>
            </w:r>
          </w:p>
        </w:tc>
      </w:tr>
    </w:tbl>
    <w:p>
      <w:pPr>
        <w:spacing w:after="0"/>
      </w:pPr>
    </w:p>
    <w:p>
      <w:pPr>
        <w:pStyle w:val="Heading1"/>
      </w:pPr>
      <w:r>
        <w:t>5. Reproduzierbarkeitsdefinition für MS2</w:t>
      </w:r>
    </w:p>
    <w:p>
      <w:r>
        <w:t>Ein Replay gilt als reproduzierbar, wenn bei identischem fachlichem Eingabestand und identischem Ausführungsstand dieselben fachlichen Ergebnisse und Kontrollentscheidungen entstehen. Technische Laufidentifikatoren und reine Laufzeitmetadaten dürfen abweichen, sofern sie keine fachliche Wirkung entfalten.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38"/>
            <w:vAlign w:val="top"/>
            <w:tcMar>
              <w:top w:w="80" w:type="dxa"/>
              <w:start w:w="90" w:type="dxa"/>
              <w:bottom w:w="80" w:type="dxa"/>
              <w:end w:w="90" w:type="dxa"/>
            </w:tcMar>
            <w:shd w:fill="17365D"/>
          </w:tcPr>
          <w:p>
            <w:pPr>
              <w:pStyle w:val="TableText"/>
            </w:pPr>
            <w:r>
              <w:rPr>
                <w:rFonts w:ascii="Arial" w:hAnsi="Arial"/>
                <w:b/>
                <w:color w:val="FFFFFF"/>
                <w:sz w:val="16"/>
              </w:rPr>
              <w:t>Fixierter Bestandteil</w:t>
            </w:r>
          </w:p>
        </w:tc>
        <w:tc>
          <w:tcPr>
            <w:tcW w:type="dxa" w:w="7030"/>
            <w:vAlign w:val="top"/>
            <w:tcMar>
              <w:top w:w="80" w:type="dxa"/>
              <w:start w:w="90" w:type="dxa"/>
              <w:bottom w:w="80" w:type="dxa"/>
              <w:end w:w="90" w:type="dxa"/>
            </w:tcMar>
            <w:shd w:fill="17365D"/>
          </w:tcPr>
          <w:p>
            <w:pPr>
              <w:pStyle w:val="TableText"/>
            </w:pPr>
            <w:r>
              <w:rPr>
                <w:rFonts w:ascii="Arial" w:hAnsi="Arial"/>
                <w:b/>
                <w:color w:val="FFFFFF"/>
                <w:sz w:val="16"/>
              </w:rPr>
              <w:t>Mindestnachweis</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Roh-/Evidence-Paket</w:t>
            </w:r>
          </w:p>
        </w:tc>
        <w:tc>
          <w:tcPr>
            <w:tcW w:type="dxa" w:w="7030"/>
            <w:vAlign w:val="top"/>
            <w:tcMar>
              <w:top w:w="80" w:type="dxa"/>
              <w:start w:w="90" w:type="dxa"/>
              <w:bottom w:w="80" w:type="dxa"/>
              <w:end w:w="90" w:type="dxa"/>
            </w:tcMar>
          </w:tcPr>
          <w:p>
            <w:pPr>
              <w:pStyle w:val="TableText"/>
            </w:pPr>
            <w:r>
              <w:rPr>
                <w:rFonts w:ascii="Arial" w:hAnsi="Arial"/>
                <w:sz w:val="16"/>
              </w:rPr>
              <w:t>Unveränderte Rohdateien bzw. Rohbeobachtungen mit source_reference und Zeitbezug.</w:t>
            </w:r>
          </w:p>
        </w:tc>
      </w:tr>
      <w:tr>
        <w:trPr>
          <w:cantSplit/>
        </w:trPr>
        <w:tc>
          <w:tcPr>
            <w:tcW w:type="dxa" w:w="2438"/>
            <w:vAlign w:val="top"/>
            <w:tcMar>
              <w:top w:w="80" w:type="dxa"/>
              <w:start w:w="90" w:type="dxa"/>
              <w:bottom w:w="80" w:type="dxa"/>
              <w:end w:w="90" w:type="dxa"/>
            </w:tcMar>
            <w:shd w:fill="F8FAFC"/>
          </w:tcPr>
          <w:p>
            <w:pPr>
              <w:pStyle w:val="TableText"/>
            </w:pPr>
            <w:r>
              <w:rPr>
                <w:rFonts w:ascii="Arial" w:hAnsi="Arial"/>
                <w:sz w:val="16"/>
              </w:rPr>
              <w:t>Code</w:t>
            </w:r>
          </w:p>
        </w:tc>
        <w:tc>
          <w:tcPr>
            <w:tcW w:type="dxa" w:w="7030"/>
            <w:vAlign w:val="top"/>
            <w:tcMar>
              <w:top w:w="80" w:type="dxa"/>
              <w:start w:w="90" w:type="dxa"/>
              <w:bottom w:w="80" w:type="dxa"/>
              <w:end w:w="90" w:type="dxa"/>
            </w:tcMar>
            <w:shd w:fill="F8FAFC"/>
          </w:tcPr>
          <w:p>
            <w:pPr>
              <w:pStyle w:val="TableText"/>
            </w:pPr>
            <w:r>
              <w:rPr>
                <w:rFonts w:ascii="Arial" w:hAnsi="Arial"/>
                <w:sz w:val="16"/>
              </w:rPr>
              <w:t>Git-Commit oder gleichwertige unveränderliche Versionsreferenz.</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Schema/Migration</w:t>
            </w:r>
          </w:p>
        </w:tc>
        <w:tc>
          <w:tcPr>
            <w:tcW w:type="dxa" w:w="7030"/>
            <w:vAlign w:val="top"/>
            <w:tcMar>
              <w:top w:w="80" w:type="dxa"/>
              <w:start w:w="90" w:type="dxa"/>
              <w:bottom w:w="80" w:type="dxa"/>
              <w:end w:w="90" w:type="dxa"/>
            </w:tcMar>
          </w:tcPr>
          <w:p>
            <w:pPr>
              <w:pStyle w:val="TableText"/>
            </w:pPr>
            <w:r>
              <w:rPr>
                <w:rFonts w:ascii="Arial" w:hAnsi="Arial"/>
                <w:sz w:val="16"/>
              </w:rPr>
              <w:t>Eindeutige Schema-/Migrationsversion.</w:t>
            </w:r>
          </w:p>
        </w:tc>
      </w:tr>
      <w:tr>
        <w:trPr>
          <w:cantSplit/>
        </w:trPr>
        <w:tc>
          <w:tcPr>
            <w:tcW w:type="dxa" w:w="2438"/>
            <w:vAlign w:val="top"/>
            <w:tcMar>
              <w:top w:w="80" w:type="dxa"/>
              <w:start w:w="90" w:type="dxa"/>
              <w:bottom w:w="80" w:type="dxa"/>
              <w:end w:w="90" w:type="dxa"/>
            </w:tcMar>
            <w:shd w:fill="F8FAFC"/>
          </w:tcPr>
          <w:p>
            <w:pPr>
              <w:pStyle w:val="TableText"/>
            </w:pPr>
            <w:r>
              <w:rPr>
                <w:rFonts w:ascii="Arial" w:hAnsi="Arial"/>
                <w:sz w:val="16"/>
              </w:rPr>
              <w:t>Konfiguration</w:t>
            </w:r>
          </w:p>
        </w:tc>
        <w:tc>
          <w:tcPr>
            <w:tcW w:type="dxa" w:w="7030"/>
            <w:vAlign w:val="top"/>
            <w:tcMar>
              <w:top w:w="80" w:type="dxa"/>
              <w:start w:w="90" w:type="dxa"/>
              <w:bottom w:w="80" w:type="dxa"/>
              <w:end w:w="90" w:type="dxa"/>
            </w:tcMar>
            <w:shd w:fill="F8FAFC"/>
          </w:tcPr>
          <w:p>
            <w:pPr>
              <w:pStyle w:val="TableText"/>
            </w:pPr>
            <w:r>
              <w:rPr>
                <w:rFonts w:ascii="Arial" w:hAnsi="Arial"/>
                <w:sz w:val="16"/>
              </w:rPr>
              <w:t>Versionierte technische und fachliche Konfiguration.</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SSOT</w:t>
            </w:r>
          </w:p>
        </w:tc>
        <w:tc>
          <w:tcPr>
            <w:tcW w:type="dxa" w:w="7030"/>
            <w:vAlign w:val="top"/>
            <w:tcMar>
              <w:top w:w="80" w:type="dxa"/>
              <w:start w:w="90" w:type="dxa"/>
              <w:bottom w:w="80" w:type="dxa"/>
              <w:end w:w="90" w:type="dxa"/>
            </w:tcMar>
          </w:tcPr>
          <w:p>
            <w:pPr>
              <w:pStyle w:val="TableText"/>
            </w:pPr>
            <w:r>
              <w:rPr>
                <w:rFonts w:ascii="Arial" w:hAnsi="Arial"/>
                <w:sz w:val="16"/>
              </w:rPr>
              <w:t>Verwendete ssot_version_id bzw. gleichwertige unveränderliche Referenz.</w:t>
            </w:r>
          </w:p>
        </w:tc>
      </w:tr>
      <w:tr>
        <w:trPr>
          <w:cantSplit/>
        </w:trPr>
        <w:tc>
          <w:tcPr>
            <w:tcW w:type="dxa" w:w="2438"/>
            <w:vAlign w:val="top"/>
            <w:tcMar>
              <w:top w:w="80" w:type="dxa"/>
              <w:start w:w="90" w:type="dxa"/>
              <w:bottom w:w="80" w:type="dxa"/>
              <w:end w:w="90" w:type="dxa"/>
            </w:tcMar>
            <w:shd w:fill="F8FAFC"/>
          </w:tcPr>
          <w:p>
            <w:pPr>
              <w:pStyle w:val="TableText"/>
            </w:pPr>
            <w:r>
              <w:rPr>
                <w:rFonts w:ascii="Arial" w:hAnsi="Arial"/>
                <w:sz w:val="16"/>
              </w:rPr>
              <w:t>Termin-/Monitoringstand</w:t>
            </w:r>
          </w:p>
        </w:tc>
        <w:tc>
          <w:tcPr>
            <w:tcW w:type="dxa" w:w="7030"/>
            <w:vAlign w:val="top"/>
            <w:tcMar>
              <w:top w:w="80" w:type="dxa"/>
              <w:start w:w="90" w:type="dxa"/>
              <w:bottom w:w="80" w:type="dxa"/>
              <w:end w:w="90" w:type="dxa"/>
            </w:tcMar>
            <w:shd w:fill="F8FAFC"/>
          </w:tcPr>
          <w:p>
            <w:pPr>
              <w:pStyle w:val="TableText"/>
            </w:pPr>
            <w:r>
              <w:rPr>
                <w:rFonts w:ascii="Arial" w:hAnsi="Arial"/>
                <w:sz w:val="16"/>
              </w:rPr>
              <w:t>Terminversion, Monitoring-Datenstand und relevante Kader-/Eligibility-Referenzen.</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Modell/Policy/Parameter</w:t>
            </w:r>
          </w:p>
        </w:tc>
        <w:tc>
          <w:tcPr>
            <w:tcW w:type="dxa" w:w="7030"/>
            <w:vAlign w:val="top"/>
            <w:tcMar>
              <w:top w:w="80" w:type="dxa"/>
              <w:start w:w="90" w:type="dxa"/>
              <w:bottom w:w="80" w:type="dxa"/>
              <w:end w:w="90" w:type="dxa"/>
            </w:tcMar>
          </w:tcPr>
          <w:p>
            <w:pPr>
              <w:pStyle w:val="TableText"/>
            </w:pPr>
            <w:r>
              <w:rPr>
                <w:rFonts w:ascii="Arial" w:hAnsi="Arial"/>
                <w:sz w:val="16"/>
              </w:rPr>
              <w:t>Versionen und Parameter vollständig im Input-/Run-Manifest.</w:t>
            </w:r>
          </w:p>
        </w:tc>
      </w:tr>
      <w:tr>
        <w:trPr>
          <w:cantSplit/>
        </w:trPr>
        <w:tc>
          <w:tcPr>
            <w:tcW w:type="dxa" w:w="2438"/>
            <w:vAlign w:val="top"/>
            <w:tcMar>
              <w:top w:w="80" w:type="dxa"/>
              <w:start w:w="90" w:type="dxa"/>
              <w:bottom w:w="80" w:type="dxa"/>
              <w:end w:w="90" w:type="dxa"/>
            </w:tcMar>
            <w:shd w:fill="F8FAFC"/>
          </w:tcPr>
          <w:p>
            <w:pPr>
              <w:pStyle w:val="TableText"/>
            </w:pPr>
            <w:r>
              <w:rPr>
                <w:rFonts w:ascii="Arial" w:hAnsi="Arial"/>
                <w:sz w:val="16"/>
              </w:rPr>
              <w:t>Zufall</w:t>
            </w:r>
          </w:p>
        </w:tc>
        <w:tc>
          <w:tcPr>
            <w:tcW w:type="dxa" w:w="7030"/>
            <w:vAlign w:val="top"/>
            <w:tcMar>
              <w:top w:w="80" w:type="dxa"/>
              <w:start w:w="90" w:type="dxa"/>
              <w:bottom w:w="80" w:type="dxa"/>
              <w:end w:w="90" w:type="dxa"/>
            </w:tcMar>
            <w:shd w:fill="F8FAFC"/>
          </w:tcPr>
          <w:p>
            <w:pPr>
              <w:pStyle w:val="TableText"/>
            </w:pPr>
            <w:r>
              <w:rPr>
                <w:rFonts w:ascii="Arial" w:hAnsi="Arial"/>
                <w:sz w:val="16"/>
              </w:rPr>
              <w:t>Falls überhaupt verwendet: deterministischer, aufgezeichneter Seed.</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Snapshot/Entscheidung</w:t>
            </w:r>
          </w:p>
        </w:tc>
        <w:tc>
          <w:tcPr>
            <w:tcW w:type="dxa" w:w="7030"/>
            <w:vAlign w:val="top"/>
            <w:tcMar>
              <w:top w:w="80" w:type="dxa"/>
              <w:start w:w="90" w:type="dxa"/>
              <w:bottom w:w="80" w:type="dxa"/>
              <w:end w:w="90" w:type="dxa"/>
            </w:tcMar>
          </w:tcPr>
          <w:p>
            <w:pPr>
              <w:pStyle w:val="TableText"/>
            </w:pPr>
            <w:r>
              <w:rPr>
                <w:rFonts w:ascii="Arial" w:hAnsi="Arial"/>
                <w:sz w:val="16"/>
              </w:rPr>
              <w:t>Freigegebener Snapshot sowie Managerentscheidung/Override unveränderlich referenziert.</w:t>
            </w:r>
          </w:p>
        </w:tc>
      </w:tr>
      <w:tr>
        <w:trPr>
          <w:cantSplit/>
        </w:trPr>
        <w:tc>
          <w:tcPr>
            <w:tcW w:type="dxa" w:w="2438"/>
            <w:vAlign w:val="top"/>
            <w:tcMar>
              <w:top w:w="80" w:type="dxa"/>
              <w:start w:w="90" w:type="dxa"/>
              <w:bottom w:w="80" w:type="dxa"/>
              <w:end w:w="90" w:type="dxa"/>
            </w:tcMar>
            <w:shd w:fill="F8FAFC"/>
          </w:tcPr>
          <w:p>
            <w:pPr>
              <w:pStyle w:val="TableText"/>
            </w:pPr>
            <w:r>
              <w:rPr>
                <w:rFonts w:ascii="Arial" w:hAnsi="Arial"/>
                <w:sz w:val="16"/>
              </w:rPr>
              <w:t>Ergebnis/Evaluation</w:t>
            </w:r>
          </w:p>
        </w:tc>
        <w:tc>
          <w:tcPr>
            <w:tcW w:type="dxa" w:w="7030"/>
            <w:vAlign w:val="top"/>
            <w:tcMar>
              <w:top w:w="80" w:type="dxa"/>
              <w:start w:w="90" w:type="dxa"/>
              <w:bottom w:w="80" w:type="dxa"/>
              <w:end w:w="90" w:type="dxa"/>
            </w:tcMar>
            <w:shd w:fill="F8FAFC"/>
          </w:tcPr>
          <w:p>
            <w:pPr>
              <w:pStyle w:val="TableText"/>
            </w:pPr>
            <w:r>
              <w:rPr>
                <w:rFonts w:ascii="Arial" w:hAnsi="Arial"/>
                <w:sz w:val="16"/>
              </w:rPr>
              <w:t>Ergebnisversion/Korrekturkette und Evaluation mit Rückreferenzen.</w:t>
            </w:r>
          </w:p>
        </w:tc>
      </w:tr>
      <w:tr>
        <w:trPr>
          <w:cantSplit/>
        </w:trPr>
        <w:tc>
          <w:tcPr>
            <w:tcW w:type="dxa" w:w="2438"/>
            <w:vAlign w:val="top"/>
            <w:tcMar>
              <w:top w:w="80" w:type="dxa"/>
              <w:start w:w="90" w:type="dxa"/>
              <w:bottom w:w="80" w:type="dxa"/>
              <w:end w:w="90" w:type="dxa"/>
            </w:tcMar>
          </w:tcPr>
          <w:p>
            <w:pPr>
              <w:pStyle w:val="TableText"/>
            </w:pPr>
            <w:r>
              <w:rPr>
                <w:rFonts w:ascii="Arial" w:hAnsi="Arial"/>
                <w:sz w:val="16"/>
              </w:rPr>
              <w:t>Kontrollen</w:t>
            </w:r>
          </w:p>
        </w:tc>
        <w:tc>
          <w:tcPr>
            <w:tcW w:type="dxa" w:w="7030"/>
            <w:vAlign w:val="top"/>
            <w:tcMar>
              <w:top w:w="80" w:type="dxa"/>
              <w:start w:w="90" w:type="dxa"/>
              <w:bottom w:w="80" w:type="dxa"/>
              <w:end w:w="90" w:type="dxa"/>
            </w:tcMar>
          </w:tcPr>
          <w:p>
            <w:pPr>
              <w:pStyle w:val="TableText"/>
            </w:pPr>
            <w:r>
              <w:rPr>
                <w:rFonts w:ascii="Arial" w:hAnsi="Arial"/>
                <w:sz w:val="16"/>
              </w:rPr>
              <w:t>Persistierte Kontrollereignisse einschließlich block_effect, Evidence und Auflösung.</w:t>
            </w:r>
          </w:p>
        </w:tc>
      </w:tr>
    </w:tbl>
    <w:p>
      <w:pPr>
        <w:spacing w:after="0"/>
      </w:pPr>
    </w:p>
    <w:tbl>
      <w:tblPr>
        <w:tblW w:type="auto" w:w="0"/>
        <w:jc w:val="center"/>
        <w:tblLayout w:type="fixed"/>
        <w:tblLook w:firstColumn="1" w:firstRow="1" w:lastColumn="0" w:lastRow="0" w:noHBand="0" w:noVBand="1" w:val="04A0"/>
      </w:tblPr>
      <w:tblGrid>
        <w:gridCol w:w="9524"/>
      </w:tblGrid>
      <w:tr>
        <w:trPr>
          <w:cantSplit/>
        </w:trPr>
        <w:tc>
          <w:tcPr>
            <w:tcW w:type="dxa" w:w="9866"/>
            <w:shd w:fill="E2F0D9"/>
            <w:tcMar>
              <w:top w:w="120" w:type="dxa"/>
              <w:start w:w="160" w:type="dxa"/>
              <w:bottom w:w="120" w:type="dxa"/>
              <w:end w:w="160" w:type="dxa"/>
            </w:tcMar>
            <w:tcBorders>
              <w:top w:val="single" w:sz="8" w:space="0" w:color="548235"/>
              <w:left w:val="single" w:sz="8" w:space="0" w:color="548235"/>
              <w:bottom w:val="single" w:sz="8" w:space="0" w:color="548235"/>
              <w:right w:val="single" w:sz="8" w:space="0" w:color="548235"/>
            </w:tcBorders>
          </w:tcPr>
          <w:p>
            <w:pPr>
              <w:pStyle w:val="Callout"/>
            </w:pPr>
            <w:r>
              <w:t>Replay-Soll: Gleiche fachliche Outputs, gleiche Freigabe-/Blockadeentscheidungen und gleiche Traceability. Unterschiedliche run_id, checked_at oder technische Laufzeitwerte sind zulässig, soweit sie nicht als fachlicher Input wirken.</w:t>
            </w:r>
          </w:p>
        </w:tc>
      </w:tr>
    </w:tbl>
    <w:p>
      <w:pPr>
        <w:spacing w:after="0"/>
      </w:pPr>
    </w:p>
    <w:p>
      <w:pPr>
        <w:pStyle w:val="Heading1"/>
      </w:pPr>
      <w:r>
        <w:t>6. MS2-Abnahmekriterien</w:t>
      </w:r>
    </w:p>
    <w:p>
      <w:r>
        <w:t>Die folgenden MS2-Kriterien sind milestone-spezifische Steuerungs- und Abnahmekriterien. Sie sind keine neuen REQ-IDs und verändern die bestehenden DEC-/REQ-/CON-Inhalte nicht.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134"/>
            <w:vAlign w:val="top"/>
            <w:tcMar>
              <w:top w:w="80" w:type="dxa"/>
              <w:start w:w="90" w:type="dxa"/>
              <w:bottom w:w="80" w:type="dxa"/>
              <w:end w:w="90" w:type="dxa"/>
            </w:tcMar>
            <w:shd w:fill="17365D"/>
          </w:tcPr>
          <w:p>
            <w:pPr>
              <w:pStyle w:val="TableText"/>
            </w:pPr>
            <w:r>
              <w:rPr>
                <w:rFonts w:ascii="Arial" w:hAnsi="Arial"/>
                <w:b/>
                <w:color w:val="FFFFFF"/>
                <w:sz w:val="16"/>
              </w:rPr>
              <w:t>ID</w:t>
            </w:r>
          </w:p>
        </w:tc>
        <w:tc>
          <w:tcPr>
            <w:tcW w:type="dxa" w:w="2721"/>
            <w:vAlign w:val="top"/>
            <w:tcMar>
              <w:top w:w="80" w:type="dxa"/>
              <w:start w:w="90" w:type="dxa"/>
              <w:bottom w:w="80" w:type="dxa"/>
              <w:end w:w="90" w:type="dxa"/>
            </w:tcMar>
            <w:shd w:fill="17365D"/>
          </w:tcPr>
          <w:p>
            <w:pPr>
              <w:pStyle w:val="TableText"/>
            </w:pPr>
            <w:r>
              <w:rPr>
                <w:rFonts w:ascii="Arial" w:hAnsi="Arial"/>
                <w:b/>
                <w:color w:val="FFFFFF"/>
                <w:sz w:val="16"/>
              </w:rPr>
              <w:t>Kriterium</w:t>
            </w:r>
          </w:p>
        </w:tc>
        <w:tc>
          <w:tcPr>
            <w:tcW w:type="dxa" w:w="5613"/>
            <w:vAlign w:val="top"/>
            <w:tcMar>
              <w:top w:w="80" w:type="dxa"/>
              <w:start w:w="90" w:type="dxa"/>
              <w:bottom w:w="80" w:type="dxa"/>
              <w:end w:w="90" w:type="dxa"/>
            </w:tcMar>
            <w:shd w:fill="17365D"/>
          </w:tcPr>
          <w:p>
            <w:pPr>
              <w:pStyle w:val="TableText"/>
            </w:pPr>
            <w:r>
              <w:rPr>
                <w:rFonts w:ascii="Arial" w:hAnsi="Arial"/>
                <w:b/>
                <w:color w:val="FFFFFF"/>
                <w:sz w:val="16"/>
              </w:rPr>
              <w:t>Mindestnachweis</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MS2-K01</w:t>
            </w:r>
          </w:p>
        </w:tc>
        <w:tc>
          <w:tcPr>
            <w:tcW w:type="dxa" w:w="2721"/>
            <w:vAlign w:val="top"/>
            <w:tcMar>
              <w:top w:w="80" w:type="dxa"/>
              <w:start w:w="90" w:type="dxa"/>
              <w:bottom w:w="80" w:type="dxa"/>
              <w:end w:w="90" w:type="dxa"/>
            </w:tcMar>
          </w:tcPr>
          <w:p>
            <w:pPr>
              <w:pStyle w:val="TableText"/>
            </w:pPr>
            <w:r>
              <w:rPr>
                <w:rFonts w:ascii="Arial" w:hAnsi="Arial"/>
                <w:sz w:val="16"/>
              </w:rPr>
              <w:t>Ausführbare technische Grundlage</w:t>
            </w:r>
          </w:p>
        </w:tc>
        <w:tc>
          <w:tcPr>
            <w:tcW w:type="dxa" w:w="5613"/>
            <w:vAlign w:val="top"/>
            <w:tcMar>
              <w:top w:w="80" w:type="dxa"/>
              <w:start w:w="90" w:type="dxa"/>
              <w:bottom w:w="80" w:type="dxa"/>
              <w:end w:w="90" w:type="dxa"/>
            </w:tcMar>
          </w:tcPr>
          <w:p>
            <w:pPr>
              <w:pStyle w:val="TableText"/>
            </w:pPr>
            <w:r>
              <w:rPr>
                <w:rFonts w:ascii="Arial" w:hAnsi="Arial"/>
                <w:sz w:val="16"/>
              </w:rPr>
              <w:t>Repository, reproduzierbarer Start-/Testprozess, Versionierung, Persistenz und technisches Spezifikationsmanifest sind vorhanden.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MS2-K02</w:t>
            </w:r>
          </w:p>
        </w:tc>
        <w:tc>
          <w:tcPr>
            <w:tcW w:type="dxa" w:w="2721"/>
            <w:vAlign w:val="top"/>
            <w:tcMar>
              <w:top w:w="80" w:type="dxa"/>
              <w:start w:w="90" w:type="dxa"/>
              <w:bottom w:w="80" w:type="dxa"/>
              <w:end w:w="90" w:type="dxa"/>
            </w:tcMar>
            <w:shd w:fill="F8FAFC"/>
          </w:tcPr>
          <w:p>
            <w:pPr>
              <w:pStyle w:val="TableText"/>
            </w:pPr>
            <w:r>
              <w:rPr>
                <w:rFonts w:ascii="Arial" w:hAnsi="Arial"/>
                <w:sz w:val="16"/>
              </w:rPr>
              <w:t>Realer Rohdatenimport</w:t>
            </w:r>
          </w:p>
        </w:tc>
        <w:tc>
          <w:tcPr>
            <w:tcW w:type="dxa" w:w="5613"/>
            <w:vAlign w:val="top"/>
            <w:tcMar>
              <w:top w:w="80" w:type="dxa"/>
              <w:start w:w="90" w:type="dxa"/>
              <w:bottom w:w="80" w:type="dxa"/>
              <w:end w:w="90" w:type="dxa"/>
            </w:tcMar>
            <w:shd w:fill="F8FAFC"/>
          </w:tcPr>
          <w:p>
            <w:pPr>
              <w:pStyle w:val="TableText"/>
            </w:pPr>
            <w:r>
              <w:rPr>
                <w:rFonts w:ascii="Arial" w:hAnsi="Arial"/>
                <w:sz w:val="16"/>
              </w:rPr>
              <w:t>Ein realer bzw. archiviert realer Pilotdatensatz wird quellenneutral in unveränderliche Rohbeobachtungen mit Herkunft, Zeit und Evidence importiert.</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MS2-K03</w:t>
            </w:r>
          </w:p>
        </w:tc>
        <w:tc>
          <w:tcPr>
            <w:tcW w:type="dxa" w:w="2721"/>
            <w:vAlign w:val="top"/>
            <w:tcMar>
              <w:top w:w="80" w:type="dxa"/>
              <w:start w:w="90" w:type="dxa"/>
              <w:bottom w:w="80" w:type="dxa"/>
              <w:end w:w="90" w:type="dxa"/>
            </w:tcMar>
          </w:tcPr>
          <w:p>
            <w:pPr>
              <w:pStyle w:val="TableText"/>
            </w:pPr>
            <w:r>
              <w:rPr>
                <w:rFonts w:ascii="Arial" w:hAnsi="Arial"/>
                <w:sz w:val="16"/>
              </w:rPr>
              <w:t>Mapping und SSOT wirksam</w:t>
            </w:r>
          </w:p>
        </w:tc>
        <w:tc>
          <w:tcPr>
            <w:tcW w:type="dxa" w:w="5613"/>
            <w:vAlign w:val="top"/>
            <w:tcMar>
              <w:top w:w="80" w:type="dxa"/>
              <w:start w:w="90" w:type="dxa"/>
              <w:bottom w:w="80" w:type="dxa"/>
              <w:end w:w="90" w:type="dxa"/>
            </w:tcMar>
          </w:tcPr>
          <w:p>
            <w:pPr>
              <w:pStyle w:val="TableText"/>
            </w:pPr>
            <w:r>
              <w:rPr>
                <w:rFonts w:ascii="Arial" w:hAnsi="Arial"/>
                <w:sz w:val="16"/>
              </w:rPr>
              <w:t>Mapping-/Identitätslogik, SSOT-Prüffall und Freigabe funktionieren; Mehrdeutigkeit oder kritische Abweichung kann die Übernahme blockieren; keine stille SSOT-Überschreibung.</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MS2-K04</w:t>
            </w:r>
          </w:p>
        </w:tc>
        <w:tc>
          <w:tcPr>
            <w:tcW w:type="dxa" w:w="2721"/>
            <w:vAlign w:val="top"/>
            <w:tcMar>
              <w:top w:w="80" w:type="dxa"/>
              <w:start w:w="90" w:type="dxa"/>
              <w:bottom w:w="80" w:type="dxa"/>
              <w:end w:w="90" w:type="dxa"/>
            </w:tcMar>
            <w:shd w:fill="F8FAFC"/>
          </w:tcPr>
          <w:p>
            <w:pPr>
              <w:pStyle w:val="TableText"/>
            </w:pPr>
            <w:r>
              <w:rPr>
                <w:rFonts w:ascii="Arial" w:hAnsi="Arial"/>
                <w:sz w:val="16"/>
              </w:rPr>
              <w:t>Monitoring-Datenstand und Eligibility</w:t>
            </w:r>
          </w:p>
        </w:tc>
        <w:tc>
          <w:tcPr>
            <w:tcW w:type="dxa" w:w="5613"/>
            <w:vAlign w:val="top"/>
            <w:tcMar>
              <w:top w:w="80" w:type="dxa"/>
              <w:start w:w="90" w:type="dxa"/>
              <w:bottom w:w="80" w:type="dxa"/>
              <w:end w:w="90" w:type="dxa"/>
            </w:tcMar>
            <w:shd w:fill="F8FAFC"/>
          </w:tcPr>
          <w:p>
            <w:pPr>
              <w:pStyle w:val="TableText"/>
            </w:pPr>
            <w:r>
              <w:rPr>
                <w:rFonts w:ascii="Arial" w:hAnsi="Arial"/>
                <w:sz w:val="16"/>
              </w:rPr>
              <w:t>Monitoring baut auf freigegebenen SSOT-Referenzen auf; Kader, Termin, Spieltag, Rolle, Lock und Statusdimensionen sind reproduzierbar getrennt.</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MS2-K05</w:t>
            </w:r>
          </w:p>
        </w:tc>
        <w:tc>
          <w:tcPr>
            <w:tcW w:type="dxa" w:w="2721"/>
            <w:vAlign w:val="top"/>
            <w:tcMar>
              <w:top w:w="80" w:type="dxa"/>
              <w:start w:w="90" w:type="dxa"/>
              <w:bottom w:w="80" w:type="dxa"/>
              <w:end w:w="90" w:type="dxa"/>
            </w:tcMar>
          </w:tcPr>
          <w:p>
            <w:pPr>
              <w:pStyle w:val="TableText"/>
            </w:pPr>
            <w:r>
              <w:rPr>
                <w:rFonts w:ascii="Arial" w:hAnsi="Arial"/>
                <w:sz w:val="16"/>
              </w:rPr>
              <w:t>Empfehlung, Snapshot und Managerwirkung</w:t>
            </w:r>
          </w:p>
        </w:tc>
        <w:tc>
          <w:tcPr>
            <w:tcW w:type="dxa" w:w="5613"/>
            <w:vAlign w:val="top"/>
            <w:tcMar>
              <w:top w:w="80" w:type="dxa"/>
              <w:start w:w="90" w:type="dxa"/>
              <w:bottom w:w="80" w:type="dxa"/>
              <w:end w:w="90" w:type="dxa"/>
            </w:tcMar>
          </w:tcPr>
          <w:p>
            <w:pPr>
              <w:pStyle w:val="TableText"/>
            </w:pPr>
            <w:r>
              <w:rPr>
                <w:rFonts w:ascii="Arial" w:hAnsi="Arial"/>
                <w:sz w:val="16"/>
              </w:rPr>
              <w:t>Eine vollständige regelkonforme Variante kann mit versioniertem Pilotmodell erzeugt und freigegeben werden; Snapshot, Managerentscheidung/Override und wirksame Aufstellung bleiben getrennt; Sperren wirken.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MS2-K06</w:t>
            </w:r>
          </w:p>
        </w:tc>
        <w:tc>
          <w:tcPr>
            <w:tcW w:type="dxa" w:w="2721"/>
            <w:vAlign w:val="top"/>
            <w:tcMar>
              <w:top w:w="80" w:type="dxa"/>
              <w:start w:w="90" w:type="dxa"/>
              <w:bottom w:w="80" w:type="dxa"/>
              <w:end w:w="90" w:type="dxa"/>
            </w:tcMar>
            <w:shd w:fill="F8FAFC"/>
          </w:tcPr>
          <w:p>
            <w:pPr>
              <w:pStyle w:val="TableText"/>
            </w:pPr>
            <w:r>
              <w:rPr>
                <w:rFonts w:ascii="Arial" w:hAnsi="Arial"/>
                <w:sz w:val="16"/>
              </w:rPr>
              <w:t>Ergebnis und Evaluation</w:t>
            </w:r>
          </w:p>
        </w:tc>
        <w:tc>
          <w:tcPr>
            <w:tcW w:type="dxa" w:w="5613"/>
            <w:vAlign w:val="top"/>
            <w:tcMar>
              <w:top w:w="80" w:type="dxa"/>
              <w:start w:w="90" w:type="dxa"/>
              <w:bottom w:w="80" w:type="dxa"/>
              <w:end w:w="90" w:type="dxa"/>
            </w:tcMar>
            <w:shd w:fill="F8FAFC"/>
          </w:tcPr>
          <w:p>
            <w:pPr>
              <w:pStyle w:val="TableText"/>
            </w:pPr>
            <w:r>
              <w:rPr>
                <w:rFonts w:ascii="Arial" w:hAnsi="Arial"/>
                <w:sz w:val="16"/>
              </w:rPr>
              <w:t>Ist-Werte und Kategorien werden regelkonform verarbeitet; ng/oN, Missing/Pending/0/N-A, Half-up, EMPTY_DEFENSIVE_SET, Nachhol- und Korrekturstände sind technisch abbildbar und getestet.</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MS2-K07</w:t>
            </w:r>
          </w:p>
        </w:tc>
        <w:tc>
          <w:tcPr>
            <w:tcW w:type="dxa" w:w="2721"/>
            <w:vAlign w:val="top"/>
            <w:tcMar>
              <w:top w:w="80" w:type="dxa"/>
              <w:start w:w="90" w:type="dxa"/>
              <w:bottom w:w="80" w:type="dxa"/>
              <w:end w:w="90" w:type="dxa"/>
            </w:tcMar>
          </w:tcPr>
          <w:p>
            <w:pPr>
              <w:pStyle w:val="TableText"/>
            </w:pPr>
            <w:r>
              <w:rPr>
                <w:rFonts w:ascii="Arial" w:hAnsi="Arial"/>
                <w:sz w:val="16"/>
              </w:rPr>
              <w:t>Kontrollen und Gates ausgeführt</w:t>
            </w:r>
          </w:p>
        </w:tc>
        <w:tc>
          <w:tcPr>
            <w:tcW w:type="dxa" w:w="5613"/>
            <w:vAlign w:val="top"/>
            <w:tcMar>
              <w:top w:w="80" w:type="dxa"/>
              <w:start w:w="90" w:type="dxa"/>
              <w:bottom w:w="80" w:type="dxa"/>
              <w:end w:w="90" w:type="dxa"/>
            </w:tcMar>
          </w:tcPr>
          <w:p>
            <w:pPr>
              <w:pStyle w:val="TableText"/>
            </w:pPr>
            <w:r>
              <w:rPr>
                <w:rFonts w:ascii="Arial" w:hAnsi="Arial"/>
                <w:sz w:val="16"/>
              </w:rPr>
              <w:t>K0–K7 und G1–G7 werden im Pilot tatsächlich ausgeführt, als Kontrollereignisse persistiert und mit definierter Warn-/Blockadewirkung durchgesetzt.</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MS2-K08</w:t>
            </w:r>
          </w:p>
        </w:tc>
        <w:tc>
          <w:tcPr>
            <w:tcW w:type="dxa" w:w="2721"/>
            <w:vAlign w:val="top"/>
            <w:tcMar>
              <w:top w:w="80" w:type="dxa"/>
              <w:start w:w="90" w:type="dxa"/>
              <w:bottom w:w="80" w:type="dxa"/>
              <w:end w:w="90" w:type="dxa"/>
            </w:tcMar>
            <w:shd w:fill="F8FAFC"/>
          </w:tcPr>
          <w:p>
            <w:pPr>
              <w:pStyle w:val="TableText"/>
            </w:pPr>
            <w:r>
              <w:rPr>
                <w:rFonts w:ascii="Arial" w:hAnsi="Arial"/>
                <w:sz w:val="16"/>
              </w:rPr>
              <w:t>Historischer Replay bestanden</w:t>
            </w:r>
          </w:p>
        </w:tc>
        <w:tc>
          <w:tcPr>
            <w:tcW w:type="dxa" w:w="5613"/>
            <w:vAlign w:val="top"/>
            <w:tcMar>
              <w:top w:w="80" w:type="dxa"/>
              <w:start w:w="90" w:type="dxa"/>
              <w:bottom w:w="80" w:type="dxa"/>
              <w:end w:w="90" w:type="dxa"/>
            </w:tcMar>
            <w:shd w:fill="F8FAFC"/>
          </w:tcPr>
          <w:p>
            <w:pPr>
              <w:pStyle w:val="TableText"/>
            </w:pPr>
            <w:r>
              <w:rPr>
                <w:rFonts w:ascii="Arial" w:hAnsi="Arial"/>
                <w:sz w:val="16"/>
              </w:rPr>
              <w:t>Ein vollständiger eingefrorener Pilot-Spieltag läuft wiederholbar von Rohdaten bis Evaluation; fachliche Outputs, Freigaben/Blockaden und vollständige Lineage sind reproduzierbar.</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MS2-K09</w:t>
            </w:r>
          </w:p>
        </w:tc>
        <w:tc>
          <w:tcPr>
            <w:tcW w:type="dxa" w:w="2721"/>
            <w:vAlign w:val="top"/>
            <w:tcMar>
              <w:top w:w="80" w:type="dxa"/>
              <w:start w:w="90" w:type="dxa"/>
              <w:bottom w:w="80" w:type="dxa"/>
              <w:end w:w="90" w:type="dxa"/>
            </w:tcMar>
          </w:tcPr>
          <w:p>
            <w:pPr>
              <w:pStyle w:val="TableText"/>
            </w:pPr>
            <w:r>
              <w:rPr>
                <w:rFonts w:ascii="Arial" w:hAnsi="Arial"/>
                <w:sz w:val="16"/>
              </w:rPr>
              <w:t>Negativ-/Fehlerpilot bestanden</w:t>
            </w:r>
          </w:p>
        </w:tc>
        <w:tc>
          <w:tcPr>
            <w:tcW w:type="dxa" w:w="5613"/>
            <w:vAlign w:val="top"/>
            <w:tcMar>
              <w:top w:w="80" w:type="dxa"/>
              <w:start w:w="90" w:type="dxa"/>
              <w:bottom w:w="80" w:type="dxa"/>
              <w:end w:w="90" w:type="dxa"/>
            </w:tcMar>
          </w:tcPr>
          <w:p>
            <w:pPr>
              <w:pStyle w:val="TableText"/>
            </w:pPr>
            <w:r>
              <w:rPr>
                <w:rFonts w:ascii="Arial" w:hAnsi="Arial"/>
                <w:sz w:val="16"/>
              </w:rPr>
              <w:t>Das in §10 verbindlich festgelegte 13-Fälle-TC6-Mindestset erzeugt vollständig die in DOC-015 vorgegebenen Warn-, Review- und Blockadezustände; keine stille Fortsetzung oder Korrektur.</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MS2-K10</w:t>
            </w:r>
          </w:p>
        </w:tc>
        <w:tc>
          <w:tcPr>
            <w:tcW w:type="dxa" w:w="2721"/>
            <w:vAlign w:val="top"/>
            <w:tcMar>
              <w:top w:w="80" w:type="dxa"/>
              <w:start w:w="90" w:type="dxa"/>
              <w:bottom w:w="80" w:type="dxa"/>
              <w:end w:w="90" w:type="dxa"/>
            </w:tcMar>
            <w:shd w:fill="F8FAFC"/>
          </w:tcPr>
          <w:p>
            <w:pPr>
              <w:pStyle w:val="TableText"/>
            </w:pPr>
            <w:r>
              <w:rPr>
                <w:rFonts w:ascii="Arial" w:hAnsi="Arial"/>
                <w:sz w:val="16"/>
              </w:rPr>
              <w:t>Live-/Operationspilot bestanden</w:t>
            </w:r>
          </w:p>
        </w:tc>
        <w:tc>
          <w:tcPr>
            <w:tcW w:type="dxa" w:w="5613"/>
            <w:vAlign w:val="top"/>
            <w:tcMar>
              <w:top w:w="80" w:type="dxa"/>
              <w:start w:w="90" w:type="dxa"/>
              <w:bottom w:w="80" w:type="dxa"/>
              <w:end w:w="90" w:type="dxa"/>
            </w:tcMar>
            <w:shd w:fill="F8FAFC"/>
          </w:tcPr>
          <w:p>
            <w:pPr>
              <w:pStyle w:val="TableText"/>
            </w:pPr>
            <w:r>
              <w:rPr>
                <w:rFonts w:ascii="Arial" w:hAnsi="Arial"/>
                <w:sz w:val="16"/>
              </w:rPr>
              <w:t>Nach Replay und Fehlerpilot wird mindestens ein geeigneter aktueller Spieltag bzw. gleichwertiges reales Zeitfenster unter realen Aktualitäts-, Lock-, Re-Check- und Erfassungsbedingungen durchlaufen.</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MS2-K11</w:t>
            </w:r>
          </w:p>
        </w:tc>
        <w:tc>
          <w:tcPr>
            <w:tcW w:type="dxa" w:w="2721"/>
            <w:vAlign w:val="top"/>
            <w:tcMar>
              <w:top w:w="80" w:type="dxa"/>
              <w:start w:w="90" w:type="dxa"/>
              <w:bottom w:w="80" w:type="dxa"/>
              <w:end w:w="90" w:type="dxa"/>
            </w:tcMar>
          </w:tcPr>
          <w:p>
            <w:pPr>
              <w:pStyle w:val="TableText"/>
            </w:pPr>
            <w:r>
              <w:rPr>
                <w:rFonts w:ascii="Arial" w:hAnsi="Arial"/>
                <w:sz w:val="16"/>
              </w:rPr>
              <w:t>Offene Folgeabhängigkeiten bewertet</w:t>
            </w:r>
          </w:p>
        </w:tc>
        <w:tc>
          <w:tcPr>
            <w:tcW w:type="dxa" w:w="5613"/>
            <w:vAlign w:val="top"/>
            <w:tcMar>
              <w:top w:w="80" w:type="dxa"/>
              <w:start w:w="90" w:type="dxa"/>
              <w:bottom w:w="80" w:type="dxa"/>
              <w:end w:w="90" w:type="dxa"/>
            </w:tcMar>
          </w:tcPr>
          <w:p>
            <w:pPr>
              <w:pStyle w:val="TableText"/>
            </w:pPr>
            <w:r>
              <w:rPr>
                <w:rFonts w:ascii="Arial" w:hAnsi="Arial"/>
                <w:sz w:val="16"/>
              </w:rPr>
              <w:t>Für pilotrelevante offene CON-/T-RD-/L-RD-/TODO-Punkte liegt nach dem Pilot ein expliziter Status mit Evidenz, Entscheidung oder begründeter Fortführung vor; keine stille Schließung.</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MS2-K12</w:t>
            </w:r>
          </w:p>
        </w:tc>
        <w:tc>
          <w:tcPr>
            <w:tcW w:type="dxa" w:w="2721"/>
            <w:vAlign w:val="top"/>
            <w:tcMar>
              <w:top w:w="80" w:type="dxa"/>
              <w:start w:w="90" w:type="dxa"/>
              <w:bottom w:w="80" w:type="dxa"/>
              <w:end w:w="90" w:type="dxa"/>
            </w:tcMar>
            <w:shd w:fill="F8FAFC"/>
          </w:tcPr>
          <w:p>
            <w:pPr>
              <w:pStyle w:val="TableText"/>
            </w:pPr>
            <w:r>
              <w:rPr>
                <w:rFonts w:ascii="Arial" w:hAnsi="Arial"/>
                <w:sz w:val="16"/>
              </w:rPr>
              <w:t>Abnahmenachweis vollständig</w:t>
            </w:r>
          </w:p>
        </w:tc>
        <w:tc>
          <w:tcPr>
            <w:tcW w:type="dxa" w:w="5613"/>
            <w:vAlign w:val="top"/>
            <w:tcMar>
              <w:top w:w="80" w:type="dxa"/>
              <w:start w:w="90" w:type="dxa"/>
              <w:bottom w:w="80" w:type="dxa"/>
              <w:end w:w="90" w:type="dxa"/>
            </w:tcMar>
            <w:shd w:fill="F8FAFC"/>
          </w:tcPr>
          <w:p>
            <w:pPr>
              <w:pStyle w:val="TableText"/>
            </w:pPr>
            <w:r>
              <w:rPr>
                <w:rFonts w:ascii="Arial" w:hAnsi="Arial"/>
                <w:sz w:val="16"/>
              </w:rPr>
              <w:t>Tag/Commit, Spec-/Run-Manifeste, Kontroll-/Testnachweise, Pilotbericht, bekannte Grenzen und Traceability liegen vor. Technische Run-/Test-/Control-Nachweise sind soweit möglich automatisch erzeugt; kein offener hoher Blocker verhindert den Übergang in die nächste Phase.</w:t>
            </w:r>
          </w:p>
        </w:tc>
      </w:tr>
    </w:tbl>
    <w:p>
      <w:pPr>
        <w:spacing w:after="0"/>
      </w:pPr>
    </w:p>
    <w:p>
      <w:pPr>
        <w:pStyle w:val="Heading1"/>
      </w:pPr>
      <w:r>
        <w:t>7. Bearbeitungswellen und Lieferlogik</w:t>
      </w:r>
    </w:p>
    <w:p>
      <w:pPr/>
      <w:r>
        <w:t>Scope-Grenze MS2-W0/W1: Beide Wellen sind strikt auf das Minimum zu begrenzen, das den ersten ausführbaren Slice bis MS2-W2 ermöglicht. Alles, was dafür nicht unmittelbar benötigt wird, wird bewusst vertagt; insbesondere keine UI, kein Deployment-/Produktionsbetrieb, kein generisches Adapter-/Plugin-Framework, keine umfassende Observability und keine vorsorgliche Plattformabstraktion.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134"/>
            <w:vAlign w:val="top"/>
            <w:tcMar>
              <w:top w:w="80" w:type="dxa"/>
              <w:start w:w="90" w:type="dxa"/>
              <w:bottom w:w="80" w:type="dxa"/>
              <w:end w:w="90" w:type="dxa"/>
            </w:tcMar>
            <w:shd w:fill="17365D"/>
          </w:tcPr>
          <w:p>
            <w:pPr>
              <w:pStyle w:val="TableText"/>
            </w:pPr>
            <w:r>
              <w:rPr>
                <w:rFonts w:ascii="Arial" w:hAnsi="Arial"/>
                <w:b/>
                <w:color w:val="FFFFFF"/>
                <w:sz w:val="16"/>
              </w:rPr>
              <w:t>Welle</w:t>
            </w:r>
          </w:p>
        </w:tc>
        <w:tc>
          <w:tcPr>
            <w:tcW w:type="dxa" w:w="2268"/>
            <w:vAlign w:val="top"/>
            <w:tcMar>
              <w:top w:w="80" w:type="dxa"/>
              <w:start w:w="90" w:type="dxa"/>
              <w:bottom w:w="80" w:type="dxa"/>
              <w:end w:w="90" w:type="dxa"/>
            </w:tcMar>
            <w:shd w:fill="17365D"/>
          </w:tcPr>
          <w:p>
            <w:pPr>
              <w:pStyle w:val="TableText"/>
            </w:pPr>
            <w:r>
              <w:rPr>
                <w:rFonts w:ascii="Arial" w:hAnsi="Arial"/>
                <w:b/>
                <w:color w:val="FFFFFF"/>
                <w:sz w:val="16"/>
              </w:rPr>
              <w:t>Schwerpunkt</w:t>
            </w:r>
          </w:p>
        </w:tc>
        <w:tc>
          <w:tcPr>
            <w:tcW w:type="dxa" w:w="4819"/>
            <w:vAlign w:val="top"/>
            <w:tcMar>
              <w:top w:w="80" w:type="dxa"/>
              <w:start w:w="90" w:type="dxa"/>
              <w:bottom w:w="80" w:type="dxa"/>
              <w:end w:w="90" w:type="dxa"/>
            </w:tcMar>
            <w:shd w:fill="17365D"/>
          </w:tcPr>
          <w:p>
            <w:pPr>
              <w:pStyle w:val="TableText"/>
            </w:pPr>
            <w:r>
              <w:rPr>
                <w:rFonts w:ascii="Arial" w:hAnsi="Arial"/>
                <w:b/>
                <w:color w:val="FFFFFF"/>
                <w:sz w:val="16"/>
              </w:rPr>
              <w:t>Pflichtlieferung</w:t>
            </w:r>
          </w:p>
        </w:tc>
        <w:tc>
          <w:tcPr>
            <w:tcW w:type="dxa" w:w="1247"/>
            <w:vAlign w:val="top"/>
            <w:tcMar>
              <w:top w:w="80" w:type="dxa"/>
              <w:start w:w="90" w:type="dxa"/>
              <w:bottom w:w="80" w:type="dxa"/>
              <w:end w:w="90" w:type="dxa"/>
            </w:tcMar>
            <w:shd w:fill="17365D"/>
          </w:tcPr>
          <w:p>
            <w:pPr>
              <w:pStyle w:val="TableText"/>
            </w:pPr>
            <w:r>
              <w:rPr>
                <w:rFonts w:ascii="Arial" w:hAnsi="Arial"/>
                <w:b/>
                <w:color w:val="FFFFFF"/>
                <w:sz w:val="16"/>
              </w:rPr>
              <w:t>Integrationsgate</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MS2-W0</w:t>
            </w:r>
          </w:p>
        </w:tc>
        <w:tc>
          <w:tcPr>
            <w:tcW w:type="dxa" w:w="2268"/>
            <w:vAlign w:val="top"/>
            <w:tcMar>
              <w:top w:w="80" w:type="dxa"/>
              <w:start w:w="90" w:type="dxa"/>
              <w:bottom w:w="80" w:type="dxa"/>
              <w:end w:w="90" w:type="dxa"/>
            </w:tcMar>
          </w:tcPr>
          <w:p>
            <w:pPr>
              <w:pStyle w:val="TableText"/>
            </w:pPr>
            <w:r>
              <w:rPr>
                <w:rFonts w:ascii="Arial" w:hAnsi="Arial"/>
                <w:sz w:val="16"/>
              </w:rPr>
              <w:t>Aktivierung und Repository-Bootstrap</w:t>
            </w:r>
          </w:p>
        </w:tc>
        <w:tc>
          <w:tcPr>
            <w:tcW w:type="dxa" w:w="4819"/>
            <w:vAlign w:val="top"/>
            <w:tcMar>
              <w:top w:w="80" w:type="dxa"/>
              <w:start w:w="90" w:type="dxa"/>
              <w:bottom w:w="80" w:type="dxa"/>
              <w:end w:w="90" w:type="dxa"/>
            </w:tcMar>
          </w:tcPr>
          <w:p>
            <w:pPr>
              <w:pStyle w:val="TableText"/>
            </w:pPr>
            <w:r>
              <w:rPr>
                <w:rFonts w:ascii="Arial" w:hAnsi="Arial"/>
                <w:sz w:val="16"/>
              </w:rPr>
              <w:t>Freigabe dieses Steuerungsdokuments; Repo/Git initialisiert; minimale technische Arbeitsregeln einschließlich AGENTS.md; Specification Manifest; lokal reproduzierbarer Start; nur die Stack-Entscheidungen, die für den ersten Slice zwingend nötig sind.</w:t>
            </w:r>
          </w:p>
        </w:tc>
        <w:tc>
          <w:tcPr>
            <w:tcW w:type="dxa" w:w="1247"/>
            <w:vAlign w:val="top"/>
            <w:tcMar>
              <w:top w:w="80" w:type="dxa"/>
              <w:start w:w="90" w:type="dxa"/>
              <w:bottom w:w="80" w:type="dxa"/>
              <w:end w:w="90" w:type="dxa"/>
            </w:tcMar>
          </w:tcPr>
          <w:p>
            <w:pPr>
              <w:pStyle w:val="TableText"/>
            </w:pPr>
            <w:r>
              <w:rPr>
                <w:rFonts w:ascii="Arial" w:hAnsi="Arial"/>
                <w:sz w:val="16"/>
              </w:rPr>
              <w:t>MS2-IG0</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MS2-W1</w:t>
            </w:r>
          </w:p>
        </w:tc>
        <w:tc>
          <w:tcPr>
            <w:tcW w:type="dxa" w:w="2268"/>
            <w:vAlign w:val="top"/>
            <w:tcMar>
              <w:top w:w="80" w:type="dxa"/>
              <w:start w:w="90" w:type="dxa"/>
              <w:bottom w:w="80" w:type="dxa"/>
              <w:end w:w="90" w:type="dxa"/>
            </w:tcMar>
            <w:shd w:fill="F8FAFC"/>
          </w:tcPr>
          <w:p>
            <w:pPr>
              <w:pStyle w:val="TableText"/>
            </w:pPr>
            <w:r>
              <w:rPr>
                <w:rFonts w:ascii="Arial" w:hAnsi="Arial"/>
                <w:sz w:val="16"/>
              </w:rPr>
              <w:t>Technisches Fundament</w:t>
            </w:r>
          </w:p>
        </w:tc>
        <w:tc>
          <w:tcPr>
            <w:tcW w:type="dxa" w:w="4819"/>
            <w:vAlign w:val="top"/>
            <w:tcMar>
              <w:top w:w="80" w:type="dxa"/>
              <w:start w:w="90" w:type="dxa"/>
              <w:bottom w:w="80" w:type="dxa"/>
              <w:end w:w="90" w:type="dxa"/>
            </w:tcMar>
            <w:shd w:fill="F8FAFC"/>
          </w:tcPr>
          <w:p>
            <w:pPr>
              <w:pStyle w:val="TableText"/>
            </w:pPr>
            <w:r>
              <w:rPr>
                <w:rFonts w:ascii="Arial" w:hAnsi="Arial"/>
                <w:sz w:val="16"/>
              </w:rPr>
              <w:t>Nur die für MS2-W2 unmittelbar benötigte Infrastruktur: minimale Persistenz und Migration, stabile IDs/Versionen, Raw-/Evidence-Speicherung, control_event, Run-Manifest und Testharness. Kein Ausbau zu Produktionsplattform, allgemeiner Service-/Adapterarchitektur oder Vollautomatisierung.</w:t>
            </w:r>
          </w:p>
        </w:tc>
        <w:tc>
          <w:tcPr>
            <w:tcW w:type="dxa" w:w="1247"/>
            <w:vAlign w:val="top"/>
            <w:tcMar>
              <w:top w:w="80" w:type="dxa"/>
              <w:start w:w="90" w:type="dxa"/>
              <w:bottom w:w="80" w:type="dxa"/>
              <w:end w:w="90" w:type="dxa"/>
            </w:tcMar>
            <w:shd w:fill="F8FAFC"/>
          </w:tcPr>
          <w:p>
            <w:pPr>
              <w:pStyle w:val="TableText"/>
            </w:pPr>
            <w:r>
              <w:rPr>
                <w:rFonts w:ascii="Arial" w:hAnsi="Arial"/>
                <w:sz w:val="16"/>
              </w:rPr>
              <w:t>MS2-IG1</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MS2-W2</w:t>
            </w:r>
          </w:p>
        </w:tc>
        <w:tc>
          <w:tcPr>
            <w:tcW w:type="dxa" w:w="2268"/>
            <w:vAlign w:val="top"/>
            <w:tcMar>
              <w:top w:w="80" w:type="dxa"/>
              <w:start w:w="90" w:type="dxa"/>
              <w:bottom w:w="80" w:type="dxa"/>
              <w:end w:w="90" w:type="dxa"/>
            </w:tcMar>
          </w:tcPr>
          <w:p>
            <w:pPr>
              <w:pStyle w:val="TableText"/>
            </w:pPr>
            <w:r>
              <w:rPr>
                <w:rFonts w:ascii="Arial" w:hAnsi="Arial"/>
                <w:sz w:val="16"/>
              </w:rPr>
              <w:t>Quelle → Mapping → SSOT</w:t>
            </w:r>
          </w:p>
        </w:tc>
        <w:tc>
          <w:tcPr>
            <w:tcW w:type="dxa" w:w="4819"/>
            <w:vAlign w:val="top"/>
            <w:tcMar>
              <w:top w:w="80" w:type="dxa"/>
              <w:start w:w="90" w:type="dxa"/>
              <w:bottom w:w="80" w:type="dxa"/>
              <w:end w:w="90" w:type="dxa"/>
            </w:tcMar>
          </w:tcPr>
          <w:p>
            <w:pPr>
              <w:pStyle w:val="TableText"/>
            </w:pPr>
            <w:r>
              <w:rPr>
                <w:rFonts w:ascii="Arial" w:hAnsi="Arial"/>
                <w:sz w:val="16"/>
              </w:rPr>
              <w:t>Archiviert reale Quelle importieren; K0/K1/K2 und G1/G2/G3 ausführbar; SSOT-Hoheit und Review/Blockade demonstrieren.</w:t>
            </w:r>
          </w:p>
        </w:tc>
        <w:tc>
          <w:tcPr>
            <w:tcW w:type="dxa" w:w="1247"/>
            <w:vAlign w:val="top"/>
            <w:tcMar>
              <w:top w:w="80" w:type="dxa"/>
              <w:start w:w="90" w:type="dxa"/>
              <w:bottom w:w="80" w:type="dxa"/>
              <w:end w:w="90" w:type="dxa"/>
            </w:tcMar>
          </w:tcPr>
          <w:p>
            <w:pPr>
              <w:pStyle w:val="TableText"/>
            </w:pPr>
            <w:r>
              <w:rPr>
                <w:rFonts w:ascii="Arial" w:hAnsi="Arial"/>
                <w:sz w:val="16"/>
              </w:rPr>
              <w:t>MS2-IG2</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MS2-W3</w:t>
            </w:r>
          </w:p>
        </w:tc>
        <w:tc>
          <w:tcPr>
            <w:tcW w:type="dxa" w:w="2268"/>
            <w:vAlign w:val="top"/>
            <w:tcMar>
              <w:top w:w="80" w:type="dxa"/>
              <w:start w:w="90" w:type="dxa"/>
              <w:bottom w:w="80" w:type="dxa"/>
              <w:end w:w="90" w:type="dxa"/>
            </w:tcMar>
            <w:shd w:fill="F8FAFC"/>
          </w:tcPr>
          <w:p>
            <w:pPr>
              <w:pStyle w:val="TableText"/>
            </w:pPr>
            <w:r>
              <w:rPr>
                <w:rFonts w:ascii="Arial" w:hAnsi="Arial"/>
                <w:sz w:val="16"/>
              </w:rPr>
              <w:t>Monitoring → Empfehlung → Snapshot/Manager</w:t>
            </w:r>
          </w:p>
        </w:tc>
        <w:tc>
          <w:tcPr>
            <w:tcW w:type="dxa" w:w="4819"/>
            <w:vAlign w:val="top"/>
            <w:tcMar>
              <w:top w:w="80" w:type="dxa"/>
              <w:start w:w="90" w:type="dxa"/>
              <w:bottom w:w="80" w:type="dxa"/>
              <w:end w:w="90" w:type="dxa"/>
            </w:tcMar>
            <w:shd w:fill="F8FAFC"/>
          </w:tcPr>
          <w:p>
            <w:pPr>
              <w:pStyle w:val="TableText"/>
            </w:pPr>
            <w:r>
              <w:rPr>
                <w:rFonts w:ascii="Arial" w:hAnsi="Arial"/>
                <w:sz w:val="16"/>
              </w:rPr>
              <w:t>Monitoring-Datenstand, Eligibility, Locks/Re-Check, vollständige Variante, Pilotmodell, Release/Snapshot, Managerentscheidung und G4–G6.</w:t>
            </w:r>
          </w:p>
        </w:tc>
        <w:tc>
          <w:tcPr>
            <w:tcW w:type="dxa" w:w="1247"/>
            <w:vAlign w:val="top"/>
            <w:tcMar>
              <w:top w:w="80" w:type="dxa"/>
              <w:start w:w="90" w:type="dxa"/>
              <w:bottom w:w="80" w:type="dxa"/>
              <w:end w:w="90" w:type="dxa"/>
            </w:tcMar>
            <w:shd w:fill="F8FAFC"/>
          </w:tcPr>
          <w:p>
            <w:pPr>
              <w:pStyle w:val="TableText"/>
            </w:pPr>
            <w:r>
              <w:rPr>
                <w:rFonts w:ascii="Arial" w:hAnsi="Arial"/>
                <w:sz w:val="16"/>
              </w:rPr>
              <w:t>MS2-IG3</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MS2-W4</w:t>
            </w:r>
          </w:p>
        </w:tc>
        <w:tc>
          <w:tcPr>
            <w:tcW w:type="dxa" w:w="2268"/>
            <w:vAlign w:val="top"/>
            <w:tcMar>
              <w:top w:w="80" w:type="dxa"/>
              <w:start w:w="90" w:type="dxa"/>
              <w:bottom w:w="80" w:type="dxa"/>
              <w:end w:w="90" w:type="dxa"/>
            </w:tcMar>
          </w:tcPr>
          <w:p>
            <w:pPr>
              <w:pStyle w:val="TableText"/>
            </w:pPr>
            <w:r>
              <w:rPr>
                <w:rFonts w:ascii="Arial" w:hAnsi="Arial"/>
                <w:sz w:val="16"/>
              </w:rPr>
              <w:t>Ergebnis → Evaluation</w:t>
            </w:r>
          </w:p>
        </w:tc>
        <w:tc>
          <w:tcPr>
            <w:tcW w:type="dxa" w:w="4819"/>
            <w:vAlign w:val="top"/>
            <w:tcMar>
              <w:top w:w="80" w:type="dxa"/>
              <w:start w:w="90" w:type="dxa"/>
              <w:bottom w:w="80" w:type="dxa"/>
              <w:end w:w="90" w:type="dxa"/>
            </w:tcMar>
          </w:tcPr>
          <w:p>
            <w:pPr>
              <w:pStyle w:val="TableText"/>
            </w:pPr>
            <w:r>
              <w:rPr>
                <w:rFonts w:ascii="Arial" w:hAnsi="Arial"/>
                <w:sz w:val="16"/>
              </w:rPr>
              <w:t>Ist-Daten, Regelberechnung, Ergebnisversion/Korrektur, Evaluation; K6/K7 und G7.</w:t>
            </w:r>
          </w:p>
        </w:tc>
        <w:tc>
          <w:tcPr>
            <w:tcW w:type="dxa" w:w="1247"/>
            <w:vAlign w:val="top"/>
            <w:tcMar>
              <w:top w:w="80" w:type="dxa"/>
              <w:start w:w="90" w:type="dxa"/>
              <w:bottom w:w="80" w:type="dxa"/>
              <w:end w:w="90" w:type="dxa"/>
            </w:tcMar>
          </w:tcPr>
          <w:p>
            <w:pPr>
              <w:pStyle w:val="TableText"/>
            </w:pPr>
            <w:r>
              <w:rPr>
                <w:rFonts w:ascii="Arial" w:hAnsi="Arial"/>
                <w:sz w:val="16"/>
              </w:rPr>
              <w:t>MS2-IG4</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MS2-W5</w:t>
            </w:r>
          </w:p>
        </w:tc>
        <w:tc>
          <w:tcPr>
            <w:tcW w:type="dxa" w:w="2268"/>
            <w:vAlign w:val="top"/>
            <w:tcMar>
              <w:top w:w="80" w:type="dxa"/>
              <w:start w:w="90" w:type="dxa"/>
              <w:bottom w:w="80" w:type="dxa"/>
              <w:end w:w="90" w:type="dxa"/>
            </w:tcMar>
            <w:shd w:fill="F8FAFC"/>
          </w:tcPr>
          <w:p>
            <w:pPr>
              <w:pStyle w:val="TableText"/>
            </w:pPr>
            <w:r>
              <w:rPr>
                <w:rFonts w:ascii="Arial" w:hAnsi="Arial"/>
                <w:sz w:val="16"/>
              </w:rPr>
              <w:t>Replay und Fehlerpilot</w:t>
            </w:r>
          </w:p>
        </w:tc>
        <w:tc>
          <w:tcPr>
            <w:tcW w:type="dxa" w:w="4819"/>
            <w:vAlign w:val="top"/>
            <w:tcMar>
              <w:top w:w="80" w:type="dxa"/>
              <w:start w:w="90" w:type="dxa"/>
              <w:bottom w:w="80" w:type="dxa"/>
              <w:end w:w="90" w:type="dxa"/>
            </w:tcMar>
            <w:shd w:fill="F8FAFC"/>
          </w:tcPr>
          <w:p>
            <w:pPr>
              <w:pStyle w:val="TableText"/>
            </w:pPr>
            <w:r>
              <w:rPr>
                <w:rFonts w:ascii="Arial" w:hAnsi="Arial"/>
                <w:sz w:val="16"/>
              </w:rPr>
              <w:t>Vollständiger historischer Replay; verbindliches 13-Fälle-TC6-Mindestset nach §10; Fault Injection; End-to-End-Traceability und Kontrollwirksamkeit.</w:t>
            </w:r>
          </w:p>
        </w:tc>
        <w:tc>
          <w:tcPr>
            <w:tcW w:type="dxa" w:w="1247"/>
            <w:vAlign w:val="top"/>
            <w:tcMar>
              <w:top w:w="80" w:type="dxa"/>
              <w:start w:w="90" w:type="dxa"/>
              <w:bottom w:w="80" w:type="dxa"/>
              <w:end w:w="90" w:type="dxa"/>
            </w:tcMar>
            <w:shd w:fill="F8FAFC"/>
          </w:tcPr>
          <w:p>
            <w:pPr>
              <w:pStyle w:val="TableText"/>
            </w:pPr>
            <w:r>
              <w:rPr>
                <w:rFonts w:ascii="Arial" w:hAnsi="Arial"/>
                <w:sz w:val="16"/>
              </w:rPr>
              <w:t>MS2-IG5/IG6</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MS2-W6</w:t>
            </w:r>
          </w:p>
        </w:tc>
        <w:tc>
          <w:tcPr>
            <w:tcW w:type="dxa" w:w="2268"/>
            <w:vAlign w:val="top"/>
            <w:tcMar>
              <w:top w:w="80" w:type="dxa"/>
              <w:start w:w="90" w:type="dxa"/>
              <w:bottom w:w="80" w:type="dxa"/>
              <w:end w:w="90" w:type="dxa"/>
            </w:tcMar>
          </w:tcPr>
          <w:p>
            <w:pPr>
              <w:pStyle w:val="TableText"/>
            </w:pPr>
            <w:r>
              <w:rPr>
                <w:rFonts w:ascii="Arial" w:hAnsi="Arial"/>
                <w:sz w:val="16"/>
              </w:rPr>
              <w:t>Live-/Operationspilot</w:t>
            </w:r>
          </w:p>
        </w:tc>
        <w:tc>
          <w:tcPr>
            <w:tcW w:type="dxa" w:w="4819"/>
            <w:vAlign w:val="top"/>
            <w:tcMar>
              <w:top w:w="80" w:type="dxa"/>
              <w:start w:w="90" w:type="dxa"/>
              <w:bottom w:w="80" w:type="dxa"/>
              <w:end w:w="90" w:type="dxa"/>
            </w:tcMar>
          </w:tcPr>
          <w:p>
            <w:pPr>
              <w:pStyle w:val="TableText"/>
            </w:pPr>
            <w:r>
              <w:rPr>
                <w:rFonts w:ascii="Arial" w:hAnsi="Arial"/>
                <w:sz w:val="16"/>
              </w:rPr>
              <w:t>Aktueller Spieltag bzw. reales Pilotfenster; Aktualität, Terminänderungen, Re-Checks, Locks, Quellenweg und Bedienaufwand.</w:t>
            </w:r>
          </w:p>
        </w:tc>
        <w:tc>
          <w:tcPr>
            <w:tcW w:type="dxa" w:w="1247"/>
            <w:vAlign w:val="top"/>
            <w:tcMar>
              <w:top w:w="80" w:type="dxa"/>
              <w:start w:w="90" w:type="dxa"/>
              <w:bottom w:w="80" w:type="dxa"/>
              <w:end w:w="90" w:type="dxa"/>
            </w:tcMar>
          </w:tcPr>
          <w:p>
            <w:pPr>
              <w:pStyle w:val="TableText"/>
            </w:pPr>
            <w:r>
              <w:rPr>
                <w:rFonts w:ascii="Arial" w:hAnsi="Arial"/>
                <w:sz w:val="16"/>
              </w:rPr>
              <w:t>MS2-IG7</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MS2-W7</w:t>
            </w:r>
          </w:p>
        </w:tc>
        <w:tc>
          <w:tcPr>
            <w:tcW w:type="dxa" w:w="2268"/>
            <w:vAlign w:val="top"/>
            <w:tcMar>
              <w:top w:w="80" w:type="dxa"/>
              <w:start w:w="90" w:type="dxa"/>
              <w:bottom w:w="80" w:type="dxa"/>
              <w:end w:w="90" w:type="dxa"/>
            </w:tcMar>
            <w:shd w:fill="F8FAFC"/>
          </w:tcPr>
          <w:p>
            <w:pPr>
              <w:pStyle w:val="TableText"/>
            </w:pPr>
            <w:r>
              <w:rPr>
                <w:rFonts w:ascii="Arial" w:hAnsi="Arial"/>
                <w:sz w:val="16"/>
              </w:rPr>
              <w:t>Abnahme und Übergabe</w:t>
            </w:r>
          </w:p>
        </w:tc>
        <w:tc>
          <w:tcPr>
            <w:tcW w:type="dxa" w:w="4819"/>
            <w:vAlign w:val="top"/>
            <w:tcMar>
              <w:top w:w="80" w:type="dxa"/>
              <w:start w:w="90" w:type="dxa"/>
              <w:bottom w:w="80" w:type="dxa"/>
              <w:end w:w="90" w:type="dxa"/>
            </w:tcMar>
            <w:shd w:fill="F8FAFC"/>
          </w:tcPr>
          <w:p>
            <w:pPr>
              <w:pStyle w:val="TableText"/>
            </w:pPr>
            <w:r>
              <w:rPr>
                <w:rFonts w:ascii="Arial" w:hAnsi="Arial"/>
                <w:sz w:val="16"/>
              </w:rPr>
              <w:t>Gesamt-QA; Evidenzpaket; Status offener Abhängigkeiten; formale MS2-Abnahme und Registerfortschreibung.</w:t>
            </w:r>
          </w:p>
        </w:tc>
        <w:tc>
          <w:tcPr>
            <w:tcW w:type="dxa" w:w="1247"/>
            <w:vAlign w:val="top"/>
            <w:tcMar>
              <w:top w:w="80" w:type="dxa"/>
              <w:start w:w="90" w:type="dxa"/>
              <w:bottom w:w="80" w:type="dxa"/>
              <w:end w:w="90" w:type="dxa"/>
            </w:tcMar>
            <w:shd w:fill="F8FAFC"/>
          </w:tcPr>
          <w:p>
            <w:pPr>
              <w:pStyle w:val="TableText"/>
            </w:pPr>
            <w:r>
              <w:rPr>
                <w:rFonts w:ascii="Arial" w:hAnsi="Arial"/>
                <w:sz w:val="16"/>
              </w:rPr>
              <w:t>MS2-IG8</w:t>
            </w:r>
          </w:p>
        </w:tc>
      </w:tr>
    </w:tbl>
    <w:p>
      <w:pPr>
        <w:spacing w:after="0"/>
      </w:pPr>
    </w:p>
    <w:p>
      <w:pPr>
        <w:pStyle w:val="Heading1"/>
      </w:pPr>
      <w:r>
        <w:t>8. MS2-Integrationsgates</w:t>
      </w:r>
    </w:p>
    <w:p>
      <w:r>
        <w:t>Die MS2-Integrationsgates sind Projektsteuerungsgates und werden bewusst mit dem Präfix MS2-IG geführt. Sie ersetzen oder verändern die fachlichen Freigabegates G1–G7 aus DOC-015 nicht.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134"/>
            <w:vAlign w:val="top"/>
            <w:tcMar>
              <w:top w:w="80" w:type="dxa"/>
              <w:start w:w="90" w:type="dxa"/>
              <w:bottom w:w="80" w:type="dxa"/>
              <w:end w:w="90" w:type="dxa"/>
            </w:tcMar>
            <w:shd w:fill="17365D"/>
          </w:tcPr>
          <w:p>
            <w:pPr>
              <w:pStyle w:val="TableText"/>
            </w:pPr>
            <w:r>
              <w:rPr>
                <w:rFonts w:ascii="Arial" w:hAnsi="Arial"/>
                <w:b/>
                <w:color w:val="FFFFFF"/>
                <w:sz w:val="16"/>
              </w:rPr>
              <w:t>Gate</w:t>
            </w:r>
          </w:p>
        </w:tc>
        <w:tc>
          <w:tcPr>
            <w:tcW w:type="dxa" w:w="2381"/>
            <w:vAlign w:val="top"/>
            <w:tcMar>
              <w:top w:w="80" w:type="dxa"/>
              <w:start w:w="90" w:type="dxa"/>
              <w:bottom w:w="80" w:type="dxa"/>
              <w:end w:w="90" w:type="dxa"/>
            </w:tcMar>
            <w:shd w:fill="17365D"/>
          </w:tcPr>
          <w:p>
            <w:pPr>
              <w:pStyle w:val="TableText"/>
            </w:pPr>
            <w:r>
              <w:rPr>
                <w:rFonts w:ascii="Arial" w:hAnsi="Arial"/>
                <w:b/>
                <w:color w:val="FFFFFF"/>
                <w:sz w:val="16"/>
              </w:rPr>
              <w:t>Prüfziel</w:t>
            </w:r>
          </w:p>
        </w:tc>
        <w:tc>
          <w:tcPr>
            <w:tcW w:type="dxa" w:w="4762"/>
            <w:vAlign w:val="top"/>
            <w:tcMar>
              <w:top w:w="80" w:type="dxa"/>
              <w:start w:w="90" w:type="dxa"/>
              <w:bottom w:w="80" w:type="dxa"/>
              <w:end w:w="90" w:type="dxa"/>
            </w:tcMar>
            <w:shd w:fill="17365D"/>
          </w:tcPr>
          <w:p>
            <w:pPr>
              <w:pStyle w:val="TableText"/>
            </w:pPr>
            <w:r>
              <w:rPr>
                <w:rFonts w:ascii="Arial" w:hAnsi="Arial"/>
                <w:b/>
                <w:color w:val="FFFFFF"/>
                <w:sz w:val="16"/>
              </w:rPr>
              <w:t>PASS-Mindestbedingung</w:t>
            </w:r>
          </w:p>
        </w:tc>
        <w:tc>
          <w:tcPr>
            <w:tcW w:type="dxa" w:w="1191"/>
            <w:vAlign w:val="top"/>
            <w:tcMar>
              <w:top w:w="80" w:type="dxa"/>
              <w:start w:w="90" w:type="dxa"/>
              <w:bottom w:w="80" w:type="dxa"/>
              <w:end w:w="90" w:type="dxa"/>
            </w:tcMar>
            <w:shd w:fill="17365D"/>
          </w:tcPr>
          <w:p>
            <w:pPr>
              <w:pStyle w:val="TableText"/>
            </w:pPr>
            <w:r>
              <w:rPr>
                <w:rFonts w:ascii="Arial" w:hAnsi="Arial"/>
                <w:b/>
                <w:color w:val="FFFFFF"/>
                <w:sz w:val="16"/>
              </w:rPr>
              <w:t>Freigabewirkung</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MS2-IG0</w:t>
            </w:r>
          </w:p>
        </w:tc>
        <w:tc>
          <w:tcPr>
            <w:tcW w:type="dxa" w:w="2381"/>
            <w:vAlign w:val="top"/>
            <w:tcMar>
              <w:top w:w="80" w:type="dxa"/>
              <w:start w:w="90" w:type="dxa"/>
              <w:bottom w:w="80" w:type="dxa"/>
              <w:end w:w="90" w:type="dxa"/>
            </w:tcMar>
          </w:tcPr>
          <w:p>
            <w:pPr>
              <w:pStyle w:val="TableText"/>
            </w:pPr>
            <w:r>
              <w:rPr>
                <w:rFonts w:ascii="Arial" w:hAnsi="Arial"/>
                <w:sz w:val="16"/>
              </w:rPr>
              <w:t>Steuerungs-/Repo-Readiness</w:t>
            </w:r>
          </w:p>
        </w:tc>
        <w:tc>
          <w:tcPr>
            <w:tcW w:type="dxa" w:w="4762"/>
            <w:vAlign w:val="top"/>
            <w:tcMar>
              <w:top w:w="80" w:type="dxa"/>
              <w:start w:w="90" w:type="dxa"/>
              <w:bottom w:w="80" w:type="dxa"/>
              <w:end w:w="90" w:type="dxa"/>
            </w:tcMar>
          </w:tcPr>
          <w:p>
            <w:pPr>
              <w:pStyle w:val="TableText"/>
            </w:pPr>
            <w:r>
              <w:rPr>
                <w:rFonts w:ascii="Arial" w:hAnsi="Arial"/>
                <w:sz w:val="16"/>
              </w:rPr>
              <w:t>MS2-Steuerung freigegeben; Repo/Git, minimale Arbeitsregeln, Spec-Manifest und lokal reproduzierbarer Start stehen. Keine über den ersten Slice hinausgehende Plattformarbeit ist Gate-Voraussetzung.</w:t>
            </w:r>
          </w:p>
        </w:tc>
        <w:tc>
          <w:tcPr>
            <w:tcW w:type="dxa" w:w="1191"/>
            <w:vAlign w:val="top"/>
            <w:tcMar>
              <w:top w:w="80" w:type="dxa"/>
              <w:start w:w="90" w:type="dxa"/>
              <w:bottom w:w="80" w:type="dxa"/>
              <w:end w:w="90" w:type="dxa"/>
            </w:tcMar>
          </w:tcPr>
          <w:p>
            <w:pPr>
              <w:pStyle w:val="TableText"/>
            </w:pPr>
            <w:r>
              <w:rPr>
                <w:rFonts w:ascii="Arial" w:hAnsi="Arial"/>
                <w:sz w:val="16"/>
              </w:rPr>
              <w:t>W1 starten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MS2-IG1</w:t>
            </w:r>
          </w:p>
        </w:tc>
        <w:tc>
          <w:tcPr>
            <w:tcW w:type="dxa" w:w="2381"/>
            <w:vAlign w:val="top"/>
            <w:tcMar>
              <w:top w:w="80" w:type="dxa"/>
              <w:start w:w="90" w:type="dxa"/>
              <w:bottom w:w="80" w:type="dxa"/>
              <w:end w:w="90" w:type="dxa"/>
            </w:tcMar>
            <w:shd w:fill="F8FAFC"/>
          </w:tcPr>
          <w:p>
            <w:pPr>
              <w:pStyle w:val="TableText"/>
            </w:pPr>
            <w:r>
              <w:rPr>
                <w:rFonts w:ascii="Arial" w:hAnsi="Arial"/>
                <w:sz w:val="16"/>
              </w:rPr>
              <w:t>Technisches Fundament</w:t>
            </w:r>
          </w:p>
        </w:tc>
        <w:tc>
          <w:tcPr>
            <w:tcW w:type="dxa" w:w="4762"/>
            <w:vAlign w:val="top"/>
            <w:tcMar>
              <w:top w:w="80" w:type="dxa"/>
              <w:start w:w="90" w:type="dxa"/>
              <w:bottom w:w="80" w:type="dxa"/>
              <w:end w:w="90" w:type="dxa"/>
            </w:tcMar>
            <w:shd w:fill="F8FAFC"/>
          </w:tcPr>
          <w:p>
            <w:pPr>
              <w:pStyle w:val="TableText"/>
            </w:pPr>
            <w:r>
              <w:rPr>
                <w:rFonts w:ascii="Arial" w:hAnsi="Arial"/>
                <w:sz w:val="16"/>
              </w:rPr>
              <w:t>Die minimale Run-/Version-/Evidence-/Control-Event-Grundlage ist durch einen Smoke-Pfad testbar und reproduzierbar; MS2-W2 kann ohne weitere Plattformkomponenten starten.</w:t>
            </w:r>
          </w:p>
        </w:tc>
        <w:tc>
          <w:tcPr>
            <w:tcW w:type="dxa" w:w="1191"/>
            <w:vAlign w:val="top"/>
            <w:tcMar>
              <w:top w:w="80" w:type="dxa"/>
              <w:start w:w="90" w:type="dxa"/>
              <w:bottom w:w="80" w:type="dxa"/>
              <w:end w:w="90" w:type="dxa"/>
            </w:tcMar>
            <w:shd w:fill="F8FAFC"/>
          </w:tcPr>
          <w:p>
            <w:pPr>
              <w:pStyle w:val="TableText"/>
            </w:pPr>
            <w:r>
              <w:rPr>
                <w:rFonts w:ascii="Arial" w:hAnsi="Arial"/>
                <w:sz w:val="16"/>
              </w:rPr>
              <w:t>W2 starten</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MS2-IG2</w:t>
            </w:r>
          </w:p>
        </w:tc>
        <w:tc>
          <w:tcPr>
            <w:tcW w:type="dxa" w:w="2381"/>
            <w:vAlign w:val="top"/>
            <w:tcMar>
              <w:top w:w="80" w:type="dxa"/>
              <w:start w:w="90" w:type="dxa"/>
              <w:bottom w:w="80" w:type="dxa"/>
              <w:end w:w="90" w:type="dxa"/>
            </w:tcMar>
          </w:tcPr>
          <w:p>
            <w:pPr>
              <w:pStyle w:val="TableText"/>
            </w:pPr>
            <w:r>
              <w:rPr>
                <w:rFonts w:ascii="Arial" w:hAnsi="Arial"/>
                <w:sz w:val="16"/>
              </w:rPr>
              <w:t>Source-to-SSOT</w:t>
            </w:r>
          </w:p>
        </w:tc>
        <w:tc>
          <w:tcPr>
            <w:tcW w:type="dxa" w:w="4762"/>
            <w:vAlign w:val="top"/>
            <w:tcMar>
              <w:top w:w="80" w:type="dxa"/>
              <w:start w:w="90" w:type="dxa"/>
              <w:bottom w:w="80" w:type="dxa"/>
              <w:end w:w="90" w:type="dxa"/>
            </w:tcMar>
          </w:tcPr>
          <w:p>
            <w:pPr>
              <w:pStyle w:val="TableText"/>
            </w:pPr>
            <w:r>
              <w:rPr>
                <w:rFonts w:ascii="Arial" w:hAnsi="Arial"/>
                <w:sz w:val="16"/>
              </w:rPr>
              <w:t>Ein realer Datenpfad passiert G1–G3 oder blockiert nachvollziehbar.</w:t>
            </w:r>
          </w:p>
        </w:tc>
        <w:tc>
          <w:tcPr>
            <w:tcW w:type="dxa" w:w="1191"/>
            <w:vAlign w:val="top"/>
            <w:tcMar>
              <w:top w:w="80" w:type="dxa"/>
              <w:start w:w="90" w:type="dxa"/>
              <w:bottom w:w="80" w:type="dxa"/>
              <w:end w:w="90" w:type="dxa"/>
            </w:tcMar>
          </w:tcPr>
          <w:p>
            <w:pPr>
              <w:pStyle w:val="TableText"/>
            </w:pPr>
            <w:r>
              <w:rPr>
                <w:rFonts w:ascii="Arial" w:hAnsi="Arial"/>
                <w:sz w:val="16"/>
              </w:rPr>
              <w:t>W3 starten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MS2-IG3</w:t>
            </w:r>
          </w:p>
        </w:tc>
        <w:tc>
          <w:tcPr>
            <w:tcW w:type="dxa" w:w="2381"/>
            <w:vAlign w:val="top"/>
            <w:tcMar>
              <w:top w:w="80" w:type="dxa"/>
              <w:start w:w="90" w:type="dxa"/>
              <w:bottom w:w="80" w:type="dxa"/>
              <w:end w:w="90" w:type="dxa"/>
            </w:tcMar>
            <w:shd w:fill="F8FAFC"/>
          </w:tcPr>
          <w:p>
            <w:pPr>
              <w:pStyle w:val="TableText"/>
            </w:pPr>
            <w:r>
              <w:rPr>
                <w:rFonts w:ascii="Arial" w:hAnsi="Arial"/>
                <w:sz w:val="16"/>
              </w:rPr>
              <w:t>Recommendation Path</w:t>
            </w:r>
          </w:p>
        </w:tc>
        <w:tc>
          <w:tcPr>
            <w:tcW w:type="dxa" w:w="4762"/>
            <w:vAlign w:val="top"/>
            <w:tcMar>
              <w:top w:w="80" w:type="dxa"/>
              <w:start w:w="90" w:type="dxa"/>
              <w:bottom w:w="80" w:type="dxa"/>
              <w:end w:w="90" w:type="dxa"/>
            </w:tcMar>
            <w:shd w:fill="F8FAFC"/>
          </w:tcPr>
          <w:p>
            <w:pPr>
              <w:pStyle w:val="TableText"/>
            </w:pPr>
            <w:r>
              <w:rPr>
                <w:rFonts w:ascii="Arial" w:hAnsi="Arial"/>
                <w:sz w:val="16"/>
              </w:rPr>
              <w:t>Monitoring bis wirksame Aufstellung funktioniert; G4–G6, Lock und Snapshottrennung wirken.</w:t>
            </w:r>
          </w:p>
        </w:tc>
        <w:tc>
          <w:tcPr>
            <w:tcW w:type="dxa" w:w="1191"/>
            <w:vAlign w:val="top"/>
            <w:tcMar>
              <w:top w:w="80" w:type="dxa"/>
              <w:start w:w="90" w:type="dxa"/>
              <w:bottom w:w="80" w:type="dxa"/>
              <w:end w:w="90" w:type="dxa"/>
            </w:tcMar>
            <w:shd w:fill="F8FAFC"/>
          </w:tcPr>
          <w:p>
            <w:pPr>
              <w:pStyle w:val="TableText"/>
            </w:pPr>
            <w:r>
              <w:rPr>
                <w:rFonts w:ascii="Arial" w:hAnsi="Arial"/>
                <w:sz w:val="16"/>
              </w:rPr>
              <w:t>W4 starten</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MS2-IG4</w:t>
            </w:r>
          </w:p>
        </w:tc>
        <w:tc>
          <w:tcPr>
            <w:tcW w:type="dxa" w:w="2381"/>
            <w:vAlign w:val="top"/>
            <w:tcMar>
              <w:top w:w="80" w:type="dxa"/>
              <w:start w:w="90" w:type="dxa"/>
              <w:bottom w:w="80" w:type="dxa"/>
              <w:end w:w="90" w:type="dxa"/>
            </w:tcMar>
          </w:tcPr>
          <w:p>
            <w:pPr>
              <w:pStyle w:val="TableText"/>
            </w:pPr>
            <w:r>
              <w:rPr>
                <w:rFonts w:ascii="Arial" w:hAnsi="Arial"/>
                <w:sz w:val="16"/>
              </w:rPr>
              <w:t>Result/Evaluation Path</w:t>
            </w:r>
          </w:p>
        </w:tc>
        <w:tc>
          <w:tcPr>
            <w:tcW w:type="dxa" w:w="4762"/>
            <w:vAlign w:val="top"/>
            <w:tcMar>
              <w:top w:w="80" w:type="dxa"/>
              <w:start w:w="90" w:type="dxa"/>
              <w:bottom w:w="80" w:type="dxa"/>
              <w:end w:w="90" w:type="dxa"/>
            </w:tcMar>
          </w:tcPr>
          <w:p>
            <w:pPr>
              <w:pStyle w:val="TableText"/>
            </w:pPr>
            <w:r>
              <w:rPr>
                <w:rFonts w:ascii="Arial" w:hAnsi="Arial"/>
                <w:sz w:val="16"/>
              </w:rPr>
              <w:t>G7 und Evaluation funktionieren inklusive Sonder-/Korrekturstatus.</w:t>
            </w:r>
          </w:p>
        </w:tc>
        <w:tc>
          <w:tcPr>
            <w:tcW w:type="dxa" w:w="1191"/>
            <w:vAlign w:val="top"/>
            <w:tcMar>
              <w:top w:w="80" w:type="dxa"/>
              <w:start w:w="90" w:type="dxa"/>
              <w:bottom w:w="80" w:type="dxa"/>
              <w:end w:w="90" w:type="dxa"/>
            </w:tcMar>
          </w:tcPr>
          <w:p>
            <w:pPr>
              <w:pStyle w:val="TableText"/>
            </w:pPr>
            <w:r>
              <w:rPr>
                <w:rFonts w:ascii="Arial" w:hAnsi="Arial"/>
                <w:sz w:val="16"/>
              </w:rPr>
              <w:t>W5 starten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MS2-IG5</w:t>
            </w:r>
          </w:p>
        </w:tc>
        <w:tc>
          <w:tcPr>
            <w:tcW w:type="dxa" w:w="2381"/>
            <w:vAlign w:val="top"/>
            <w:tcMar>
              <w:top w:w="80" w:type="dxa"/>
              <w:start w:w="90" w:type="dxa"/>
              <w:bottom w:w="80" w:type="dxa"/>
              <w:end w:w="90" w:type="dxa"/>
            </w:tcMar>
            <w:shd w:fill="F8FAFC"/>
          </w:tcPr>
          <w:p>
            <w:pPr>
              <w:pStyle w:val="TableText"/>
            </w:pPr>
            <w:r>
              <w:rPr>
                <w:rFonts w:ascii="Arial" w:hAnsi="Arial"/>
                <w:sz w:val="16"/>
              </w:rPr>
              <w:t>Replay PASS</w:t>
            </w:r>
          </w:p>
        </w:tc>
        <w:tc>
          <w:tcPr>
            <w:tcW w:type="dxa" w:w="4762"/>
            <w:vAlign w:val="top"/>
            <w:tcMar>
              <w:top w:w="80" w:type="dxa"/>
              <w:start w:w="90" w:type="dxa"/>
              <w:bottom w:w="80" w:type="dxa"/>
              <w:end w:w="90" w:type="dxa"/>
            </w:tcMar>
            <w:shd w:fill="F8FAFC"/>
          </w:tcPr>
          <w:p>
            <w:pPr>
              <w:pStyle w:val="TableText"/>
            </w:pPr>
            <w:r>
              <w:rPr>
                <w:rFonts w:ascii="Arial" w:hAnsi="Arial"/>
                <w:sz w:val="16"/>
              </w:rPr>
              <w:t>Wiederholung des eingefrorenen Pilot-Spieltags liefert gleiche fachliche Outputs und vollständige Lineage.</w:t>
            </w:r>
          </w:p>
        </w:tc>
        <w:tc>
          <w:tcPr>
            <w:tcW w:type="dxa" w:w="1191"/>
            <w:vAlign w:val="top"/>
            <w:tcMar>
              <w:top w:w="80" w:type="dxa"/>
              <w:start w:w="90" w:type="dxa"/>
              <w:bottom w:w="80" w:type="dxa"/>
              <w:end w:w="90" w:type="dxa"/>
            </w:tcMar>
            <w:shd w:fill="F8FAFC"/>
          </w:tcPr>
          <w:p>
            <w:pPr>
              <w:pStyle w:val="TableText"/>
            </w:pPr>
            <w:r>
              <w:rPr>
                <w:rFonts w:ascii="Arial" w:hAnsi="Arial"/>
                <w:sz w:val="16"/>
              </w:rPr>
              <w:t>Fehlerpilot freigeben</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MS2-IG6</w:t>
            </w:r>
          </w:p>
        </w:tc>
        <w:tc>
          <w:tcPr>
            <w:tcW w:type="dxa" w:w="2381"/>
            <w:vAlign w:val="top"/>
            <w:tcMar>
              <w:top w:w="80" w:type="dxa"/>
              <w:start w:w="90" w:type="dxa"/>
              <w:bottom w:w="80" w:type="dxa"/>
              <w:end w:w="90" w:type="dxa"/>
            </w:tcMar>
          </w:tcPr>
          <w:p>
            <w:pPr>
              <w:pStyle w:val="TableText"/>
            </w:pPr>
            <w:r>
              <w:rPr>
                <w:rFonts w:ascii="Arial" w:hAnsi="Arial"/>
                <w:sz w:val="16"/>
              </w:rPr>
              <w:t>Fault Suite PASS</w:t>
            </w:r>
          </w:p>
        </w:tc>
        <w:tc>
          <w:tcPr>
            <w:tcW w:type="dxa" w:w="4762"/>
            <w:vAlign w:val="top"/>
            <w:tcMar>
              <w:top w:w="80" w:type="dxa"/>
              <w:start w:w="90" w:type="dxa"/>
              <w:bottom w:w="80" w:type="dxa"/>
              <w:end w:w="90" w:type="dxa"/>
            </w:tcMar>
          </w:tcPr>
          <w:p>
            <w:pPr>
              <w:pStyle w:val="TableText"/>
            </w:pPr>
            <w:r>
              <w:rPr>
                <w:rFonts w:ascii="Arial" w:hAnsi="Arial"/>
                <w:sz w:val="16"/>
              </w:rPr>
              <w:t>Alle 13 Pflichtfälle aus §10 verhalten sich gemäß DOC-015 einschließlich erwarteter Warn-, Review- und Blockadewirkung; keine stille Fehlerfortsetzung.</w:t>
            </w:r>
          </w:p>
        </w:tc>
        <w:tc>
          <w:tcPr>
            <w:tcW w:type="dxa" w:w="1191"/>
            <w:vAlign w:val="top"/>
            <w:tcMar>
              <w:top w:w="80" w:type="dxa"/>
              <w:start w:w="90" w:type="dxa"/>
              <w:bottom w:w="80" w:type="dxa"/>
              <w:end w:w="90" w:type="dxa"/>
            </w:tcMar>
          </w:tcPr>
          <w:p>
            <w:pPr>
              <w:pStyle w:val="TableText"/>
            </w:pPr>
            <w:r>
              <w:rPr>
                <w:rFonts w:ascii="Arial" w:hAnsi="Arial"/>
                <w:sz w:val="16"/>
              </w:rPr>
              <w:t>Live-Pilot freigeben</w:t>
            </w:r>
          </w:p>
        </w:tc>
      </w:tr>
      <w:tr>
        <w:trPr>
          <w:cantSplit/>
        </w:trPr>
        <w:tc>
          <w:tcPr>
            <w:tcW w:type="dxa" w:w="1134"/>
            <w:vAlign w:val="top"/>
            <w:tcMar>
              <w:top w:w="80" w:type="dxa"/>
              <w:start w:w="90" w:type="dxa"/>
              <w:bottom w:w="80" w:type="dxa"/>
              <w:end w:w="90" w:type="dxa"/>
            </w:tcMar>
            <w:shd w:fill="F8FAFC"/>
          </w:tcPr>
          <w:p>
            <w:pPr>
              <w:pStyle w:val="TableText"/>
            </w:pPr>
            <w:r>
              <w:rPr>
                <w:rFonts w:ascii="Arial" w:hAnsi="Arial"/>
                <w:sz w:val="16"/>
              </w:rPr>
              <w:t>MS2-IG7</w:t>
            </w:r>
          </w:p>
        </w:tc>
        <w:tc>
          <w:tcPr>
            <w:tcW w:type="dxa" w:w="2381"/>
            <w:vAlign w:val="top"/>
            <w:tcMar>
              <w:top w:w="80" w:type="dxa"/>
              <w:start w:w="90" w:type="dxa"/>
              <w:bottom w:w="80" w:type="dxa"/>
              <w:end w:w="90" w:type="dxa"/>
            </w:tcMar>
            <w:shd w:fill="F8FAFC"/>
          </w:tcPr>
          <w:p>
            <w:pPr>
              <w:pStyle w:val="TableText"/>
            </w:pPr>
            <w:r>
              <w:rPr>
                <w:rFonts w:ascii="Arial" w:hAnsi="Arial"/>
                <w:sz w:val="16"/>
              </w:rPr>
              <w:t>Live-Pilot PASS</w:t>
            </w:r>
          </w:p>
        </w:tc>
        <w:tc>
          <w:tcPr>
            <w:tcW w:type="dxa" w:w="4762"/>
            <w:vAlign w:val="top"/>
            <w:tcMar>
              <w:top w:w="80" w:type="dxa"/>
              <w:start w:w="90" w:type="dxa"/>
              <w:bottom w:w="80" w:type="dxa"/>
              <w:end w:w="90" w:type="dxa"/>
            </w:tcMar>
            <w:shd w:fill="F8FAFC"/>
          </w:tcPr>
          <w:p>
            <w:pPr>
              <w:pStyle w:val="TableText"/>
            </w:pPr>
            <w:r>
              <w:rPr>
                <w:rFonts w:ascii="Arial" w:hAnsi="Arial"/>
                <w:sz w:val="16"/>
              </w:rPr>
              <w:t>Realer zeitgebundener Ablauf inklusive operativer Nachweise wurde durchgeführt.</w:t>
            </w:r>
          </w:p>
        </w:tc>
        <w:tc>
          <w:tcPr>
            <w:tcW w:type="dxa" w:w="1191"/>
            <w:vAlign w:val="top"/>
            <w:tcMar>
              <w:top w:w="80" w:type="dxa"/>
              <w:start w:w="90" w:type="dxa"/>
              <w:bottom w:w="80" w:type="dxa"/>
              <w:end w:w="90" w:type="dxa"/>
            </w:tcMar>
            <w:shd w:fill="F8FAFC"/>
          </w:tcPr>
          <w:p>
            <w:pPr>
              <w:pStyle w:val="TableText"/>
            </w:pPr>
            <w:r>
              <w:rPr>
                <w:rFonts w:ascii="Arial" w:hAnsi="Arial"/>
                <w:sz w:val="16"/>
              </w:rPr>
              <w:t>Abnahme vorbereiten</w:t>
            </w:r>
          </w:p>
        </w:tc>
      </w:tr>
      <w:tr>
        <w:trPr>
          <w:cantSplit/>
        </w:trPr>
        <w:tc>
          <w:tcPr>
            <w:tcW w:type="dxa" w:w="1134"/>
            <w:vAlign w:val="top"/>
            <w:tcMar>
              <w:top w:w="80" w:type="dxa"/>
              <w:start w:w="90" w:type="dxa"/>
              <w:bottom w:w="80" w:type="dxa"/>
              <w:end w:w="90" w:type="dxa"/>
            </w:tcMar>
          </w:tcPr>
          <w:p>
            <w:pPr>
              <w:pStyle w:val="TableText"/>
            </w:pPr>
            <w:r>
              <w:rPr>
                <w:rFonts w:ascii="Arial" w:hAnsi="Arial"/>
                <w:sz w:val="16"/>
              </w:rPr>
              <w:t>MS2-IG8</w:t>
            </w:r>
          </w:p>
        </w:tc>
        <w:tc>
          <w:tcPr>
            <w:tcW w:type="dxa" w:w="2381"/>
            <w:vAlign w:val="top"/>
            <w:tcMar>
              <w:top w:w="80" w:type="dxa"/>
              <w:start w:w="90" w:type="dxa"/>
              <w:bottom w:w="80" w:type="dxa"/>
              <w:end w:w="90" w:type="dxa"/>
            </w:tcMar>
          </w:tcPr>
          <w:p>
            <w:pPr>
              <w:pStyle w:val="TableText"/>
            </w:pPr>
            <w:r>
              <w:rPr>
                <w:rFonts w:ascii="Arial" w:hAnsi="Arial"/>
                <w:sz w:val="16"/>
              </w:rPr>
              <w:t>Abnahmereife</w:t>
            </w:r>
          </w:p>
        </w:tc>
        <w:tc>
          <w:tcPr>
            <w:tcW w:type="dxa" w:w="4762"/>
            <w:vAlign w:val="top"/>
            <w:tcMar>
              <w:top w:w="80" w:type="dxa"/>
              <w:start w:w="90" w:type="dxa"/>
              <w:bottom w:w="80" w:type="dxa"/>
              <w:end w:w="90" w:type="dxa"/>
            </w:tcMar>
          </w:tcPr>
          <w:p>
            <w:pPr>
              <w:pStyle w:val="TableText"/>
            </w:pPr>
            <w:r>
              <w:rPr>
                <w:rFonts w:ascii="Arial" w:hAnsi="Arial"/>
                <w:sz w:val="16"/>
              </w:rPr>
              <w:t>MS2-K01–K12 erfüllt oder ausdrücklich zulässig fortgeführt; keine hohe Blockade; Registerwirkung vorbereitet.</w:t>
            </w:r>
          </w:p>
        </w:tc>
        <w:tc>
          <w:tcPr>
            <w:tcW w:type="dxa" w:w="1191"/>
            <w:vAlign w:val="top"/>
            <w:tcMar>
              <w:top w:w="80" w:type="dxa"/>
              <w:start w:w="90" w:type="dxa"/>
              <w:bottom w:w="80" w:type="dxa"/>
              <w:end w:w="90" w:type="dxa"/>
            </w:tcMar>
          </w:tcPr>
          <w:p>
            <w:pPr>
              <w:pStyle w:val="TableText"/>
            </w:pPr>
            <w:r>
              <w:rPr>
                <w:rFonts w:ascii="Arial" w:hAnsi="Arial"/>
                <w:sz w:val="16"/>
              </w:rPr>
              <w:t>Formale MS2-Abnahme</w:t>
            </w:r>
          </w:p>
        </w:tc>
      </w:tr>
    </w:tbl>
    <w:p>
      <w:pPr>
        <w:spacing w:after="0"/>
      </w:pPr>
    </w:p>
    <w:p>
      <w:pPr>
        <w:pStyle w:val="Heading1"/>
      </w:pPr>
      <w:r>
        <w:t>9. Historischer Replay-Pilot</w:t>
      </w:r>
    </w:p>
    <w:p>
      <w:pPr>
        <w:pStyle w:val="Heading2"/>
      </w:pPr>
      <w:r>
        <w:t>9.1 Auswahl des Pilot-Spieltags</w:t>
      </w:r>
    </w:p>
    <w:p>
      <w:pPr>
        <w:spacing w:after="40"/>
        <w:ind w:left="255" w:hanging="142"/>
      </w:pPr>
      <w:r>
        <w:rPr>
          <w:b/>
        </w:rPr>
        <w:t xml:space="preserve">• </w:t>
      </w:r>
      <w:r>
        <w:t>Bevorzugt wird ein realer historischer Bundesliga-Spieltag beziehungsweise ein realer archivierter Datenstand mit ausreichender Quellen-/Ergebnisabdeckung.</w:t>
      </w:r>
    </w:p>
    <w:p>
      <w:pPr>
        <w:spacing w:after="40"/>
        <w:ind w:left="255" w:hanging="142"/>
      </w:pPr>
      <w:r>
        <w:rPr>
          <w:b/>
        </w:rPr>
        <w:t xml:space="preserve">• </w:t>
      </w:r>
      <w:r>
        <w:t>Die Rohgrundlage wird vor dem ersten Abnahmelauf eingefroren und erhält eine unveränderliche Evidence-/Fixture-Referenz.</w:t>
      </w:r>
    </w:p>
    <w:p>
      <w:pPr>
        <w:spacing w:after="40"/>
        <w:ind w:left="255" w:hanging="142"/>
      </w:pPr>
      <w:r>
        <w:rPr>
          <w:b/>
        </w:rPr>
        <w:t xml:space="preserve">• </w:t>
      </w:r>
      <w:r>
        <w:t>Synthetische Daten sind für Smoke- und Fehlerfälle zulässig, ersetzen aber den realen Replay-Nachweis nicht, sofern ein geeigneter realer Datensatz praktisch verfügbar ist.</w:t>
      </w:r>
    </w:p>
    <w:p>
      <w:pPr>
        <w:spacing w:after="40"/>
        <w:ind w:left="255" w:hanging="142"/>
      </w:pPr>
      <w:r>
        <w:rPr>
          <w:b/>
        </w:rPr>
        <w:t xml:space="preserve">• </w:t>
      </w:r>
      <w:r>
        <w:t>Der Pilotumfang darf fachlich klein gehalten werden, muss aber die vollständige Kette bis zur Evaluation abdecken.</w:t>
      </w:r>
    </w:p>
    <w:p>
      <w:pPr>
        <w:pStyle w:val="Heading2"/>
      </w:pPr>
      <w:r>
        <w:t>9.2 Replay-Protokoll</w:t>
      </w:r>
    </w:p>
    <w:p>
      <w:pPr>
        <w:spacing w:after="40"/>
        <w:ind w:left="255" w:hanging="142"/>
      </w:pPr>
      <w:r>
        <w:rPr>
          <w:b/>
        </w:rPr>
        <w:t xml:space="preserve">• </w:t>
      </w:r>
      <w:r>
        <w:t>Run A aus eingefrorenem Roh-/Evidence-Paket ausführen und Run-Manifest erzeugen.</w:t>
      </w:r>
    </w:p>
    <w:p>
      <w:pPr>
        <w:spacing w:after="40"/>
        <w:ind w:left="255" w:hanging="142"/>
      </w:pPr>
      <w:r>
        <w:rPr>
          <w:b/>
        </w:rPr>
        <w:t xml:space="preserve">• </w:t>
      </w:r>
      <w:r>
        <w:t>Persistierte fachliche Outputs, Control Events, Gate-Ergebnisse und Traceability sichern.</w:t>
      </w:r>
    </w:p>
    <w:p>
      <w:pPr>
        <w:spacing w:after="40"/>
        <w:ind w:left="255" w:hanging="142"/>
      </w:pPr>
      <w:r>
        <w:rPr>
          <w:b/>
        </w:rPr>
        <w:t xml:space="preserve">• </w:t>
      </w:r>
      <w:r>
        <w:t>Technische Laufumgebung zurücksetzen bzw. einen sauberen Wiederanlauf herstellen.</w:t>
      </w:r>
    </w:p>
    <w:p>
      <w:pPr>
        <w:spacing w:after="40"/>
        <w:ind w:left="255" w:hanging="142"/>
      </w:pPr>
      <w:r>
        <w:rPr>
          <w:b/>
        </w:rPr>
        <w:t xml:space="preserve">• </w:t>
      </w:r>
      <w:r>
        <w:t>Run B mit identischem fachlichem Input, Code-/Schema-/Konfigurations-/Modellstand erneut ausführen.</w:t>
      </w:r>
    </w:p>
    <w:p>
      <w:pPr>
        <w:spacing w:after="40"/>
        <w:ind w:left="255" w:hanging="142"/>
      </w:pPr>
      <w:r>
        <w:rPr>
          <w:b/>
        </w:rPr>
        <w:t xml:space="preserve">• </w:t>
      </w:r>
      <w:r>
        <w:t>Fachliche Outputs und Gate-/Kontrollentscheidungen automatisiert vergleichen.</w:t>
      </w:r>
    </w:p>
    <w:p>
      <w:pPr>
        <w:spacing w:after="40"/>
        <w:ind w:left="255" w:hanging="142"/>
      </w:pPr>
      <w:r>
        <w:rPr>
          <w:b/>
        </w:rPr>
        <w:t xml:space="preserve">• </w:t>
      </w:r>
      <w:r>
        <w:t>Abweichungen klassifizieren: zulässige technische Metadaten vs. fachlich unzulässige Nichtdeterministik.</w:t>
      </w:r>
    </w:p>
    <w:p>
      <w:pPr>
        <w:spacing w:after="40"/>
        <w:ind w:left="255" w:hanging="142"/>
      </w:pPr>
      <w:r>
        <w:rPr>
          <w:b/>
        </w:rPr>
        <w:t xml:space="preserve">• </w:t>
      </w:r>
      <w:r>
        <w:t>Nur bei fachlicher Gleichheit und vollständiger Lineage MS2-IG5 auf PASS setzen.</w:t>
      </w:r>
    </w:p>
    <w:p>
      <w:pPr>
        <w:pStyle w:val="Heading1"/>
      </w:pPr>
      <w:r>
        <w:t>10. Verbindliches TC6-Mindestset für Fehler- und Kontrollpilot</w:t>
      </w:r>
    </w:p>
    <w:p>
      <w:r>
        <w:t>Für MS2-IG6 ist das folgende 13-Fälle-Mindestset verbindlich. Die fachliche Semantik, der erwartete Status und die Blockade-/Warnwirkung werden nicht neu definiert, sondern unverändert aus dem TC6-Katalog in DOC-015 übernommen. Die technische Implementierung muss jeden Fall automatisiert oder reproduzierbar testbar auslösen und das Ergebnis im Test-/Fault-Report nachweisen. Weitere TC6-Fälle bleiben für die jeweils implementierten Funktionen regulärer Testumfang; das Mindestset ersetzt sie nicht.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vAlign w:val="top"/>
            <w:tcMar>
              <w:top w:w="80" w:type="dxa"/>
              <w:start w:w="90" w:type="dxa"/>
              <w:bottom w:w="80" w:type="dxa"/>
              <w:end w:w="90" w:type="dxa"/>
            </w:tcMar>
            <w:shd w:fill="17365D"/>
          </w:tcPr>
          <w:p>
            <w:pPr>
              <w:pStyle w:val="TableText"/>
            </w:pPr>
            <w:r>
              <w:rPr>
                <w:rFonts w:ascii="Arial" w:hAnsi="Arial"/>
                <w:b/>
                <w:color w:val="FFFFFF"/>
                <w:sz w:val="16"/>
              </w:rPr>
              <w:t>Test-ID</w:t>
            </w:r>
          </w:p>
        </w:tc>
        <w:tc>
          <w:tcPr>
            <w:tcW w:type="dxa" w:w="5556"/>
            <w:vAlign w:val="top"/>
            <w:tcMar>
              <w:top w:w="80" w:type="dxa"/>
              <w:start w:w="90" w:type="dxa"/>
              <w:bottom w:w="80" w:type="dxa"/>
              <w:end w:w="90" w:type="dxa"/>
            </w:tcMar>
            <w:shd w:fill="17365D"/>
          </w:tcPr>
          <w:p>
            <w:pPr>
              <w:pStyle w:val="TableText"/>
            </w:pPr>
            <w:r>
              <w:rPr>
                <w:rFonts w:ascii="Arial" w:hAnsi="Arial"/>
                <w:b/>
                <w:color w:val="FFFFFF"/>
                <w:sz w:val="16"/>
              </w:rPr>
              <w:t>Fault-Szenario</w:t>
            </w:r>
          </w:p>
        </w:tc>
        <w:tc>
          <w:tcPr>
            <w:tcW w:type="dxa" w:w="2041"/>
            <w:vAlign w:val="top"/>
            <w:tcMar>
              <w:top w:w="80" w:type="dxa"/>
              <w:start w:w="90" w:type="dxa"/>
              <w:bottom w:w="80" w:type="dxa"/>
              <w:end w:w="90" w:type="dxa"/>
            </w:tcMar>
            <w:shd w:fill="17365D"/>
          </w:tcPr>
          <w:p>
            <w:pPr>
              <w:pStyle w:val="TableText"/>
            </w:pPr>
            <w:r>
              <w:rPr>
                <w:rFonts w:ascii="Arial" w:hAnsi="Arial"/>
                <w:b/>
                <w:color w:val="FFFFFF"/>
                <w:sz w:val="16"/>
              </w:rPr>
              <w:t>Verbindlicher Mindestnachweis nach DOC-015</w:t>
            </w:r>
          </w:p>
        </w:tc>
      </w:tr>
      <w:tr>
        <w:trPr>
          <w:cantSplit/>
        </w:trPr>
        <w:tc>
          <w:tcPr>
            <w:tcW w:type="dxa" w:w="3289"/>
          </w:tcPr>
          <w:p>
            <w:r>
              <w:t>TC6-007</w:t>
            </w:r>
          </w:p>
        </w:tc>
        <w:tc>
          <w:tcPr>
            <w:tcW w:type="dxa" w:w="3289"/>
          </w:tcPr>
          <w:p>
            <w:r>
              <w:t>fehlerhafter Import – Parser verliert Zeilen/Typfehler</w:t>
            </w:r>
          </w:p>
        </w:tc>
        <w:tc>
          <w:tcPr>
            <w:tcW w:type="dxa" w:w="3289"/>
          </w:tcPr>
          <w:p>
            <w:r>
              <w:t>Batch CHECK_FAILED; G1 PROCESS_BLOCK.</w:t>
            </w:r>
          </w:p>
        </w:tc>
      </w:tr>
      <w:tr>
        <w:trPr>
          <w:cantSplit/>
        </w:trPr>
        <w:tc>
          <w:tcPr>
            <w:tcW w:type="dxa" w:w="3289"/>
          </w:tcPr>
          <w:p>
            <w:r>
              <w:t>TC6-003</w:t>
            </w:r>
          </w:p>
        </w:tc>
        <w:tc>
          <w:tcPr>
            <w:tcW w:type="dxa" w:w="3289"/>
          </w:tcPr>
          <w:p>
            <w:r>
              <w:t>unbekannte ID – externe ID ohne Mapping</w:t>
            </w:r>
          </w:p>
        </w:tc>
        <w:tc>
          <w:tcPr>
            <w:tcW w:type="dxa" w:w="3289"/>
          </w:tcPr>
          <w:p>
            <w:r>
              <w:t>REVIEW_REQUIRED; betroffene Identität PARTIAL_BLOCK; G2 RELEASE_BLOCK.</w:t>
            </w:r>
          </w:p>
        </w:tc>
      </w:tr>
      <w:tr>
        <w:trPr>
          <w:cantSplit/>
        </w:trPr>
        <w:tc>
          <w:tcPr>
            <w:tcW w:type="dxa" w:w="3289"/>
          </w:tcPr>
          <w:p>
            <w:r>
              <w:t>TC6-040</w:t>
            </w:r>
          </w:p>
        </w:tc>
        <w:tc>
          <w:tcPr>
            <w:tcW w:type="dxa" w:w="3289"/>
          </w:tcPr>
          <w:p>
            <w:r>
              <w:t>stille SSOT-Überschreibung – Rohdatenabweichung ersetzt freigegebenen SSOT-Wert ohne Prüffall/Freigabe</w:t>
            </w:r>
          </w:p>
        </w:tc>
        <w:tc>
          <w:tcPr>
            <w:tcW w:type="dxa" w:w="3289"/>
          </w:tcPr>
          <w:p>
            <w:r>
              <w:t>CHECK_FAILED; SSOT-Übernahme-/Änderungsprozess PROCESS_BLOCK; G3 RELEASE_BLOCK.</w:t>
            </w:r>
          </w:p>
        </w:tc>
      </w:tr>
      <w:tr>
        <w:trPr>
          <w:cantSplit/>
        </w:trPr>
        <w:tc>
          <w:tcPr>
            <w:tcW w:type="dxa" w:w="3289"/>
          </w:tcPr>
          <w:p>
            <w:r>
              <w:t>TC6-037</w:t>
            </w:r>
          </w:p>
        </w:tc>
        <w:tc>
          <w:tcPr>
            <w:tcW w:type="dxa" w:w="3289"/>
          </w:tcPr>
          <w:p>
            <w:r>
              <w:t>assertion/conflict Vermischung – qualitative Information wird im allgemeinen Konfliktfeld geführt</w:t>
            </w:r>
          </w:p>
        </w:tc>
        <w:tc>
          <w:tcPr>
            <w:tcW w:type="dxa" w:w="3289"/>
          </w:tcPr>
          <w:p>
            <w:r>
              <w:t>CHECK_FAILED; WARNING bei nichtkritischer Statusvermischung; bei kritischer Wirkung betroffener Monitoring-Datensatz PARTIAL_BLOCK und G4 bzw. G5 RELEASE_BLOCK.</w:t>
            </w:r>
          </w:p>
        </w:tc>
      </w:tr>
      <w:tr>
        <w:trPr>
          <w:cantSplit/>
        </w:trPr>
        <w:tc>
          <w:tcPr>
            <w:tcW w:type="dxa" w:w="3289"/>
          </w:tcPr>
          <w:p>
            <w:r>
              <w:t>TC6-019</w:t>
            </w:r>
          </w:p>
        </w:tc>
        <w:tc>
          <w:tcPr>
            <w:tcW w:type="dxa" w:w="3289"/>
          </w:tcPr>
          <w:p>
            <w:r>
              <w:t>nicht aufstellbarer Vorwochenspieler – zum neuen Lock nicht eligible</w:t>
            </w:r>
          </w:p>
        </w:tc>
        <w:tc>
          <w:tcPr>
            <w:tcW w:type="dxa" w:w="3289"/>
          </w:tcPr>
          <w:p>
            <w:r>
              <w:t>Platz ungeklärt; kritische Warnung; betroffene Pflichtrolle PARTIAL_BLOCK; G6 RELEASE_BLOCK.</w:t>
            </w:r>
          </w:p>
        </w:tc>
      </w:tr>
      <w:tr>
        <w:trPr>
          <w:cantSplit/>
        </w:trPr>
        <w:tc>
          <w:tcPr>
            <w:tcW w:type="dxa" w:w="3289"/>
          </w:tcPr>
          <w:p>
            <w:r>
              <w:t>TC6-021</w:t>
            </w:r>
          </w:p>
        </w:tc>
        <w:tc>
          <w:tcPr>
            <w:tcW w:type="dxa" w:w="3289"/>
          </w:tcPr>
          <w:p>
            <w:r>
              <w:t>Änderung nach Sperre – Spieleränderung nach Vereinsanpfiff</w:t>
            </w:r>
          </w:p>
        </w:tc>
        <w:tc>
          <w:tcPr>
            <w:tcW w:type="dxa" w:w="3289"/>
          </w:tcPr>
          <w:p>
            <w:r>
              <w:t>Änderung abgewiesen; alter gültiger Stand bleibt; betroffener Bestandteil PROCESS_BLOCK; unbetroffene offene Bestandteile NONE.</w:t>
            </w:r>
          </w:p>
        </w:tc>
      </w:tr>
      <w:tr>
        <w:trPr>
          <w:cantSplit/>
        </w:trPr>
        <w:tc>
          <w:tcPr>
            <w:tcW w:type="dxa" w:w="3289"/>
          </w:tcPr>
          <w:p>
            <w:r>
              <w:t>TC6-032</w:t>
            </w:r>
          </w:p>
        </w:tc>
        <w:tc>
          <w:tcPr>
            <w:tcW w:type="dxa" w:w="3289"/>
          </w:tcPr>
          <w:p>
            <w:r>
              <w:t>Input-Manifest fehlt – Modellvorschlag ohne vollständige Input-/Policyversionen</w:t>
            </w:r>
          </w:p>
        </w:tc>
        <w:tc>
          <w:tcPr>
            <w:tcW w:type="dxa" w:w="3289"/>
          </w:tcPr>
          <w:p>
            <w:r>
              <w:t>Nicht freigabefähig; G5 RELEASE_BLOCK.</w:t>
            </w:r>
          </w:p>
        </w:tc>
      </w:tr>
      <w:tr>
        <w:trPr>
          <w:cantSplit/>
        </w:trPr>
        <w:tc>
          <w:tcPr>
            <w:tcW w:type="dxa" w:w="3289"/>
          </w:tcPr>
          <w:p>
            <w:r>
              <w:t>TC6-033</w:t>
            </w:r>
          </w:p>
        </w:tc>
        <w:tc>
          <w:tcPr>
            <w:tcW w:type="dxa" w:w="3289"/>
          </w:tcPr>
          <w:p>
            <w:r>
              <w:t>Snapshot-Mutation – RELEASED Snapshot nachträglich verändert</w:t>
            </w:r>
          </w:p>
        </w:tc>
        <w:tc>
          <w:tcPr>
            <w:tcW w:type="dxa" w:w="3289"/>
          </w:tcPr>
          <w:p>
            <w:r>
              <w:t>CHECK_FAILED; G5 Empfehlungsfreigabe und G7 Evaluation RELEASE_BLOCK.</w:t>
            </w:r>
          </w:p>
        </w:tc>
      </w:tr>
      <w:tr>
        <w:trPr>
          <w:cantSplit/>
        </w:trPr>
        <w:tc>
          <w:tcPr>
            <w:tcW w:type="dxa" w:w="3289"/>
          </w:tcPr>
          <w:p>
            <w:r>
              <w:t>TC6-017</w:t>
            </w:r>
          </w:p>
        </w:tc>
        <w:tc>
          <w:tcPr>
            <w:tcW w:type="dxa" w:w="3289"/>
          </w:tcPr>
          <w:p>
            <w:r>
              <w:t>Half-up-Grenzfall – Rohwert exakt auf Halbgrenze</w:t>
            </w:r>
          </w:p>
        </w:tc>
        <w:tc>
          <w:tcPr>
            <w:tcW w:type="dxa" w:w="3289"/>
          </w:tcPr>
          <w:p>
            <w:r>
              <w:t>Half-up direkt aus Rohwert; betroffene Kategorie PARTIAL_BLOCK; G7 RELEASE_BLOCK bei Abweichung.</w:t>
            </w:r>
          </w:p>
        </w:tc>
      </w:tr>
      <w:tr>
        <w:trPr>
          <w:cantSplit/>
        </w:trPr>
        <w:tc>
          <w:tcPr>
            <w:tcW w:type="dxa" w:w="3289"/>
          </w:tcPr>
          <w:p>
            <w:r>
              <w:t>TC6-025</w:t>
            </w:r>
          </w:p>
        </w:tc>
        <w:tc>
          <w:tcPr>
            <w:tcW w:type="dxa" w:w="3289"/>
          </w:tcPr>
          <w:p>
            <w:r>
              <w:t>fehlender Ist-Wert – Note fehlt nach ausgetragenem Spiel</w:t>
            </w:r>
          </w:p>
        </w:tc>
        <w:tc>
          <w:tcPr>
            <w:tcW w:type="dxa" w:w="3289"/>
          </w:tcPr>
          <w:p>
            <w:r>
              <w:t>MISSING; G7 RELEASE_BLOCK.</w:t>
            </w:r>
          </w:p>
        </w:tc>
      </w:tr>
      <w:tr>
        <w:trPr>
          <w:cantSplit/>
        </w:trPr>
        <w:tc>
          <w:tcPr>
            <w:tcW w:type="dxa" w:w="3289"/>
          </w:tcPr>
          <w:p>
            <w:r>
              <w:t>TC6-027</w:t>
            </w:r>
          </w:p>
        </w:tc>
        <w:tc>
          <w:tcPr>
            <w:tcW w:type="dxa" w:w="3289"/>
          </w:tcPr>
          <w:p>
            <w:r>
              <w:t>Ergebnis-Korrektur – bereits gespeicherter Wert wird korrigiert</w:t>
            </w:r>
          </w:p>
        </w:tc>
        <w:tc>
          <w:tcPr>
            <w:tcW w:type="dxa" w:w="3289"/>
          </w:tcPr>
          <w:p>
            <w:r>
              <w:t>Neue Version + predecessor; G7 Spieltagsauswertung RELEASE_BLOCK, solange Korrektur-/Vorgängerreferenz fehlt; bei destruktiver Überschreibung Ergebnisverarbeitung PROCESS_BLOCK.</w:t>
            </w:r>
          </w:p>
        </w:tc>
      </w:tr>
      <w:tr>
        <w:trPr>
          <w:cantSplit/>
        </w:trPr>
        <w:tc>
          <w:tcPr>
            <w:tcW w:type="dxa" w:w="3289"/>
          </w:tcPr>
          <w:p>
            <w:r>
              <w:t>TC6-028</w:t>
            </w:r>
          </w:p>
        </w:tc>
        <w:tc>
          <w:tcPr>
            <w:tcW w:type="dxa" w:w="3289"/>
          </w:tcPr>
          <w:p>
            <w:r>
              <w:t>Historienverlust – alte Roh-/SSOT-/Snapshotversion nicht mehr referenzierbar</w:t>
            </w:r>
          </w:p>
        </w:tc>
        <w:tc>
          <w:tcPr>
            <w:tcW w:type="dxa" w:w="3289"/>
          </w:tcPr>
          <w:p>
            <w:r>
              <w:t>CHECK_FAILED; G7 Spieltagsauswertung/Evaluation RELEASE_BLOCK; bei nicht reproduzierbarer betroffener Verarbeitung PROCESS_BLOCK.</w:t>
            </w:r>
          </w:p>
        </w:tc>
      </w:tr>
      <w:tr>
        <w:trPr>
          <w:cantSplit/>
        </w:trPr>
        <w:tc>
          <w:tcPr>
            <w:tcW w:type="dxa" w:w="3289"/>
          </w:tcPr>
          <w:p>
            <w:r>
              <w:t>TC6-046</w:t>
            </w:r>
          </w:p>
        </w:tc>
        <w:tc>
          <w:tcPr>
            <w:tcW w:type="dxa" w:w="3289"/>
          </w:tcPr>
          <w:p>
            <w:r>
              <w:t>Dokumentenregister verweist auf veraltete Projektquelle</w:t>
            </w:r>
          </w:p>
        </w:tc>
        <w:tc>
          <w:tcPr>
            <w:tcW w:type="dxa" w:w="3289"/>
          </w:tcPr>
          <w:p>
            <w:r>
              <w:t>CHECK_FAILED; Governance-Prüffall; verbindliche Nutzung der betroffenen Projektquelle PROCESS_BLOCK bis Registerlage durch Projektsteuerung geklärt/fortgeschrieben ist.</w:t>
            </w:r>
          </w:p>
        </w:tc>
      </w:tr>
    </w:tbl>
    <w:p>
      <w:pPr>
        <w:spacing w:after="0"/>
      </w:pPr>
    </w:p>
    <w:p>
      <w:pPr>
        <w:pStyle w:val="Heading1"/>
      </w:pPr>
      <w:r>
        <w:t>11. Live-/Operationspilot</w:t>
      </w:r>
    </w:p>
    <w:p>
      <w:r>
        <w:t>Der Live-Pilot beginnt erst nach PASS von MS2-IG5 und MS2-IG6. Er dient nicht primär der Modellbewertung, sondern dem Nachweis, dass der vertikale Prozess unter zeitabhängigen realen Bedingungen handhabbar ist.</w:t>
      </w:r>
    </w:p>
    <w:p>
      <w:pPr>
        <w:spacing w:after="40"/>
        <w:ind w:left="255" w:hanging="142"/>
      </w:pPr>
      <w:r>
        <w:rPr>
          <w:b/>
        </w:rPr>
        <w:t xml:space="preserve">• </w:t>
      </w:r>
      <w:r>
        <w:t>Tatsächliche Quellenbeschaffung/Fallback einschließlich Aufwand und Nachweisführung.</w:t>
      </w:r>
    </w:p>
    <w:p>
      <w:pPr>
        <w:spacing w:after="40"/>
        <w:ind w:left="255" w:hanging="142"/>
      </w:pPr>
      <w:r>
        <w:rPr>
          <w:b/>
        </w:rPr>
        <w:t xml:space="preserve">• </w:t>
      </w:r>
      <w:r>
        <w:t>Aktualität, expected_valid_until, Re-Check-Bedarf und Terminänderungen.</w:t>
      </w:r>
    </w:p>
    <w:p>
      <w:pPr>
        <w:spacing w:after="40"/>
        <w:ind w:left="255" w:hanging="142"/>
      </w:pPr>
      <w:r>
        <w:rPr>
          <w:b/>
        </w:rPr>
        <w:t xml:space="preserve">• </w:t>
      </w:r>
      <w:r>
        <w:t>Vereinsspielbezogene Sperrzeitpunkte und schrittweise nicht mehr änderbare Aufstellungsbestandteile.</w:t>
      </w:r>
    </w:p>
    <w:p>
      <w:pPr>
        <w:spacing w:after="40"/>
        <w:ind w:left="255" w:hanging="142"/>
      </w:pPr>
      <w:r>
        <w:rPr>
          <w:b/>
        </w:rPr>
        <w:t xml:space="preserve">• </w:t>
      </w:r>
      <w:r>
        <w:t>Reale Managerentscheidung bzw. dokumentierter Pilot-Entscheidungsprozess und wirksame Aufstellung.</w:t>
      </w:r>
    </w:p>
    <w:p>
      <w:pPr>
        <w:spacing w:after="40"/>
        <w:ind w:left="255" w:hanging="142"/>
      </w:pPr>
      <w:r>
        <w:rPr>
          <w:b/>
        </w:rPr>
        <w:t xml:space="preserve">• </w:t>
      </w:r>
      <w:r>
        <w:t>Nachlaufende Ist-Daten, vorläufige/finale Ergebnisstände und gegebenenfalls Korrekturen.</w:t>
      </w:r>
    </w:p>
    <w:p>
      <w:pPr>
        <w:spacing w:after="40"/>
        <w:ind w:left="255" w:hanging="142"/>
      </w:pPr>
      <w:r>
        <w:rPr>
          <w:b/>
        </w:rPr>
        <w:t xml:space="preserve">• </w:t>
      </w:r>
      <w:r>
        <w:t>Messung der pilotrelevanten offenen Abhängigkeiten, insbesondere Teilnehmerkaderaufwand und Quellenstabilität.</w:t>
      </w:r>
    </w:p>
    <w:p>
      <w:pPr>
        <w:pStyle w:val="Heading1"/>
      </w:pPr>
      <w:r>
        <w:t>12. Verbindliche Liefer- und Nachweisartefakte für MS2</w:t>
      </w:r>
    </w:p>
    <w:p>
      <w:pPr/>
      <w:r>
        <w:t>Nachweiserzeugung („Evidence by execution“): Technische Nachweise sind primär maschinenlesbare Produkte des Systems. A-MS2-04 bis A-MS2-11 werden im regulären Sollweg aus Pipeline, Persistenz, Testharness oder Run-Tooling erzeugt bzw. systemseitig erfasst. Manuelle Übertragung technischer Lauf-, Kontroll- oder Testergebnisse ist kein regulärer Ersatz. Manuelle Inhalte bleiben dort zulässig, wo tatsächlich menschliche Information entsteht, insbesondere Pilotbeobachtung, Begründung, Freigabe- oder Managerentscheidung sowie formale Abnahme.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304"/>
            <w:vAlign w:val="top"/>
            <w:tcMar>
              <w:top w:w="80" w:type="dxa"/>
              <w:start w:w="90" w:type="dxa"/>
              <w:bottom w:w="80" w:type="dxa"/>
              <w:end w:w="90" w:type="dxa"/>
            </w:tcMar>
            <w:shd w:fill="17365D"/>
          </w:tcPr>
          <w:p>
            <w:pPr>
              <w:pStyle w:val="TableText"/>
            </w:pPr>
            <w:r>
              <w:rPr>
                <w:rFonts w:ascii="Arial" w:hAnsi="Arial"/>
                <w:b/>
                <w:color w:val="FFFFFF"/>
                <w:sz w:val="16"/>
              </w:rPr>
              <w:t>Artefakt-ID</w:t>
            </w:r>
          </w:p>
        </w:tc>
        <w:tc>
          <w:tcPr>
            <w:tcW w:type="dxa" w:w="2721"/>
            <w:vAlign w:val="top"/>
            <w:tcMar>
              <w:top w:w="80" w:type="dxa"/>
              <w:start w:w="90" w:type="dxa"/>
              <w:bottom w:w="80" w:type="dxa"/>
              <w:end w:w="90" w:type="dxa"/>
            </w:tcMar>
            <w:shd w:fill="17365D"/>
          </w:tcPr>
          <w:p>
            <w:pPr>
              <w:pStyle w:val="TableText"/>
            </w:pPr>
            <w:r>
              <w:rPr>
                <w:rFonts w:ascii="Arial" w:hAnsi="Arial"/>
                <w:b/>
                <w:color w:val="FFFFFF"/>
                <w:sz w:val="16"/>
              </w:rPr>
              <w:t>Liefergegenstand</w:t>
            </w:r>
          </w:p>
        </w:tc>
        <w:tc>
          <w:tcPr>
            <w:tcW w:type="dxa" w:w="5556"/>
            <w:vAlign w:val="top"/>
            <w:tcMar>
              <w:top w:w="80" w:type="dxa"/>
              <w:start w:w="90" w:type="dxa"/>
              <w:bottom w:w="80" w:type="dxa"/>
              <w:end w:w="90" w:type="dxa"/>
            </w:tcMar>
            <w:shd w:fill="17365D"/>
          </w:tcPr>
          <w:p>
            <w:pPr>
              <w:pStyle w:val="TableText"/>
            </w:pPr>
            <w:r>
              <w:rPr>
                <w:rFonts w:ascii="Arial" w:hAnsi="Arial"/>
                <w:b/>
                <w:color w:val="FFFFFF"/>
                <w:sz w:val="16"/>
              </w:rPr>
              <w:t>Mindestinhalt</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A-MS2-01</w:t>
            </w:r>
          </w:p>
        </w:tc>
        <w:tc>
          <w:tcPr>
            <w:tcW w:type="dxa" w:w="2721"/>
            <w:vAlign w:val="top"/>
            <w:tcMar>
              <w:top w:w="80" w:type="dxa"/>
              <w:start w:w="90" w:type="dxa"/>
              <w:bottom w:w="80" w:type="dxa"/>
              <w:end w:w="90" w:type="dxa"/>
            </w:tcMar>
          </w:tcPr>
          <w:p>
            <w:pPr>
              <w:pStyle w:val="TableText"/>
            </w:pPr>
            <w:r>
              <w:rPr>
                <w:rFonts w:ascii="Arial" w:hAnsi="Arial"/>
                <w:sz w:val="16"/>
              </w:rPr>
              <w:t>Repository / technische Basis</w:t>
            </w:r>
          </w:p>
        </w:tc>
        <w:tc>
          <w:tcPr>
            <w:tcW w:type="dxa" w:w="5556"/>
            <w:vAlign w:val="top"/>
            <w:tcMar>
              <w:top w:w="80" w:type="dxa"/>
              <w:start w:w="90" w:type="dxa"/>
              <w:bottom w:w="80" w:type="dxa"/>
              <w:end w:w="90" w:type="dxa"/>
            </w:tcMar>
          </w:tcPr>
          <w:p>
            <w:pPr>
              <w:pStyle w:val="TableText"/>
            </w:pPr>
            <w:r>
              <w:rPr>
                <w:rFonts w:ascii="Arial" w:hAnsi="Arial"/>
                <w:sz w:val="16"/>
              </w:rPr>
              <w:t>Git-Historie, README/Startanleitung, Dependency-/Environment-Lock, Schema-/Migrationen.</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A-MS2-02</w:t>
            </w:r>
          </w:p>
        </w:tc>
        <w:tc>
          <w:tcPr>
            <w:tcW w:type="dxa" w:w="2721"/>
            <w:vAlign w:val="top"/>
            <w:tcMar>
              <w:top w:w="80" w:type="dxa"/>
              <w:start w:w="90" w:type="dxa"/>
              <w:bottom w:w="80" w:type="dxa"/>
              <w:end w:w="90" w:type="dxa"/>
            </w:tcMar>
            <w:shd w:fill="F8FAFC"/>
          </w:tcPr>
          <w:p>
            <w:pPr>
              <w:pStyle w:val="TableText"/>
            </w:pPr>
            <w:r>
              <w:rPr>
                <w:rFonts w:ascii="Arial" w:hAnsi="Arial"/>
                <w:sz w:val="16"/>
              </w:rPr>
              <w:t>Specification Manifest</w:t>
            </w:r>
          </w:p>
        </w:tc>
        <w:tc>
          <w:tcPr>
            <w:tcW w:type="dxa" w:w="5556"/>
            <w:vAlign w:val="top"/>
            <w:tcMar>
              <w:top w:w="80" w:type="dxa"/>
              <w:start w:w="90" w:type="dxa"/>
              <w:bottom w:w="80" w:type="dxa"/>
              <w:end w:w="90" w:type="dxa"/>
            </w:tcMar>
            <w:shd w:fill="F8FAFC"/>
          </w:tcPr>
          <w:p>
            <w:r/>
            <w:r>
              <w:rPr>
                <w:b w:val="0"/>
              </w:rPr>
              <w:t>Je Lauf verwendete verbindliche Projektquellen und Versionen gemäß dem zum Laufzeitpunkt aktuellen DOC-REG-001; für die Freigabe von v0.3: DOC-REG-001 4.1, DOC-013 0.1, DOC-014 1.0, DOC-015 0.8 und DOC-016 0.3.</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A-MS2-03</w:t>
            </w:r>
          </w:p>
        </w:tc>
        <w:tc>
          <w:tcPr>
            <w:tcW w:type="dxa" w:w="2721"/>
            <w:vAlign w:val="top"/>
            <w:tcMar>
              <w:top w:w="80" w:type="dxa"/>
              <w:start w:w="90" w:type="dxa"/>
              <w:bottom w:w="80" w:type="dxa"/>
              <w:end w:w="90" w:type="dxa"/>
            </w:tcMar>
          </w:tcPr>
          <w:p>
            <w:pPr>
              <w:pStyle w:val="TableText"/>
            </w:pPr>
            <w:r>
              <w:rPr>
                <w:rFonts w:ascii="Arial" w:hAnsi="Arial"/>
                <w:sz w:val="16"/>
              </w:rPr>
              <w:t>Raw/Evidence Fixture</w:t>
            </w:r>
          </w:p>
        </w:tc>
        <w:tc>
          <w:tcPr>
            <w:tcW w:type="dxa" w:w="5556"/>
            <w:vAlign w:val="top"/>
            <w:tcMar>
              <w:top w:w="80" w:type="dxa"/>
              <w:start w:w="90" w:type="dxa"/>
              <w:bottom w:w="80" w:type="dxa"/>
              <w:end w:w="90" w:type="dxa"/>
            </w:tcMar>
          </w:tcPr>
          <w:p>
            <w:pPr>
              <w:pStyle w:val="TableText"/>
            </w:pPr>
            <w:r>
              <w:rPr>
                <w:rFonts w:ascii="Arial" w:hAnsi="Arial"/>
                <w:sz w:val="16"/>
              </w:rPr>
              <w:t>Eingefrorene reale Roh-/Nachweisdaten mit Herkunft, Zeitbezug und Prüfreferenz.</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A-MS2-04</w:t>
            </w:r>
          </w:p>
        </w:tc>
        <w:tc>
          <w:tcPr>
            <w:tcW w:type="dxa" w:w="2721"/>
            <w:vAlign w:val="top"/>
            <w:tcMar>
              <w:top w:w="80" w:type="dxa"/>
              <w:start w:w="90" w:type="dxa"/>
              <w:bottom w:w="80" w:type="dxa"/>
              <w:end w:w="90" w:type="dxa"/>
            </w:tcMar>
            <w:shd w:fill="F8FAFC"/>
          </w:tcPr>
          <w:p>
            <w:pPr>
              <w:pStyle w:val="TableText"/>
            </w:pPr>
            <w:r>
              <w:rPr>
                <w:rFonts w:ascii="Arial" w:hAnsi="Arial"/>
                <w:sz w:val="16"/>
              </w:rPr>
              <w:t>Mapping-/SSOT-Nachweis</w:t>
            </w:r>
          </w:p>
        </w:tc>
        <w:tc>
          <w:tcPr>
            <w:tcW w:type="dxa" w:w="5556"/>
            <w:vAlign w:val="top"/>
            <w:tcMar>
              <w:top w:w="80" w:type="dxa"/>
              <w:start w:w="90" w:type="dxa"/>
              <w:bottom w:w="80" w:type="dxa"/>
              <w:end w:w="90" w:type="dxa"/>
            </w:tcMar>
            <w:shd w:fill="F8FAFC"/>
          </w:tcPr>
          <w:p>
            <w:pPr>
              <w:pStyle w:val="TableText"/>
            </w:pPr>
            <w:r>
              <w:rPr>
                <w:rFonts w:ascii="Arial" w:hAnsi="Arial"/>
                <w:sz w:val="16"/>
              </w:rPr>
              <w:t>Systemseitig erzeugter Mapping-/SSOT-Nachweis mit Mappingstatus, Reviewfällen, Freigabe und ssot_version_id.</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A-MS2-05</w:t>
            </w:r>
          </w:p>
        </w:tc>
        <w:tc>
          <w:tcPr>
            <w:tcW w:type="dxa" w:w="2721"/>
            <w:vAlign w:val="top"/>
            <w:tcMar>
              <w:top w:w="80" w:type="dxa"/>
              <w:start w:w="90" w:type="dxa"/>
              <w:bottom w:w="80" w:type="dxa"/>
              <w:end w:w="90" w:type="dxa"/>
            </w:tcMar>
          </w:tcPr>
          <w:p>
            <w:pPr>
              <w:pStyle w:val="TableText"/>
            </w:pPr>
            <w:r>
              <w:rPr>
                <w:rFonts w:ascii="Arial" w:hAnsi="Arial"/>
                <w:sz w:val="16"/>
              </w:rPr>
              <w:t>Monitoring-/Input-Manifest</w:t>
            </w:r>
          </w:p>
        </w:tc>
        <w:tc>
          <w:tcPr>
            <w:tcW w:type="dxa" w:w="5556"/>
            <w:vAlign w:val="top"/>
            <w:tcMar>
              <w:top w:w="80" w:type="dxa"/>
              <w:start w:w="90" w:type="dxa"/>
              <w:bottom w:w="80" w:type="dxa"/>
              <w:end w:w="90" w:type="dxa"/>
            </w:tcMar>
          </w:tcPr>
          <w:p>
            <w:pPr>
              <w:pStyle w:val="TableText"/>
            </w:pPr>
            <w:r>
              <w:rPr>
                <w:rFonts w:ascii="Arial" w:hAnsi="Arial"/>
                <w:sz w:val="16"/>
              </w:rPr>
              <w:t>Automatisch erzeugtes Monitoring-/Input-Manifest mit Datenstand sowie Termin-/Kader-/Eligibility-/Policy-/Modellreferenzen.</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A-MS2-06</w:t>
            </w:r>
          </w:p>
        </w:tc>
        <w:tc>
          <w:tcPr>
            <w:tcW w:type="dxa" w:w="2721"/>
            <w:vAlign w:val="top"/>
            <w:tcMar>
              <w:top w:w="80" w:type="dxa"/>
              <w:start w:w="90" w:type="dxa"/>
              <w:bottom w:w="80" w:type="dxa"/>
              <w:end w:w="90" w:type="dxa"/>
            </w:tcMar>
            <w:shd w:fill="F8FAFC"/>
          </w:tcPr>
          <w:p>
            <w:pPr>
              <w:pStyle w:val="TableText"/>
            </w:pPr>
            <w:r>
              <w:rPr>
                <w:rFonts w:ascii="Arial" w:hAnsi="Arial"/>
                <w:sz w:val="16"/>
              </w:rPr>
              <w:t>Recommendation Snapshot</w:t>
            </w:r>
          </w:p>
        </w:tc>
        <w:tc>
          <w:tcPr>
            <w:tcW w:type="dxa" w:w="5556"/>
            <w:vAlign w:val="top"/>
            <w:tcMar>
              <w:top w:w="80" w:type="dxa"/>
              <w:start w:w="90" w:type="dxa"/>
              <w:bottom w:w="80" w:type="dxa"/>
              <w:end w:w="90" w:type="dxa"/>
            </w:tcMar>
            <w:shd w:fill="F8FAFC"/>
          </w:tcPr>
          <w:p>
            <w:pPr>
              <w:pStyle w:val="TableText"/>
            </w:pPr>
            <w:r>
              <w:rPr>
                <w:rFonts w:ascii="Arial" w:hAnsi="Arial"/>
                <w:sz w:val="16"/>
              </w:rPr>
              <w:t>Systemseitig erzeugter und unveränderlicher freigegebener Snapshot mit Version Context.</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A-MS2-07</w:t>
            </w:r>
          </w:p>
        </w:tc>
        <w:tc>
          <w:tcPr>
            <w:tcW w:type="dxa" w:w="2721"/>
            <w:vAlign w:val="top"/>
            <w:tcMar>
              <w:top w:w="80" w:type="dxa"/>
              <w:start w:w="90" w:type="dxa"/>
              <w:bottom w:w="80" w:type="dxa"/>
              <w:end w:w="90" w:type="dxa"/>
            </w:tcMar>
          </w:tcPr>
          <w:p>
            <w:pPr>
              <w:pStyle w:val="TableText"/>
            </w:pPr>
            <w:r>
              <w:rPr>
                <w:rFonts w:ascii="Arial" w:hAnsi="Arial"/>
                <w:sz w:val="16"/>
              </w:rPr>
              <w:t>Manager-/Effective-Lineup-Nachweis</w:t>
            </w:r>
          </w:p>
        </w:tc>
        <w:tc>
          <w:tcPr>
            <w:tcW w:type="dxa" w:w="5556"/>
            <w:vAlign w:val="top"/>
            <w:tcMar>
              <w:top w:w="80" w:type="dxa"/>
              <w:start w:w="90" w:type="dxa"/>
              <w:bottom w:w="80" w:type="dxa"/>
              <w:end w:w="90" w:type="dxa"/>
            </w:tcMar>
          </w:tcPr>
          <w:p>
            <w:pPr>
              <w:pStyle w:val="TableText"/>
            </w:pPr>
            <w:r>
              <w:rPr>
                <w:rFonts w:ascii="Arial" w:hAnsi="Arial"/>
                <w:sz w:val="16"/>
              </w:rPr>
              <w:t>Systemseitig erfasste Managerentscheidung/Override, Sperrbezug und wirksame Aufstellung.</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A-MS2-08</w:t>
            </w:r>
          </w:p>
        </w:tc>
        <w:tc>
          <w:tcPr>
            <w:tcW w:type="dxa" w:w="2721"/>
            <w:vAlign w:val="top"/>
            <w:tcMar>
              <w:top w:w="80" w:type="dxa"/>
              <w:start w:w="90" w:type="dxa"/>
              <w:bottom w:w="80" w:type="dxa"/>
              <w:end w:w="90" w:type="dxa"/>
            </w:tcMar>
            <w:shd w:fill="F8FAFC"/>
          </w:tcPr>
          <w:p>
            <w:pPr>
              <w:pStyle w:val="TableText"/>
            </w:pPr>
            <w:r>
              <w:rPr>
                <w:rFonts w:ascii="Arial" w:hAnsi="Arial"/>
                <w:sz w:val="16"/>
              </w:rPr>
              <w:t>Result/Evaluation Dataset</w:t>
            </w:r>
          </w:p>
        </w:tc>
        <w:tc>
          <w:tcPr>
            <w:tcW w:type="dxa" w:w="5556"/>
            <w:vAlign w:val="top"/>
            <w:tcMar>
              <w:top w:w="80" w:type="dxa"/>
              <w:start w:w="90" w:type="dxa"/>
              <w:bottom w:w="80" w:type="dxa"/>
              <w:end w:w="90" w:type="dxa"/>
            </w:tcMar>
            <w:shd w:fill="F8FAFC"/>
          </w:tcPr>
          <w:p>
            <w:pPr>
              <w:pStyle w:val="TableText"/>
            </w:pPr>
            <w:r>
              <w:rPr>
                <w:rFonts w:ascii="Arial" w:hAnsi="Arial"/>
                <w:sz w:val="16"/>
              </w:rPr>
              <w:t>Automatisch erzeugtes Ergebnis-/Evaluationsdataset mit Ergebnisversion, Korrekturkette, Kategorien, Evaluation und Rückreferenzen.</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A-MS2-09</w:t>
            </w:r>
          </w:p>
        </w:tc>
        <w:tc>
          <w:tcPr>
            <w:tcW w:type="dxa" w:w="2721"/>
            <w:vAlign w:val="top"/>
            <w:tcMar>
              <w:top w:w="80" w:type="dxa"/>
              <w:start w:w="90" w:type="dxa"/>
              <w:bottom w:w="80" w:type="dxa"/>
              <w:end w:w="90" w:type="dxa"/>
            </w:tcMar>
          </w:tcPr>
          <w:p>
            <w:pPr>
              <w:pStyle w:val="TableText"/>
            </w:pPr>
            <w:r>
              <w:rPr>
                <w:rFonts w:ascii="Arial" w:hAnsi="Arial"/>
                <w:sz w:val="16"/>
              </w:rPr>
              <w:t>Control Event Log</w:t>
            </w:r>
          </w:p>
        </w:tc>
        <w:tc>
          <w:tcPr>
            <w:tcW w:type="dxa" w:w="5556"/>
            <w:vAlign w:val="top"/>
            <w:tcMar>
              <w:top w:w="80" w:type="dxa"/>
              <w:start w:w="90" w:type="dxa"/>
              <w:bottom w:w="80" w:type="dxa"/>
              <w:end w:w="90" w:type="dxa"/>
            </w:tcMar>
          </w:tcPr>
          <w:p>
            <w:pPr>
              <w:pStyle w:val="TableText"/>
            </w:pPr>
            <w:r>
              <w:rPr>
                <w:rFonts w:ascii="Arial" w:hAnsi="Arial"/>
                <w:sz w:val="16"/>
              </w:rPr>
              <w:t>Automatisch persistierte K0–K7-Prüfereignisse, G1–G7-Ergebnisse, Blockaden und Auflösungen.</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A-MS2-10</w:t>
            </w:r>
          </w:p>
        </w:tc>
        <w:tc>
          <w:tcPr>
            <w:tcW w:type="dxa" w:w="2721"/>
            <w:vAlign w:val="top"/>
            <w:tcMar>
              <w:top w:w="80" w:type="dxa"/>
              <w:start w:w="90" w:type="dxa"/>
              <w:bottom w:w="80" w:type="dxa"/>
              <w:end w:w="90" w:type="dxa"/>
            </w:tcMar>
            <w:shd w:fill="F8FAFC"/>
          </w:tcPr>
          <w:p>
            <w:pPr>
              <w:pStyle w:val="TableText"/>
            </w:pPr>
            <w:r>
              <w:rPr>
                <w:rFonts w:ascii="Arial" w:hAnsi="Arial"/>
                <w:sz w:val="16"/>
              </w:rPr>
              <w:t>Replay Run Manifest</w:t>
            </w:r>
          </w:p>
        </w:tc>
        <w:tc>
          <w:tcPr>
            <w:tcW w:type="dxa" w:w="5556"/>
            <w:vAlign w:val="top"/>
            <w:tcMar>
              <w:top w:w="80" w:type="dxa"/>
              <w:start w:w="90" w:type="dxa"/>
              <w:bottom w:w="80" w:type="dxa"/>
              <w:end w:w="90" w:type="dxa"/>
            </w:tcMar>
            <w:shd w:fill="F8FAFC"/>
          </w:tcPr>
          <w:p>
            <w:pPr>
              <w:pStyle w:val="TableText"/>
            </w:pPr>
            <w:r>
              <w:rPr>
                <w:rFonts w:ascii="Arial" w:hAnsi="Arial"/>
                <w:sz w:val="16"/>
              </w:rPr>
              <w:t>Automatisch erzeugtes Run-Manifest mit Input-/Code-/Schema-/Config-/Model-/Policy-/Seed-/Outputreferenzen und maschinellem Vergleich Run A/B.</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A-MS2-11</w:t>
            </w:r>
          </w:p>
        </w:tc>
        <w:tc>
          <w:tcPr>
            <w:tcW w:type="dxa" w:w="2721"/>
            <w:vAlign w:val="top"/>
            <w:tcMar>
              <w:top w:w="80" w:type="dxa"/>
              <w:start w:w="90" w:type="dxa"/>
              <w:bottom w:w="80" w:type="dxa"/>
              <w:end w:w="90" w:type="dxa"/>
            </w:tcMar>
          </w:tcPr>
          <w:p>
            <w:pPr>
              <w:pStyle w:val="TableText"/>
            </w:pPr>
            <w:r>
              <w:rPr>
                <w:rFonts w:ascii="Arial" w:hAnsi="Arial"/>
                <w:sz w:val="16"/>
              </w:rPr>
              <w:t>Test-/Fault Report</w:t>
            </w:r>
          </w:p>
        </w:tc>
        <w:tc>
          <w:tcPr>
            <w:tcW w:type="dxa" w:w="5556"/>
            <w:vAlign w:val="top"/>
            <w:tcMar>
              <w:top w:w="80" w:type="dxa"/>
              <w:start w:w="90" w:type="dxa"/>
              <w:bottom w:w="80" w:type="dxa"/>
              <w:end w:w="90" w:type="dxa"/>
            </w:tcMar>
          </w:tcPr>
          <w:p>
            <w:pPr>
              <w:pStyle w:val="TableText"/>
            </w:pPr>
            <w:r>
              <w:rPr>
                <w:rFonts w:ascii="Arial" w:hAnsi="Arial"/>
                <w:sz w:val="16"/>
              </w:rPr>
              <w:t>Vom Testharness erzeugter Report: ausgeführte Testfälle, erwartete/aktuelle Wirkung, Abweichungen und Behebung.</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A-MS2-12</w:t>
            </w:r>
          </w:p>
        </w:tc>
        <w:tc>
          <w:tcPr>
            <w:tcW w:type="dxa" w:w="2721"/>
            <w:vAlign w:val="top"/>
            <w:tcMar>
              <w:top w:w="80" w:type="dxa"/>
              <w:start w:w="90" w:type="dxa"/>
              <w:bottom w:w="80" w:type="dxa"/>
              <w:end w:w="90" w:type="dxa"/>
            </w:tcMar>
            <w:shd w:fill="F8FAFC"/>
          </w:tcPr>
          <w:p>
            <w:pPr>
              <w:pStyle w:val="TableText"/>
            </w:pPr>
            <w:r>
              <w:rPr>
                <w:rFonts w:ascii="Arial" w:hAnsi="Arial"/>
                <w:sz w:val="16"/>
              </w:rPr>
              <w:t>Live-Pilotbericht</w:t>
            </w:r>
          </w:p>
        </w:tc>
        <w:tc>
          <w:tcPr>
            <w:tcW w:type="dxa" w:w="5556"/>
            <w:vAlign w:val="top"/>
            <w:tcMar>
              <w:top w:w="80" w:type="dxa"/>
              <w:start w:w="90" w:type="dxa"/>
              <w:bottom w:w="80" w:type="dxa"/>
              <w:end w:w="90" w:type="dxa"/>
            </w:tcMar>
            <w:shd w:fill="F8FAFC"/>
          </w:tcPr>
          <w:p>
            <w:pPr>
              <w:pStyle w:val="TableText"/>
            </w:pPr>
            <w:r>
              <w:rPr>
                <w:rFonts w:ascii="Arial" w:hAnsi="Arial"/>
                <w:sz w:val="16"/>
              </w:rPr>
              <w:t>Zeitlicher Ablauf, operative Befunde, Aufwand, Quellen-/Re-Check-/Lock-Erfahrungen, offene Punkte.</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A-MS2-13</w:t>
            </w:r>
          </w:p>
        </w:tc>
        <w:tc>
          <w:tcPr>
            <w:tcW w:type="dxa" w:w="2721"/>
            <w:vAlign w:val="top"/>
            <w:tcMar>
              <w:top w:w="80" w:type="dxa"/>
              <w:start w:w="90" w:type="dxa"/>
              <w:bottom w:w="80" w:type="dxa"/>
              <w:end w:w="90" w:type="dxa"/>
            </w:tcMar>
          </w:tcPr>
          <w:p>
            <w:pPr>
              <w:pStyle w:val="TableText"/>
            </w:pPr>
            <w:r>
              <w:rPr>
                <w:rFonts w:ascii="Arial" w:hAnsi="Arial"/>
                <w:sz w:val="16"/>
              </w:rPr>
              <w:t>MS2-Abnahmenachweis</w:t>
            </w:r>
          </w:p>
        </w:tc>
        <w:tc>
          <w:tcPr>
            <w:tcW w:type="dxa" w:w="5556"/>
            <w:vAlign w:val="top"/>
            <w:tcMar>
              <w:top w:w="80" w:type="dxa"/>
              <w:start w:w="90" w:type="dxa"/>
              <w:bottom w:w="80" w:type="dxa"/>
              <w:end w:w="90" w:type="dxa"/>
            </w:tcMar>
          </w:tcPr>
          <w:p>
            <w:pPr>
              <w:pStyle w:val="TableText"/>
            </w:pPr>
            <w:r>
              <w:rPr>
                <w:rFonts w:ascii="Arial" w:hAnsi="Arial"/>
                <w:sz w:val="16"/>
              </w:rPr>
              <w:t>MS2-K01–K12-Matrix, bekannte Grenzen, offene CON/TODO, Freigabeempfehlung.</w:t>
            </w:r>
          </w:p>
        </w:tc>
      </w:tr>
    </w:tbl>
    <w:p>
      <w:pPr>
        <w:spacing w:after="0"/>
      </w:pPr>
    </w:p>
    <w:p>
      <w:pPr>
        <w:pStyle w:val="Heading1"/>
      </w:pPr>
      <w:r>
        <w:t>13. Technische Umsetzungsgovernance</w:t>
      </w:r>
    </w:p>
    <w:p>
      <w:pPr>
        <w:pStyle w:val="Heading2"/>
      </w:pPr>
      <w:r>
        <w:t>13.1 Repository und Versionsführung</w:t>
      </w:r>
    </w:p>
    <w:p>
      <w:pPr>
        <w:spacing w:after="40"/>
        <w:ind w:left="255" w:hanging="142"/>
      </w:pPr>
      <w:r>
        <w:rPr>
          <w:b/>
        </w:rPr>
        <w:t xml:space="preserve">• </w:t>
      </w:r>
      <w:r>
        <w:t>Git ist ab MS2-W0 verbindliche technische Versionsführung für Code, Konfiguration und technische Dokumentation.</w:t>
      </w:r>
    </w:p>
    <w:p>
      <w:pPr>
        <w:spacing w:after="40"/>
        <w:ind w:left="255" w:hanging="142"/>
      </w:pPr>
      <w:r>
        <w:rPr>
          <w:b/>
        </w:rPr>
        <w:t xml:space="preserve">• </w:t>
      </w:r>
      <w:r>
        <w:t>Jeder Replay-/Pilotlauf verweist auf einen unveränderlichen Commit bzw. Tag sowie auf Schema-/Konfigurations-/Modellversionen.</w:t>
      </w:r>
    </w:p>
    <w:p>
      <w:pPr>
        <w:spacing w:after="40"/>
        <w:ind w:left="255" w:hanging="142"/>
      </w:pPr>
      <w:r>
        <w:rPr>
          <w:b/>
        </w:rPr>
        <w:t xml:space="preserve">• </w:t>
      </w:r>
      <w:r>
        <w:t>Änderungen an Datenbank- oder Dateischemata erfolgen nachvollziehbar über versionierte Migrationen beziehungsweise gleichwertige Änderungsmechanismen.</w:t>
      </w:r>
    </w:p>
    <w:p>
      <w:pPr>
        <w:spacing w:after="40"/>
        <w:ind w:left="255" w:hanging="142"/>
      </w:pPr>
      <w:r>
        <w:rPr>
          <w:b/>
        </w:rPr>
        <w:t xml:space="preserve">• </w:t>
      </w:r>
      <w:r>
        <w:t>Produktive bzw. pilotrelevante Rohdaten werden nicht in-place überschrieben; Korrekturen erzeugen neue referenzierbare Versionen.</w:t>
      </w:r>
    </w:p>
    <w:p>
      <w:pPr>
        <w:pStyle w:val="Heading2"/>
      </w:pPr>
      <w:r>
        <w:t>13.2 Codex / VS Code</w:t>
      </w:r>
    </w:p>
    <w:p>
      <w:r>
        <w:t>Für die technische Umsetzung wird Codex bevorzugt eingesetzt, nach Möglichkeit in VS Code beziehungsweise in einem Git-basierten lokalen Entwicklungsworkflow. Diese Werkzeugpräferenz ist keine fachliche Architekturvorgabe und kein eigenständiges MS2-Abnahmekriterium.</w:t>
      </w:r>
    </w:p>
    <w:p>
      <w:pPr>
        <w:spacing w:after="40"/>
        <w:ind w:left="255" w:hanging="142"/>
      </w:pPr>
      <w:r>
        <w:rPr>
          <w:b/>
        </w:rPr>
        <w:t xml:space="preserve">• </w:t>
      </w:r>
      <w:r>
        <w:t>Codex erhält kleine, klar abgegrenzte Arbeitsaufträge mit Akzeptanztests und den jeweils betroffenen DEC-/REQ-/CON-/MS2-K-Bezügen.</w:t>
      </w:r>
    </w:p>
    <w:p>
      <w:pPr>
        <w:spacing w:after="40"/>
        <w:ind w:left="255" w:hanging="142"/>
      </w:pPr>
      <w:r>
        <w:rPr>
          <w:b/>
        </w:rPr>
        <w:t xml:space="preserve">• </w:t>
      </w:r>
      <w:r>
        <w:t>Codex darf keine Managerspielregel, Datenhoheit, Statusbedeutung oder Blockadelogik eigenständig ändern oder ergänzen.</w:t>
      </w:r>
    </w:p>
    <w:p>
      <w:pPr>
        <w:spacing w:after="40"/>
        <w:ind w:left="255" w:hanging="142"/>
      </w:pPr>
      <w:r>
        <w:rPr>
          <w:b/>
        </w:rPr>
        <w:t xml:space="preserve">• </w:t>
      </w:r>
      <w:r>
        <w:t>Bei Widersprüchen oder fehlender Spezifikation wird nicht improvisiert; der Punkt wird an Projektsteuerung beziehungsweise zuständigen Fach-Chat eskaliert.</w:t>
      </w:r>
    </w:p>
    <w:p>
      <w:pPr>
        <w:spacing w:after="40"/>
        <w:ind w:left="255" w:hanging="142"/>
      </w:pPr>
      <w:r>
        <w:rPr>
          <w:b/>
        </w:rPr>
        <w:t xml:space="preserve">• </w:t>
      </w:r>
      <w:r>
        <w:t>Empfohlen wird eine projektspezifische AGENTS.md mit Governance-, Test-, Historisierungs- und Quellenregeln für die Implementierung.</w:t>
      </w:r>
    </w:p>
    <w:p>
      <w:pPr>
        <w:pStyle w:val="Heading2"/>
      </w:pPr>
      <w:r>
        <w:t>13.3 Technischer Stack</w:t>
      </w:r>
    </w:p>
    <w:p>
      <w:r>
        <w:t>Programmiersprache, Datenhaltung und Paketstruktur werden in MS2-W0/W1 nur insoweit entschieden, wie dies für den ersten ausführbaren Slice zwingend erforderlich ist. Deploymentform, Produktionsarchitektur, generische Adapter-/Plugin-Frameworks, umfassende Observability und vorsorgliche Abstraktionsschichten werden nicht vorgezogen, sofern sie für den ersten Slice nicht unmittelbar benötigt werden. Auswahlkriterien bleiben Reproduzierbarkeit, einfache lokale Ausführung, transparente Persistenz, Testbarkeit, geringe Betriebsfriktion und Eignung für die in DOC-015 beschriebenen Versions- und Kontrollmodelle.</w:t>
      </w:r>
    </w:p>
    <w:p>
      <w:pPr>
        <w:pStyle w:val="Heading1"/>
      </w:pPr>
      <w:r>
        <w:t>14. Zuständigkeiten und Arbeitsaufträge in MS2</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91"/>
            <w:vAlign w:val="top"/>
            <w:tcMar>
              <w:top w:w="80" w:type="dxa"/>
              <w:start w:w="90" w:type="dxa"/>
              <w:bottom w:w="80" w:type="dxa"/>
              <w:end w:w="90" w:type="dxa"/>
            </w:tcMar>
            <w:shd w:fill="17365D"/>
          </w:tcPr>
          <w:p>
            <w:pPr>
              <w:pStyle w:val="TableText"/>
            </w:pPr>
            <w:r>
              <w:rPr>
                <w:rFonts w:ascii="Arial" w:hAnsi="Arial"/>
                <w:b/>
                <w:color w:val="FFFFFF"/>
                <w:sz w:val="16"/>
              </w:rPr>
              <w:t>Ebene / Fach-Chat</w:t>
            </w:r>
          </w:p>
        </w:tc>
        <w:tc>
          <w:tcPr>
            <w:tcW w:type="dxa" w:w="6576"/>
            <w:vAlign w:val="top"/>
            <w:tcMar>
              <w:top w:w="80" w:type="dxa"/>
              <w:start w:w="90" w:type="dxa"/>
              <w:bottom w:w="80" w:type="dxa"/>
              <w:end w:w="90" w:type="dxa"/>
            </w:tcMar>
            <w:shd w:fill="17365D"/>
          </w:tcPr>
          <w:p>
            <w:pPr>
              <w:pStyle w:val="TableText"/>
            </w:pPr>
            <w:r>
              <w:rPr>
                <w:rFonts w:ascii="Arial" w:hAnsi="Arial"/>
                <w:b/>
                <w:color w:val="FFFFFF"/>
                <w:sz w:val="16"/>
              </w:rPr>
              <w:t>MS2-Zuständigkeit</w:t>
            </w:r>
          </w:p>
        </w:tc>
      </w:tr>
      <w:tr>
        <w:trPr>
          <w:cantSplit/>
        </w:trPr>
        <w:tc>
          <w:tcPr>
            <w:tcW w:type="dxa" w:w="2891"/>
            <w:vAlign w:val="top"/>
            <w:tcMar>
              <w:top w:w="80" w:type="dxa"/>
              <w:start w:w="90" w:type="dxa"/>
              <w:bottom w:w="80" w:type="dxa"/>
              <w:end w:w="90" w:type="dxa"/>
            </w:tcMar>
          </w:tcPr>
          <w:p>
            <w:pPr>
              <w:pStyle w:val="TableText"/>
            </w:pPr>
            <w:r>
              <w:rPr>
                <w:rFonts w:ascii="Arial" w:hAnsi="Arial"/>
                <w:sz w:val="16"/>
              </w:rPr>
              <w:t>Projektsteuerung und Integrationsmanagement</w:t>
            </w:r>
          </w:p>
        </w:tc>
        <w:tc>
          <w:tcPr>
            <w:tcW w:type="dxa" w:w="6576"/>
            <w:vAlign w:val="top"/>
            <w:tcMar>
              <w:top w:w="80" w:type="dxa"/>
              <w:start w:w="90" w:type="dxa"/>
              <w:bottom w:w="80" w:type="dxa"/>
              <w:end w:w="90" w:type="dxa"/>
            </w:tcMar>
          </w:tcPr>
          <w:p>
            <w:pPr>
              <w:pStyle w:val="TableText"/>
            </w:pPr>
            <w:r>
              <w:rPr>
                <w:rFonts w:ascii="Arial" w:hAnsi="Arial"/>
                <w:sz w:val="16"/>
              </w:rPr>
              <w:t>MS2-Steuerung, Integrationsgates, Konflikt-/Änderungsbewertung, Abnahme, Registerfortschreibung; keine stille Fachentscheidung.</w:t>
            </w:r>
          </w:p>
        </w:tc>
      </w:tr>
      <w:tr>
        <w:trPr>
          <w:cantSplit/>
        </w:trPr>
        <w:tc>
          <w:tcPr>
            <w:tcW w:type="dxa" w:w="2891"/>
            <w:vAlign w:val="top"/>
            <w:tcMar>
              <w:top w:w="80" w:type="dxa"/>
              <w:start w:w="90" w:type="dxa"/>
              <w:bottom w:w="80" w:type="dxa"/>
              <w:end w:w="90" w:type="dxa"/>
            </w:tcMar>
            <w:shd w:fill="F8FAFC"/>
          </w:tcPr>
          <w:p>
            <w:pPr>
              <w:pStyle w:val="TableText"/>
            </w:pPr>
            <w:r>
              <w:rPr>
                <w:rFonts w:ascii="Arial" w:hAnsi="Arial"/>
                <w:sz w:val="16"/>
              </w:rPr>
              <w:t>Grundsatzfragen</w:t>
            </w:r>
          </w:p>
        </w:tc>
        <w:tc>
          <w:tcPr>
            <w:tcW w:type="dxa" w:w="6576"/>
            <w:vAlign w:val="top"/>
            <w:tcMar>
              <w:top w:w="80" w:type="dxa"/>
              <w:start w:w="90" w:type="dxa"/>
              <w:bottom w:w="80" w:type="dxa"/>
              <w:end w:w="90" w:type="dxa"/>
            </w:tcMar>
            <w:shd w:fill="F8FAFC"/>
          </w:tcPr>
          <w:p>
            <w:pPr>
              <w:pStyle w:val="TableText"/>
            </w:pPr>
            <w:r>
              <w:rPr>
                <w:rFonts w:ascii="Arial" w:hAnsi="Arial"/>
                <w:sz w:val="16"/>
              </w:rPr>
              <w:t>Entscheidung neuer echter fachlicher Grundsatzfragen; Vergabe neuer DEC nur bei Bedarf.</w:t>
            </w:r>
          </w:p>
        </w:tc>
      </w:tr>
      <w:tr>
        <w:trPr>
          <w:cantSplit/>
        </w:trPr>
        <w:tc>
          <w:tcPr>
            <w:tcW w:type="dxa" w:w="2891"/>
            <w:vAlign w:val="top"/>
            <w:tcMar>
              <w:top w:w="80" w:type="dxa"/>
              <w:start w:w="90" w:type="dxa"/>
              <w:bottom w:w="80" w:type="dxa"/>
              <w:end w:w="90" w:type="dxa"/>
            </w:tcMar>
          </w:tcPr>
          <w:p>
            <w:pPr>
              <w:pStyle w:val="TableText"/>
            </w:pPr>
            <w:r>
              <w:rPr>
                <w:rFonts w:ascii="Arial" w:hAnsi="Arial"/>
                <w:sz w:val="16"/>
              </w:rPr>
              <w:t>Gewinnung Rohdaten</w:t>
            </w:r>
          </w:p>
        </w:tc>
        <w:tc>
          <w:tcPr>
            <w:tcW w:type="dxa" w:w="6576"/>
            <w:vAlign w:val="top"/>
            <w:tcMar>
              <w:top w:w="80" w:type="dxa"/>
              <w:start w:w="90" w:type="dxa"/>
              <w:bottom w:w="80" w:type="dxa"/>
              <w:end w:w="90" w:type="dxa"/>
            </w:tcMar>
          </w:tcPr>
          <w:p>
            <w:pPr>
              <w:pStyle w:val="TableText"/>
            </w:pPr>
            <w:r>
              <w:rPr>
                <w:rFonts w:ascii="Arial" w:hAnsi="Arial"/>
                <w:sz w:val="16"/>
              </w:rPr>
              <w:t>Quellenweg, Import, Evidence, Mapping-Vorbereitung, Aktualität/Fallback; Pilotbefunde zu CON-002/T-RD/L-RD.</w:t>
            </w:r>
          </w:p>
        </w:tc>
      </w:tr>
      <w:tr>
        <w:trPr>
          <w:cantSplit/>
        </w:trPr>
        <w:tc>
          <w:tcPr>
            <w:tcW w:type="dxa" w:w="2891"/>
            <w:vAlign w:val="top"/>
            <w:tcMar>
              <w:top w:w="80" w:type="dxa"/>
              <w:start w:w="90" w:type="dxa"/>
              <w:bottom w:w="80" w:type="dxa"/>
              <w:end w:w="90" w:type="dxa"/>
            </w:tcMar>
            <w:shd w:fill="F8FAFC"/>
          </w:tcPr>
          <w:p>
            <w:pPr>
              <w:pStyle w:val="TableText"/>
            </w:pPr>
            <w:r>
              <w:rPr>
                <w:rFonts w:ascii="Arial" w:hAnsi="Arial"/>
                <w:sz w:val="16"/>
              </w:rPr>
              <w:t>Erstellung SSOT</w:t>
            </w:r>
          </w:p>
        </w:tc>
        <w:tc>
          <w:tcPr>
            <w:tcW w:type="dxa" w:w="6576"/>
            <w:vAlign w:val="top"/>
            <w:tcMar>
              <w:top w:w="80" w:type="dxa"/>
              <w:start w:w="90" w:type="dxa"/>
              <w:bottom w:w="80" w:type="dxa"/>
              <w:end w:w="90" w:type="dxa"/>
            </w:tcMar>
            <w:shd w:fill="F8FAFC"/>
          </w:tcPr>
          <w:p>
            <w:pPr>
              <w:pStyle w:val="TableText"/>
            </w:pPr>
            <w:r>
              <w:rPr>
                <w:rFonts w:ascii="Arial" w:hAnsi="Arial"/>
                <w:sz w:val="16"/>
              </w:rPr>
              <w:t>Identität/Verein/Position, SSOT-Prüffälle, Freigaben, Historisierung; Schutz vor stiller Übernahme.</w:t>
            </w:r>
          </w:p>
        </w:tc>
      </w:tr>
      <w:tr>
        <w:trPr>
          <w:cantSplit/>
        </w:trPr>
        <w:tc>
          <w:tcPr>
            <w:tcW w:type="dxa" w:w="2891"/>
            <w:vAlign w:val="top"/>
            <w:tcMar>
              <w:top w:w="80" w:type="dxa"/>
              <w:start w:w="90" w:type="dxa"/>
              <w:bottom w:w="80" w:type="dxa"/>
              <w:end w:w="90" w:type="dxa"/>
            </w:tcMar>
          </w:tcPr>
          <w:p>
            <w:pPr>
              <w:pStyle w:val="TableText"/>
            </w:pPr>
            <w:r>
              <w:rPr>
                <w:rFonts w:ascii="Arial" w:hAnsi="Arial"/>
                <w:sz w:val="16"/>
              </w:rPr>
              <w:t>Erstellung Monitoring</w:t>
            </w:r>
          </w:p>
        </w:tc>
        <w:tc>
          <w:tcPr>
            <w:tcW w:type="dxa" w:w="6576"/>
            <w:vAlign w:val="top"/>
            <w:tcMar>
              <w:top w:w="80" w:type="dxa"/>
              <w:start w:w="90" w:type="dxa"/>
              <w:bottom w:w="80" w:type="dxa"/>
              <w:end w:w="90" w:type="dxa"/>
            </w:tcMar>
          </w:tcPr>
          <w:p>
            <w:pPr>
              <w:pStyle w:val="TableText"/>
            </w:pPr>
            <w:r>
              <w:rPr>
                <w:rFonts w:ascii="Arial" w:hAnsi="Arial"/>
                <w:sz w:val="16"/>
              </w:rPr>
              <w:t>Monitoring-Kontext, Eligibility, Varianten/Empfehlung, Snapshot, Re-Check, Ergebnis/Evaluation.</w:t>
            </w:r>
          </w:p>
        </w:tc>
      </w:tr>
      <w:tr>
        <w:trPr>
          <w:cantSplit/>
        </w:trPr>
        <w:tc>
          <w:tcPr>
            <w:tcW w:type="dxa" w:w="2891"/>
            <w:vAlign w:val="top"/>
            <w:tcMar>
              <w:top w:w="80" w:type="dxa"/>
              <w:start w:w="90" w:type="dxa"/>
              <w:bottom w:w="80" w:type="dxa"/>
              <w:end w:w="90" w:type="dxa"/>
            </w:tcMar>
            <w:shd w:fill="F8FAFC"/>
          </w:tcPr>
          <w:p>
            <w:pPr>
              <w:pStyle w:val="TableText"/>
            </w:pPr>
            <w:r>
              <w:rPr>
                <w:rFonts w:ascii="Arial" w:hAnsi="Arial"/>
                <w:sz w:val="16"/>
              </w:rPr>
              <w:t>Kontrollmechanismen</w:t>
            </w:r>
          </w:p>
        </w:tc>
        <w:tc>
          <w:tcPr>
            <w:tcW w:type="dxa" w:w="6576"/>
            <w:vAlign w:val="top"/>
            <w:tcMar>
              <w:top w:w="80" w:type="dxa"/>
              <w:start w:w="90" w:type="dxa"/>
              <w:bottom w:w="80" w:type="dxa"/>
              <w:end w:w="90" w:type="dxa"/>
            </w:tcMar>
            <w:shd w:fill="F8FAFC"/>
          </w:tcPr>
          <w:p>
            <w:pPr>
              <w:pStyle w:val="TableText"/>
            </w:pPr>
            <w:r>
              <w:rPr>
                <w:rFonts w:ascii="Arial" w:hAnsi="Arial"/>
                <w:sz w:val="16"/>
              </w:rPr>
              <w:t>Technische Umsetzung K0–K7/G1–G7, Control Events, Fault Suite, Blockade-/Eskalationsnachweis.</w:t>
            </w:r>
          </w:p>
        </w:tc>
      </w:tr>
      <w:tr>
        <w:trPr>
          <w:cantSplit/>
        </w:trPr>
        <w:tc>
          <w:tcPr>
            <w:tcW w:type="dxa" w:w="2891"/>
            <w:vAlign w:val="top"/>
            <w:tcMar>
              <w:top w:w="80" w:type="dxa"/>
              <w:start w:w="90" w:type="dxa"/>
              <w:bottom w:w="80" w:type="dxa"/>
              <w:end w:w="90" w:type="dxa"/>
            </w:tcMar>
          </w:tcPr>
          <w:p>
            <w:pPr>
              <w:pStyle w:val="TableText"/>
            </w:pPr>
            <w:r>
              <w:rPr>
                <w:rFonts w:ascii="Arial" w:hAnsi="Arial"/>
                <w:sz w:val="16"/>
              </w:rPr>
              <w:t>Dokumentation Regelwerk</w:t>
            </w:r>
          </w:p>
        </w:tc>
        <w:tc>
          <w:tcPr>
            <w:tcW w:type="dxa" w:w="6576"/>
            <w:vAlign w:val="top"/>
            <w:tcMar>
              <w:top w:w="80" w:type="dxa"/>
              <w:start w:w="90" w:type="dxa"/>
              <w:bottom w:w="80" w:type="dxa"/>
              <w:end w:w="90" w:type="dxa"/>
            </w:tcMar>
          </w:tcPr>
          <w:p>
            <w:pPr>
              <w:pStyle w:val="TableText"/>
            </w:pPr>
            <w:r>
              <w:rPr>
                <w:rFonts w:ascii="Arial" w:hAnsi="Arial"/>
                <w:sz w:val="16"/>
              </w:rPr>
              <w:t>Prüfung, dass Implementierung die bestehenden Regeln korrekt repräsentiert; keine neue Modellparameterentscheidung ohne Auftrag.</w:t>
            </w:r>
          </w:p>
        </w:tc>
      </w:tr>
      <w:tr>
        <w:trPr>
          <w:cantSplit/>
        </w:trPr>
        <w:tc>
          <w:tcPr>
            <w:tcW w:type="dxa" w:w="2891"/>
            <w:vAlign w:val="top"/>
            <w:tcMar>
              <w:top w:w="80" w:type="dxa"/>
              <w:start w:w="90" w:type="dxa"/>
              <w:bottom w:w="80" w:type="dxa"/>
              <w:end w:w="90" w:type="dxa"/>
            </w:tcMar>
            <w:shd w:fill="F8FAFC"/>
          </w:tcPr>
          <w:p>
            <w:pPr>
              <w:pStyle w:val="TableText"/>
            </w:pPr>
            <w:r>
              <w:rPr>
                <w:rFonts w:ascii="Arial" w:hAnsi="Arial"/>
                <w:sz w:val="16"/>
              </w:rPr>
              <w:t>Technische Umsetzung / Codex</w:t>
            </w:r>
          </w:p>
        </w:tc>
        <w:tc>
          <w:tcPr>
            <w:tcW w:type="dxa" w:w="6576"/>
            <w:vAlign w:val="top"/>
            <w:tcMar>
              <w:top w:w="80" w:type="dxa"/>
              <w:start w:w="90" w:type="dxa"/>
              <w:bottom w:w="80" w:type="dxa"/>
              <w:end w:w="90" w:type="dxa"/>
            </w:tcMar>
            <w:shd w:fill="F8FAFC"/>
          </w:tcPr>
          <w:p>
            <w:pPr>
              <w:pStyle w:val="TableText"/>
            </w:pPr>
            <w:r>
              <w:rPr>
                <w:rFonts w:ascii="Arial" w:hAnsi="Arial"/>
                <w:sz w:val="16"/>
              </w:rPr>
              <w:t>Implementierung, Tests, Migrationen, Tooling, Run-/Traceability-Manifeste innerhalb freigegebener fachlicher Vorgaben.</w:t>
            </w:r>
          </w:p>
        </w:tc>
      </w:tr>
    </w:tbl>
    <w:p>
      <w:pPr>
        <w:spacing w:after="0"/>
      </w:pPr>
    </w:p>
    <w:p>
      <w:pPr>
        <w:pStyle w:val="Heading1"/>
      </w:pPr>
      <w:r>
        <w:t>15. Offene MS1-Folgeabhängigkeiten im MS2-Kontext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247"/>
            <w:vAlign w:val="top"/>
            <w:tcMar>
              <w:top w:w="80" w:type="dxa"/>
              <w:start w:w="90" w:type="dxa"/>
              <w:bottom w:w="80" w:type="dxa"/>
              <w:end w:w="90" w:type="dxa"/>
            </w:tcMar>
            <w:shd w:fill="17365D"/>
          </w:tcPr>
          <w:p>
            <w:pPr>
              <w:pStyle w:val="TableText"/>
            </w:pPr>
            <w:r>
              <w:rPr>
                <w:rFonts w:ascii="Arial" w:hAnsi="Arial"/>
                <w:b/>
                <w:color w:val="FFFFFF"/>
                <w:sz w:val="16"/>
              </w:rPr>
              <w:t>ID</w:t>
            </w:r>
          </w:p>
        </w:tc>
        <w:tc>
          <w:tcPr>
            <w:tcW w:type="dxa" w:w="1928"/>
            <w:vAlign w:val="top"/>
            <w:tcMar>
              <w:top w:w="80" w:type="dxa"/>
              <w:start w:w="90" w:type="dxa"/>
              <w:bottom w:w="80" w:type="dxa"/>
              <w:end w:w="90" w:type="dxa"/>
            </w:tcMar>
            <w:shd w:fill="17365D"/>
          </w:tcPr>
          <w:p>
            <w:pPr>
              <w:pStyle w:val="TableText"/>
            </w:pPr>
            <w:r>
              <w:rPr>
                <w:rFonts w:ascii="Arial" w:hAnsi="Arial"/>
                <w:b/>
                <w:color w:val="FFFFFF"/>
                <w:sz w:val="16"/>
              </w:rPr>
              <w:t>Thema</w:t>
            </w:r>
          </w:p>
        </w:tc>
        <w:tc>
          <w:tcPr>
            <w:tcW w:type="dxa" w:w="4535"/>
            <w:vAlign w:val="top"/>
            <w:tcMar>
              <w:top w:w="80" w:type="dxa"/>
              <w:start w:w="90" w:type="dxa"/>
              <w:bottom w:w="80" w:type="dxa"/>
              <w:end w:w="90" w:type="dxa"/>
            </w:tcMar>
            <w:shd w:fill="17365D"/>
          </w:tcPr>
          <w:p>
            <w:pPr>
              <w:pStyle w:val="TableText"/>
            </w:pPr>
            <w:r>
              <w:rPr>
                <w:rFonts w:ascii="Arial" w:hAnsi="Arial"/>
                <w:b/>
                <w:color w:val="FFFFFF"/>
                <w:sz w:val="16"/>
              </w:rPr>
              <w:t>MS2-Bearbeitung</w:t>
            </w:r>
          </w:p>
        </w:tc>
        <w:tc>
          <w:tcPr>
            <w:tcW w:type="dxa" w:w="1757"/>
            <w:vAlign w:val="top"/>
            <w:tcMar>
              <w:top w:w="80" w:type="dxa"/>
              <w:start w:w="90" w:type="dxa"/>
              <w:bottom w:w="80" w:type="dxa"/>
              <w:end w:w="90" w:type="dxa"/>
            </w:tcMar>
            <w:shd w:fill="17365D"/>
          </w:tcPr>
          <w:p>
            <w:pPr>
              <w:pStyle w:val="TableText"/>
            </w:pPr>
            <w:r>
              <w:rPr>
                <w:rFonts w:ascii="Arial" w:hAnsi="Arial"/>
                <w:b/>
                <w:color w:val="FFFFFF"/>
                <w:sz w:val="16"/>
              </w:rPr>
              <w:t>Blockadewirkung</w:t>
            </w:r>
          </w:p>
        </w:tc>
      </w:tr>
      <w:tr>
        <w:trPr>
          <w:cantSplit/>
        </w:trPr>
        <w:tc>
          <w:tcPr>
            <w:tcW w:type="dxa" w:w="1247"/>
            <w:vAlign w:val="top"/>
            <w:tcMar>
              <w:top w:w="80" w:type="dxa"/>
              <w:start w:w="90" w:type="dxa"/>
              <w:bottom w:w="80" w:type="dxa"/>
              <w:end w:w="90" w:type="dxa"/>
            </w:tcMar>
          </w:tcPr>
          <w:p>
            <w:pPr>
              <w:pStyle w:val="TableText"/>
            </w:pPr>
            <w:r>
              <w:rPr>
                <w:rFonts w:ascii="Arial" w:hAnsi="Arial"/>
                <w:sz w:val="16"/>
              </w:rPr>
              <w:t>CON-001</w:t>
            </w:r>
          </w:p>
        </w:tc>
        <w:tc>
          <w:tcPr>
            <w:tcW w:type="dxa" w:w="1928"/>
            <w:vAlign w:val="top"/>
            <w:tcMar>
              <w:top w:w="80" w:type="dxa"/>
              <w:start w:w="90" w:type="dxa"/>
              <w:bottom w:w="80" w:type="dxa"/>
              <w:end w:w="90" w:type="dxa"/>
            </w:tcMar>
          </w:tcPr>
          <w:p>
            <w:pPr>
              <w:pStyle w:val="TableText"/>
            </w:pPr>
            <w:r>
              <w:rPr>
                <w:rFonts w:ascii="Arial" w:hAnsi="Arial"/>
                <w:sz w:val="16"/>
              </w:rPr>
              <w:t>SSOT vs. Import</w:t>
            </w:r>
          </w:p>
        </w:tc>
        <w:tc>
          <w:tcPr>
            <w:tcW w:type="dxa" w:w="4535"/>
            <w:vAlign w:val="top"/>
            <w:tcMar>
              <w:top w:w="80" w:type="dxa"/>
              <w:start w:w="90" w:type="dxa"/>
              <w:bottom w:w="80" w:type="dxa"/>
              <w:end w:w="90" w:type="dxa"/>
            </w:tcMar>
          </w:tcPr>
          <w:p>
            <w:pPr>
              <w:pStyle w:val="TableText"/>
            </w:pPr>
            <w:r>
              <w:rPr>
                <w:rFonts w:ascii="Arial" w:hAnsi="Arial"/>
                <w:sz w:val="16"/>
              </w:rPr>
              <w:t>In W2 praktisch nachweisen: Abweichungs-/Review-/Freigabelogik, keine stille Überschreibung.</w:t>
            </w:r>
          </w:p>
        </w:tc>
        <w:tc>
          <w:tcPr>
            <w:tcW w:type="dxa" w:w="1757"/>
            <w:vAlign w:val="top"/>
            <w:tcMar>
              <w:top w:w="80" w:type="dxa"/>
              <w:start w:w="90" w:type="dxa"/>
              <w:bottom w:w="80" w:type="dxa"/>
              <w:end w:w="90" w:type="dxa"/>
            </w:tcMar>
          </w:tcPr>
          <w:p>
            <w:pPr>
              <w:pStyle w:val="TableText"/>
            </w:pPr>
            <w:r>
              <w:rPr>
                <w:rFonts w:ascii="Arial" w:hAnsi="Arial"/>
                <w:sz w:val="16"/>
              </w:rPr>
              <w:t>Kann betroffenen SSOT-/Folgeprozess blockieren.</w:t>
            </w:r>
          </w:p>
        </w:tc>
      </w:tr>
      <w:tr>
        <w:trPr>
          <w:cantSplit/>
        </w:trPr>
        <w:tc>
          <w:tcPr>
            <w:tcW w:type="dxa" w:w="1247"/>
            <w:vAlign w:val="top"/>
            <w:tcMar>
              <w:top w:w="80" w:type="dxa"/>
              <w:start w:w="90" w:type="dxa"/>
              <w:bottom w:w="80" w:type="dxa"/>
              <w:end w:w="90" w:type="dxa"/>
            </w:tcMar>
            <w:shd w:fill="F8FAFC"/>
          </w:tcPr>
          <w:p>
            <w:pPr>
              <w:pStyle w:val="TableText"/>
            </w:pPr>
            <w:r>
              <w:rPr>
                <w:rFonts w:ascii="Arial" w:hAnsi="Arial"/>
                <w:sz w:val="16"/>
              </w:rPr>
              <w:t>CON-002</w:t>
            </w:r>
          </w:p>
        </w:tc>
        <w:tc>
          <w:tcPr>
            <w:tcW w:type="dxa" w:w="1928"/>
            <w:vAlign w:val="top"/>
            <w:tcMar>
              <w:top w:w="80" w:type="dxa"/>
              <w:start w:w="90" w:type="dxa"/>
              <w:bottom w:w="80" w:type="dxa"/>
              <w:end w:w="90" w:type="dxa"/>
            </w:tcMar>
            <w:shd w:fill="F8FAFC"/>
          </w:tcPr>
          <w:p>
            <w:pPr>
              <w:pStyle w:val="TableText"/>
            </w:pPr>
            <w:r>
              <w:rPr>
                <w:rFonts w:ascii="Arial" w:hAnsi="Arial"/>
                <w:sz w:val="16"/>
              </w:rPr>
              <w:t>kicker-Datenzugang</w:t>
            </w:r>
          </w:p>
        </w:tc>
        <w:tc>
          <w:tcPr>
            <w:tcW w:type="dxa" w:w="4535"/>
            <w:vAlign w:val="top"/>
            <w:tcMar>
              <w:top w:w="80" w:type="dxa"/>
              <w:start w:w="90" w:type="dxa"/>
              <w:bottom w:w="80" w:type="dxa"/>
              <w:end w:w="90" w:type="dxa"/>
            </w:tcMar>
            <w:shd w:fill="F8FAFC"/>
          </w:tcPr>
          <w:p>
            <w:pPr>
              <w:pStyle w:val="TableText"/>
            </w:pPr>
            <w:r>
              <w:rPr>
                <w:rFonts w:ascii="Arial" w:hAnsi="Arial"/>
                <w:sz w:val="16"/>
              </w:rPr>
              <w:t>Replay darf dateibasiert/manuell starten; vor Produktivautomation technischen, nutzungs-/rechtsbezogenen und operativen Weg prüfen.</w:t>
            </w:r>
          </w:p>
        </w:tc>
        <w:tc>
          <w:tcPr>
            <w:tcW w:type="dxa" w:w="1757"/>
            <w:vAlign w:val="top"/>
            <w:tcMar>
              <w:top w:w="80" w:type="dxa"/>
              <w:start w:w="90" w:type="dxa"/>
              <w:bottom w:w="80" w:type="dxa"/>
              <w:end w:w="90" w:type="dxa"/>
            </w:tcMar>
            <w:shd w:fill="F8FAFC"/>
          </w:tcPr>
          <w:p>
            <w:pPr>
              <w:pStyle w:val="TableText"/>
            </w:pPr>
            <w:r>
              <w:rPr>
                <w:rFonts w:ascii="Arial" w:hAnsi="Arial"/>
                <w:sz w:val="16"/>
              </w:rPr>
              <w:t>Produktivfreigabe des gewählten Automationswegs abhängig.</w:t>
            </w:r>
          </w:p>
        </w:tc>
      </w:tr>
      <w:tr>
        <w:trPr>
          <w:cantSplit/>
        </w:trPr>
        <w:tc>
          <w:tcPr>
            <w:tcW w:type="dxa" w:w="1247"/>
            <w:vAlign w:val="top"/>
            <w:tcMar>
              <w:top w:w="80" w:type="dxa"/>
              <w:start w:w="90" w:type="dxa"/>
              <w:bottom w:w="80" w:type="dxa"/>
              <w:end w:w="90" w:type="dxa"/>
            </w:tcMar>
          </w:tcPr>
          <w:p>
            <w:pPr>
              <w:pStyle w:val="TableText"/>
            </w:pPr>
            <w:r>
              <w:rPr>
                <w:rFonts w:ascii="Arial" w:hAnsi="Arial"/>
                <w:sz w:val="16"/>
              </w:rPr>
              <w:t>CON-003</w:t>
            </w:r>
          </w:p>
        </w:tc>
        <w:tc>
          <w:tcPr>
            <w:tcW w:type="dxa" w:w="1928"/>
            <w:vAlign w:val="top"/>
            <w:tcMar>
              <w:top w:w="80" w:type="dxa"/>
              <w:start w:w="90" w:type="dxa"/>
              <w:bottom w:w="80" w:type="dxa"/>
              <w:end w:w="90" w:type="dxa"/>
            </w:tcMar>
          </w:tcPr>
          <w:p>
            <w:pPr>
              <w:pStyle w:val="TableText"/>
            </w:pPr>
            <w:r>
              <w:rPr>
                <w:rFonts w:ascii="Arial" w:hAnsi="Arial"/>
                <w:sz w:val="16"/>
              </w:rPr>
              <w:t>Rundung Noten</w:t>
            </w:r>
          </w:p>
        </w:tc>
        <w:tc>
          <w:tcPr>
            <w:tcW w:type="dxa" w:w="4535"/>
            <w:vAlign w:val="top"/>
            <w:tcMar>
              <w:top w:w="80" w:type="dxa"/>
              <w:start w:w="90" w:type="dxa"/>
              <w:bottom w:w="80" w:type="dxa"/>
              <w:end w:w="90" w:type="dxa"/>
            </w:tcMar>
          </w:tcPr>
          <w:p>
            <w:pPr>
              <w:pStyle w:val="TableText"/>
            </w:pPr>
            <w:r>
              <w:rPr>
                <w:rFonts w:ascii="Arial" w:hAnsi="Arial"/>
                <w:sz w:val="16"/>
              </w:rPr>
              <w:t>Half-up aus Rohwert mit getrenntem Roh-/Vergleichs-/Anzeigewert technisch implementieren und Grenzfälle testen.</w:t>
            </w:r>
          </w:p>
        </w:tc>
        <w:tc>
          <w:tcPr>
            <w:tcW w:type="dxa" w:w="1757"/>
            <w:vAlign w:val="top"/>
            <w:tcMar>
              <w:top w:w="80" w:type="dxa"/>
              <w:start w:w="90" w:type="dxa"/>
              <w:bottom w:w="80" w:type="dxa"/>
              <w:end w:w="90" w:type="dxa"/>
            </w:tcMar>
          </w:tcPr>
          <w:p>
            <w:pPr>
              <w:pStyle w:val="TableText"/>
            </w:pPr>
            <w:r>
              <w:rPr>
                <w:rFonts w:ascii="Arial" w:hAnsi="Arial"/>
                <w:sz w:val="16"/>
              </w:rPr>
              <w:t>Kein Grundsatzblocker; Implementierungsnachweis erforderlich.</w:t>
            </w:r>
          </w:p>
        </w:tc>
      </w:tr>
      <w:tr>
        <w:trPr>
          <w:cantSplit/>
        </w:trPr>
        <w:tc>
          <w:tcPr>
            <w:tcW w:type="dxa" w:w="1247"/>
            <w:vAlign w:val="top"/>
            <w:tcMar>
              <w:top w:w="80" w:type="dxa"/>
              <w:start w:w="90" w:type="dxa"/>
              <w:bottom w:w="80" w:type="dxa"/>
              <w:end w:w="90" w:type="dxa"/>
            </w:tcMar>
            <w:shd w:fill="F8FAFC"/>
          </w:tcPr>
          <w:p>
            <w:pPr>
              <w:pStyle w:val="TableText"/>
            </w:pPr>
            <w:r>
              <w:rPr>
                <w:rFonts w:ascii="Arial" w:hAnsi="Arial"/>
                <w:sz w:val="16"/>
              </w:rPr>
              <w:t>CON-004</w:t>
            </w:r>
          </w:p>
        </w:tc>
        <w:tc>
          <w:tcPr>
            <w:tcW w:type="dxa" w:w="1928"/>
            <w:vAlign w:val="top"/>
            <w:tcMar>
              <w:top w:w="80" w:type="dxa"/>
              <w:start w:w="90" w:type="dxa"/>
              <w:bottom w:w="80" w:type="dxa"/>
              <w:end w:w="90" w:type="dxa"/>
            </w:tcMar>
            <w:shd w:fill="F8FAFC"/>
          </w:tcPr>
          <w:p>
            <w:pPr>
              <w:pStyle w:val="TableText"/>
            </w:pPr>
            <w:r>
              <w:rPr>
                <w:rFonts w:ascii="Arial" w:hAnsi="Arial"/>
                <w:sz w:val="16"/>
              </w:rPr>
              <w:t>Leere Gegentormenge</w:t>
            </w:r>
          </w:p>
        </w:tc>
        <w:tc>
          <w:tcPr>
            <w:tcW w:type="dxa" w:w="4535"/>
            <w:vAlign w:val="top"/>
            <w:tcMar>
              <w:top w:w="80" w:type="dxa"/>
              <w:start w:w="90" w:type="dxa"/>
              <w:bottom w:w="80" w:type="dxa"/>
              <w:end w:w="90" w:type="dxa"/>
            </w:tcMar>
            <w:shd w:fill="F8FAFC"/>
          </w:tcPr>
          <w:p>
            <w:pPr>
              <w:pStyle w:val="TableText"/>
            </w:pPr>
            <w:r>
              <w:rPr>
                <w:rFonts w:ascii="Arial" w:hAnsi="Arial"/>
                <w:sz w:val="16"/>
              </w:rPr>
              <w:t>0,0 plus EMPTY_DEFENSIVE_SET/Herkunftsstatus technisch bewahren.</w:t>
            </w:r>
          </w:p>
        </w:tc>
        <w:tc>
          <w:tcPr>
            <w:tcW w:type="dxa" w:w="1757"/>
            <w:vAlign w:val="top"/>
            <w:tcMar>
              <w:top w:w="80" w:type="dxa"/>
              <w:start w:w="90" w:type="dxa"/>
              <w:bottom w:w="80" w:type="dxa"/>
              <w:end w:w="90" w:type="dxa"/>
            </w:tcMar>
            <w:shd w:fill="F8FAFC"/>
          </w:tcPr>
          <w:p>
            <w:pPr>
              <w:pStyle w:val="TableText"/>
            </w:pPr>
            <w:r>
              <w:rPr>
                <w:rFonts w:ascii="Arial" w:hAnsi="Arial"/>
                <w:sz w:val="16"/>
              </w:rPr>
              <w:t>Kein Grundsatzblocker; Ergebnis-/Evaluationsnachweis erforderlich.</w:t>
            </w:r>
          </w:p>
        </w:tc>
      </w:tr>
      <w:tr>
        <w:trPr>
          <w:cantSplit/>
        </w:trPr>
        <w:tc>
          <w:tcPr>
            <w:tcW w:type="dxa" w:w="1247"/>
            <w:vAlign w:val="top"/>
            <w:tcMar>
              <w:top w:w="80" w:type="dxa"/>
              <w:start w:w="90" w:type="dxa"/>
              <w:bottom w:w="80" w:type="dxa"/>
              <w:end w:w="90" w:type="dxa"/>
            </w:tcMar>
          </w:tcPr>
          <w:p>
            <w:pPr>
              <w:pStyle w:val="TableText"/>
            </w:pPr>
            <w:r>
              <w:rPr>
                <w:rFonts w:ascii="Arial" w:hAnsi="Arial"/>
                <w:sz w:val="16"/>
              </w:rPr>
              <w:t>CON-005</w:t>
            </w:r>
          </w:p>
        </w:tc>
        <w:tc>
          <w:tcPr>
            <w:tcW w:type="dxa" w:w="1928"/>
            <w:vAlign w:val="top"/>
            <w:tcMar>
              <w:top w:w="80" w:type="dxa"/>
              <w:start w:w="90" w:type="dxa"/>
              <w:bottom w:w="80" w:type="dxa"/>
              <w:end w:w="90" w:type="dxa"/>
            </w:tcMar>
          </w:tcPr>
          <w:p>
            <w:pPr>
              <w:pStyle w:val="TableText"/>
            </w:pPr>
            <w:r>
              <w:rPr>
                <w:rFonts w:ascii="Arial" w:hAnsi="Arial"/>
                <w:sz w:val="16"/>
              </w:rPr>
              <w:t>Teilnehmerkader</w:t>
            </w:r>
          </w:p>
        </w:tc>
        <w:tc>
          <w:tcPr>
            <w:tcW w:type="dxa" w:w="4535"/>
            <w:vAlign w:val="top"/>
            <w:tcMar>
              <w:top w:w="80" w:type="dxa"/>
              <w:start w:w="90" w:type="dxa"/>
              <w:bottom w:w="80" w:type="dxa"/>
              <w:end w:w="90" w:type="dxa"/>
            </w:tcMar>
          </w:tcPr>
          <w:p>
            <w:pPr>
              <w:pStyle w:val="TableText"/>
            </w:pPr>
            <w:r>
              <w:rPr>
                <w:rFonts w:ascii="Arial" w:hAnsi="Arial"/>
                <w:sz w:val="16"/>
              </w:rPr>
              <w:t>Im Live-/Operationspilot Zeitaufwand, Fehlerquote und Nutzen messen.</w:t>
            </w:r>
          </w:p>
        </w:tc>
        <w:tc>
          <w:tcPr>
            <w:tcW w:type="dxa" w:w="1757"/>
            <w:vAlign w:val="top"/>
            <w:tcMar>
              <w:top w:w="80" w:type="dxa"/>
              <w:start w:w="90" w:type="dxa"/>
              <w:bottom w:w="80" w:type="dxa"/>
              <w:end w:w="90" w:type="dxa"/>
            </w:tcMar>
          </w:tcPr>
          <w:p>
            <w:pPr>
              <w:pStyle w:val="TableText"/>
            </w:pPr>
            <w:r>
              <w:rPr>
                <w:rFonts w:ascii="Arial" w:hAnsi="Arial"/>
                <w:sz w:val="16"/>
              </w:rPr>
              <w:t>Pilotbefund, keine Vorab-Schließung.</w:t>
            </w:r>
          </w:p>
        </w:tc>
      </w:tr>
      <w:tr>
        <w:trPr>
          <w:cantSplit/>
        </w:trPr>
        <w:tc>
          <w:tcPr>
            <w:tcW w:type="dxa" w:w="1247"/>
            <w:vAlign w:val="top"/>
            <w:tcMar>
              <w:top w:w="80" w:type="dxa"/>
              <w:start w:w="90" w:type="dxa"/>
              <w:bottom w:w="80" w:type="dxa"/>
              <w:end w:w="90" w:type="dxa"/>
            </w:tcMar>
            <w:shd w:fill="F8FAFC"/>
          </w:tcPr>
          <w:p>
            <w:pPr>
              <w:pStyle w:val="TableText"/>
            </w:pPr>
            <w:r>
              <w:rPr>
                <w:rFonts w:ascii="Arial" w:hAnsi="Arial"/>
                <w:sz w:val="16"/>
              </w:rPr>
              <w:t>CON-008</w:t>
            </w:r>
          </w:p>
        </w:tc>
        <w:tc>
          <w:tcPr>
            <w:tcW w:type="dxa" w:w="1928"/>
            <w:vAlign w:val="top"/>
            <w:tcMar>
              <w:top w:w="80" w:type="dxa"/>
              <w:start w:w="90" w:type="dxa"/>
              <w:bottom w:w="80" w:type="dxa"/>
              <w:end w:w="90" w:type="dxa"/>
            </w:tcMar>
            <w:shd w:fill="F8FAFC"/>
          </w:tcPr>
          <w:p>
            <w:pPr>
              <w:pStyle w:val="TableText"/>
            </w:pPr>
            <w:r>
              <w:rPr>
                <w:rFonts w:ascii="Arial" w:hAnsi="Arial"/>
                <w:sz w:val="16"/>
              </w:rPr>
              <w:t>Governance-Synchronität</w:t>
            </w:r>
          </w:p>
        </w:tc>
        <w:tc>
          <w:tcPr>
            <w:tcW w:type="dxa" w:w="4535"/>
            <w:vAlign w:val="top"/>
            <w:tcMar>
              <w:top w:w="80" w:type="dxa"/>
              <w:start w:w="90" w:type="dxa"/>
              <w:bottom w:w="80" w:type="dxa"/>
              <w:end w:w="90" w:type="dxa"/>
            </w:tcMar>
            <w:shd w:fill="F8FAFC"/>
          </w:tcPr>
          <w:p>
            <w:pPr>
              <w:pStyle w:val="TableText"/>
            </w:pPr>
            <w:r>
              <w:rPr>
                <w:rFonts w:ascii="Arial" w:hAnsi="Arial"/>
                <w:sz w:val="16"/>
              </w:rPr>
              <w:t>Spec-Manifest und ereignisbezogene Quellenstandsprüfung in technischen Workflow integrieren.</w:t>
            </w:r>
          </w:p>
        </w:tc>
        <w:tc>
          <w:tcPr>
            <w:tcW w:type="dxa" w:w="1757"/>
            <w:vAlign w:val="top"/>
            <w:tcMar>
              <w:top w:w="80" w:type="dxa"/>
              <w:start w:w="90" w:type="dxa"/>
              <w:bottom w:w="80" w:type="dxa"/>
              <w:end w:w="90" w:type="dxa"/>
            </w:tcMar>
            <w:shd w:fill="F8FAFC"/>
          </w:tcPr>
          <w:p>
            <w:pPr>
              <w:pStyle w:val="TableText"/>
            </w:pPr>
            <w:r>
              <w:rPr>
                <w:rFonts w:ascii="Arial" w:hAnsi="Arial"/>
                <w:sz w:val="16"/>
              </w:rPr>
              <w:t>Laufende Governance-Kontrolle.</w:t>
            </w:r>
          </w:p>
        </w:tc>
      </w:tr>
      <w:tr>
        <w:trPr>
          <w:cantSplit/>
        </w:trPr>
        <w:tc>
          <w:tcPr>
            <w:tcW w:type="dxa" w:w="1247"/>
            <w:vAlign w:val="top"/>
            <w:tcMar>
              <w:top w:w="80" w:type="dxa"/>
              <w:start w:w="90" w:type="dxa"/>
              <w:bottom w:w="80" w:type="dxa"/>
              <w:end w:w="90" w:type="dxa"/>
            </w:tcMar>
          </w:tcPr>
          <w:p>
            <w:pPr>
              <w:pStyle w:val="TableText"/>
            </w:pPr>
            <w:r>
              <w:rPr>
                <w:rFonts w:ascii="Arial" w:hAnsi="Arial"/>
                <w:sz w:val="16"/>
              </w:rPr>
              <w:t>T-RD-01</w:t>
            </w:r>
          </w:p>
        </w:tc>
        <w:tc>
          <w:tcPr>
            <w:tcW w:type="dxa" w:w="1928"/>
            <w:vAlign w:val="top"/>
            <w:tcMar>
              <w:top w:w="80" w:type="dxa"/>
              <w:start w:w="90" w:type="dxa"/>
              <w:bottom w:w="80" w:type="dxa"/>
              <w:end w:w="90" w:type="dxa"/>
            </w:tcMar>
          </w:tcPr>
          <w:p>
            <w:pPr>
              <w:pStyle w:val="TableText"/>
            </w:pPr>
            <w:r>
              <w:rPr>
                <w:rFonts w:ascii="Arial" w:hAnsi="Arial"/>
                <w:sz w:val="16"/>
              </w:rPr>
              <w:t>Zeitauflösung</w:t>
            </w:r>
          </w:p>
        </w:tc>
        <w:tc>
          <w:tcPr>
            <w:tcW w:type="dxa" w:w="4535"/>
            <w:vAlign w:val="top"/>
            <w:tcMar>
              <w:top w:w="80" w:type="dxa"/>
              <w:start w:w="90" w:type="dxa"/>
              <w:bottom w:w="80" w:type="dxa"/>
              <w:end w:w="90" w:type="dxa"/>
            </w:tcMar>
          </w:tcPr>
          <w:p>
            <w:pPr>
              <w:pStyle w:val="TableText"/>
            </w:pPr>
            <w:r>
              <w:rPr>
                <w:rFonts w:ascii="Arial" w:hAnsi="Arial"/>
                <w:sz w:val="16"/>
              </w:rPr>
              <w:t>Im Pilot tatsächliche Quellenpräzision messen; keine Scheingenauigkeit erzeugen.</w:t>
            </w:r>
          </w:p>
        </w:tc>
        <w:tc>
          <w:tcPr>
            <w:tcW w:type="dxa" w:w="1757"/>
            <w:vAlign w:val="top"/>
            <w:tcMar>
              <w:top w:w="80" w:type="dxa"/>
              <w:start w:w="90" w:type="dxa"/>
              <w:bottom w:w="80" w:type="dxa"/>
              <w:end w:w="90" w:type="dxa"/>
            </w:tcMar>
          </w:tcPr>
          <w:p>
            <w:pPr>
              <w:pStyle w:val="TableText"/>
            </w:pPr>
            <w:r>
              <w:rPr>
                <w:rFonts w:ascii="Arial" w:hAnsi="Arial"/>
                <w:sz w:val="16"/>
              </w:rPr>
              <w:t>Technische Präzisierung.</w:t>
            </w:r>
          </w:p>
        </w:tc>
      </w:tr>
      <w:tr>
        <w:trPr>
          <w:cantSplit/>
        </w:trPr>
        <w:tc>
          <w:tcPr>
            <w:tcW w:type="dxa" w:w="1247"/>
            <w:vAlign w:val="top"/>
            <w:tcMar>
              <w:top w:w="80" w:type="dxa"/>
              <w:start w:w="90" w:type="dxa"/>
              <w:bottom w:w="80" w:type="dxa"/>
              <w:end w:w="90" w:type="dxa"/>
            </w:tcMar>
            <w:shd w:fill="F8FAFC"/>
          </w:tcPr>
          <w:p>
            <w:pPr>
              <w:pStyle w:val="TableText"/>
            </w:pPr>
            <w:r>
              <w:rPr>
                <w:rFonts w:ascii="Arial" w:hAnsi="Arial"/>
                <w:sz w:val="16"/>
              </w:rPr>
              <w:t>T-RD-02</w:t>
            </w:r>
          </w:p>
        </w:tc>
        <w:tc>
          <w:tcPr>
            <w:tcW w:type="dxa" w:w="1928"/>
            <w:vAlign w:val="top"/>
            <w:tcMar>
              <w:top w:w="80" w:type="dxa"/>
              <w:start w:w="90" w:type="dxa"/>
              <w:bottom w:w="80" w:type="dxa"/>
              <w:end w:w="90" w:type="dxa"/>
            </w:tcMar>
            <w:shd w:fill="F8FAFC"/>
          </w:tcPr>
          <w:p>
            <w:pPr>
              <w:pStyle w:val="TableText"/>
            </w:pPr>
            <w:r>
              <w:rPr>
                <w:rFonts w:ascii="Arial" w:hAnsi="Arial"/>
                <w:sz w:val="16"/>
              </w:rPr>
              <w:t>Externe IDs</w:t>
            </w:r>
          </w:p>
        </w:tc>
        <w:tc>
          <w:tcPr>
            <w:tcW w:type="dxa" w:w="4535"/>
            <w:vAlign w:val="top"/>
            <w:tcMar>
              <w:top w:w="80" w:type="dxa"/>
              <w:start w:w="90" w:type="dxa"/>
              <w:bottom w:w="80" w:type="dxa"/>
              <w:end w:w="90" w:type="dxa"/>
            </w:tcMar>
            <w:shd w:fill="F8FAFC"/>
          </w:tcPr>
          <w:p>
            <w:pPr>
              <w:pStyle w:val="TableText"/>
            </w:pPr>
            <w:r>
              <w:rPr>
                <w:rFonts w:ascii="Arial" w:hAnsi="Arial"/>
                <w:sz w:val="16"/>
              </w:rPr>
              <w:t>Abdeckung stabiler maschinenlesbarer IDs im Pilot prüfen; System muss ohne sie funktionieren.</w:t>
            </w:r>
          </w:p>
        </w:tc>
        <w:tc>
          <w:tcPr>
            <w:tcW w:type="dxa" w:w="1757"/>
            <w:vAlign w:val="top"/>
            <w:tcMar>
              <w:top w:w="80" w:type="dxa"/>
              <w:start w:w="90" w:type="dxa"/>
              <w:bottom w:w="80" w:type="dxa"/>
              <w:end w:w="90" w:type="dxa"/>
            </w:tcMar>
            <w:shd w:fill="F8FAFC"/>
          </w:tcPr>
          <w:p>
            <w:pPr>
              <w:pStyle w:val="TableText"/>
            </w:pPr>
            <w:r>
              <w:rPr>
                <w:rFonts w:ascii="Arial" w:hAnsi="Arial"/>
                <w:sz w:val="16"/>
              </w:rPr>
              <w:t>Technische Präzisierung.</w:t>
            </w:r>
          </w:p>
        </w:tc>
      </w:tr>
      <w:tr>
        <w:trPr>
          <w:cantSplit/>
        </w:trPr>
        <w:tc>
          <w:tcPr>
            <w:tcW w:type="dxa" w:w="1247"/>
            <w:vAlign w:val="top"/>
            <w:tcMar>
              <w:top w:w="80" w:type="dxa"/>
              <w:start w:w="90" w:type="dxa"/>
              <w:bottom w:w="80" w:type="dxa"/>
              <w:end w:w="90" w:type="dxa"/>
            </w:tcMar>
          </w:tcPr>
          <w:p>
            <w:pPr>
              <w:pStyle w:val="TableText"/>
            </w:pPr>
            <w:r>
              <w:rPr>
                <w:rFonts w:ascii="Arial" w:hAnsi="Arial"/>
                <w:sz w:val="16"/>
              </w:rPr>
              <w:t>L-RD-01/02</w:t>
            </w:r>
          </w:p>
        </w:tc>
        <w:tc>
          <w:tcPr>
            <w:tcW w:type="dxa" w:w="1928"/>
            <w:vAlign w:val="top"/>
            <w:tcMar>
              <w:top w:w="80" w:type="dxa"/>
              <w:start w:w="90" w:type="dxa"/>
              <w:bottom w:w="80" w:type="dxa"/>
              <w:end w:w="90" w:type="dxa"/>
            </w:tcMar>
          </w:tcPr>
          <w:p>
            <w:pPr>
              <w:pStyle w:val="TableText"/>
            </w:pPr>
            <w:r>
              <w:rPr>
                <w:rFonts w:ascii="Arial" w:hAnsi="Arial"/>
                <w:sz w:val="16"/>
              </w:rPr>
              <w:t>Automatisierter Quellenzugriff</w:t>
            </w:r>
          </w:p>
        </w:tc>
        <w:tc>
          <w:tcPr>
            <w:tcW w:type="dxa" w:w="4535"/>
            <w:vAlign w:val="top"/>
            <w:tcMar>
              <w:top w:w="80" w:type="dxa"/>
              <w:start w:w="90" w:type="dxa"/>
              <w:bottom w:w="80" w:type="dxa"/>
              <w:end w:w="90" w:type="dxa"/>
            </w:tcMar>
          </w:tcPr>
          <w:p>
            <w:pPr>
              <w:pStyle w:val="TableText"/>
            </w:pPr>
            <w:r>
              <w:rPr>
                <w:rFonts w:ascii="Arial" w:hAnsi="Arial"/>
                <w:sz w:val="16"/>
              </w:rPr>
              <w:t>Vor Produktivautomatisierung gesonderte Zulässigkeits-/Nutzungsprüfung.</w:t>
            </w:r>
          </w:p>
        </w:tc>
        <w:tc>
          <w:tcPr>
            <w:tcW w:type="dxa" w:w="1757"/>
            <w:vAlign w:val="top"/>
            <w:tcMar>
              <w:top w:w="80" w:type="dxa"/>
              <w:start w:w="90" w:type="dxa"/>
              <w:bottom w:w="80" w:type="dxa"/>
              <w:end w:w="90" w:type="dxa"/>
            </w:tcMar>
          </w:tcPr>
          <w:p>
            <w:pPr>
              <w:pStyle w:val="TableText"/>
            </w:pPr>
            <w:r>
              <w:rPr>
                <w:rFonts w:ascii="Arial" w:hAnsi="Arial"/>
                <w:sz w:val="16"/>
              </w:rPr>
              <w:t>Keine pauschale Automationsfreigabe durch MS2-Steuerung.</w:t>
            </w:r>
          </w:p>
        </w:tc>
      </w:tr>
      <w:tr>
        <w:trPr>
          <w:cantSplit/>
        </w:trPr>
        <w:tc>
          <w:tcPr>
            <w:tcW w:type="dxa" w:w="1247"/>
            <w:vAlign w:val="top"/>
            <w:tcMar>
              <w:top w:w="80" w:type="dxa"/>
              <w:start w:w="90" w:type="dxa"/>
              <w:bottom w:w="80" w:type="dxa"/>
              <w:end w:w="90" w:type="dxa"/>
            </w:tcMar>
            <w:shd w:fill="F8FAFC"/>
          </w:tcPr>
          <w:p>
            <w:pPr>
              <w:pStyle w:val="TableText"/>
            </w:pPr>
            <w:r>
              <w:rPr>
                <w:rFonts w:ascii="Arial" w:hAnsi="Arial"/>
                <w:sz w:val="16"/>
              </w:rPr>
              <w:t>TODO-CTL-02</w:t>
            </w:r>
          </w:p>
        </w:tc>
        <w:tc>
          <w:tcPr>
            <w:tcW w:type="dxa" w:w="1928"/>
            <w:vAlign w:val="top"/>
            <w:tcMar>
              <w:top w:w="80" w:type="dxa"/>
              <w:start w:w="90" w:type="dxa"/>
              <w:bottom w:w="80" w:type="dxa"/>
              <w:end w:w="90" w:type="dxa"/>
            </w:tcMar>
            <w:shd w:fill="F8FAFC"/>
          </w:tcPr>
          <w:p>
            <w:pPr>
              <w:pStyle w:val="TableText"/>
            </w:pPr>
            <w:r>
              <w:rPr>
                <w:rFonts w:ascii="Arial" w:hAnsi="Arial"/>
                <w:sz w:val="16"/>
              </w:rPr>
              <w:t>Registeraktualität</w:t>
            </w:r>
          </w:p>
        </w:tc>
        <w:tc>
          <w:tcPr>
            <w:tcW w:type="dxa" w:w="4535"/>
            <w:vAlign w:val="top"/>
            <w:tcMar>
              <w:top w:w="80" w:type="dxa"/>
              <w:start w:w="90" w:type="dxa"/>
              <w:bottom w:w="80" w:type="dxa"/>
              <w:end w:w="90" w:type="dxa"/>
            </w:tcMar>
            <w:shd w:fill="F8FAFC"/>
          </w:tcPr>
          <w:p>
            <w:pPr>
              <w:pStyle w:val="TableText"/>
            </w:pPr>
            <w:r>
              <w:rPr>
                <w:rFonts w:ascii="Arial" w:hAnsi="Arial"/>
                <w:sz w:val="16"/>
              </w:rPr>
              <w:t>Bei geeigneten Ereignissen und vor Nutzung versionierter Projektquellen prüfen; keine unbegründete zusätzliche Periodik.</w:t>
            </w:r>
          </w:p>
        </w:tc>
        <w:tc>
          <w:tcPr>
            <w:tcW w:type="dxa" w:w="1757"/>
            <w:vAlign w:val="top"/>
            <w:tcMar>
              <w:top w:w="80" w:type="dxa"/>
              <w:start w:w="90" w:type="dxa"/>
              <w:bottom w:w="80" w:type="dxa"/>
              <w:end w:w="90" w:type="dxa"/>
            </w:tcMar>
            <w:shd w:fill="F8FAFC"/>
          </w:tcPr>
          <w:p>
            <w:pPr>
              <w:pStyle w:val="TableText"/>
            </w:pPr>
            <w:r>
              <w:rPr>
                <w:rFonts w:ascii="Arial" w:hAnsi="Arial"/>
                <w:sz w:val="16"/>
              </w:rPr>
              <w:t>Dauerhafte Kontrollaufgabe.</w:t>
            </w:r>
          </w:p>
        </w:tc>
      </w:tr>
    </w:tbl>
    <w:p>
      <w:pPr>
        <w:spacing w:after="0"/>
      </w:pPr>
    </w:p>
    <w:p>
      <w:pPr>
        <w:pStyle w:val="Heading1"/>
      </w:pPr>
      <w:r>
        <w:t>16. Änderungs-, Eskalations- und Entscheidungsregeln</w:t>
      </w:r>
    </w:p>
    <w:p>
      <w:pPr>
        <w:spacing w:after="40"/>
        <w:ind w:left="255" w:hanging="142"/>
      </w:pPr>
      <w:r>
        <w:rPr>
          <w:b/>
        </w:rPr>
        <w:t xml:space="preserve">• </w:t>
      </w:r>
      <w:r>
        <w:t>Technische Details dürfen innerhalb des freigegebenen Fachmodells konkretisiert werden, sofern sie keine neue Managerspielregel, Datenhoheit oder semantische Statusbedeutung erzeugen.</w:t>
      </w:r>
    </w:p>
    <w:p>
      <w:pPr>
        <w:spacing w:after="40"/>
        <w:ind w:left="255" w:hanging="142"/>
      </w:pPr>
      <w:r>
        <w:rPr>
          <w:b/>
        </w:rPr>
        <w:t xml:space="preserve">• </w:t>
      </w:r>
      <w:r>
        <w:t>Entsteht eine echte neue fachliche Wahl mit Einfluss auf Regel, Datenhoheit, Eligibility, Wertung, Lock, Snapshot-/Entscheidungslogik oder Ergebnisinterpretation, wird sie vor Umsetzung als Grundsatzfrage mit betroffenen DEC-/REQ-/CON-IDs eskaliert.</w:t>
      </w:r>
    </w:p>
    <w:p>
      <w:pPr>
        <w:spacing w:after="40"/>
        <w:ind w:left="255" w:hanging="142"/>
      </w:pPr>
      <w:r>
        <w:rPr>
          <w:b/>
        </w:rPr>
        <w:t xml:space="preserve">• </w:t>
      </w:r>
      <w:r>
        <w:t>Neue Anforderungen werden nicht nur im Code dokumentiert. Verbindliche Folgeanforderungen sind in DOC-014 fortzuschreiben und über CHG/DOC-REG zu synchronisieren.</w:t>
      </w:r>
    </w:p>
    <w:p>
      <w:pPr>
        <w:spacing w:after="40"/>
        <w:ind w:left="255" w:hanging="142"/>
      </w:pPr>
      <w:r>
        <w:rPr>
          <w:b/>
        </w:rPr>
        <w:t xml:space="preserve">• </w:t>
      </w:r>
      <w:r>
        <w:t>Eine technische Abweichung vom Sollmodell darf als Pilotbefund dokumentiert werden, macht aber den abweichenden Weg nicht automatisch verbindlich.</w:t>
      </w:r>
    </w:p>
    <w:p>
      <w:pPr>
        <w:spacing w:after="40"/>
        <w:ind w:left="255" w:hanging="142"/>
      </w:pPr>
      <w:r>
        <w:rPr>
          <w:b/>
        </w:rPr>
        <w:t xml:space="preserve">• </w:t>
      </w:r>
      <w:r>
        <w:t>Bei veralteter oder mehrdeutiger Projektquellenlage ist die Nutzung der betroffenen Spezifikation bis zur Klärung zu blockieren; DOC-REG-001 bleibt maßgeblich.</w:t>
      </w:r>
    </w:p>
    <w:p>
      <w:pPr>
        <w:pStyle w:val="Heading1"/>
      </w:pPr>
      <w:r>
        <w:t>17. Formale MS2-Abnahme</w:t>
      </w:r>
    </w:p>
    <w:p>
      <w:r>
        <w:t>Die formale MS2-Abnahme erfolgt als eigener Schritt durch Projektsteuerung und Integrationsmanagement. Technische Fertigstellung allein genügt nicht.</w:t>
      </w:r>
    </w:p>
    <w:p>
      <w:pPr>
        <w:spacing w:after="40"/>
        <w:ind w:left="255" w:hanging="142"/>
      </w:pPr>
      <w:r>
        <w:rPr>
          <w:b/>
        </w:rPr>
        <w:t xml:space="preserve">• </w:t>
      </w:r>
      <w:r>
        <w:t>MS2-K01 bis MS2-K12 sind erfüllt oder ein Kriterium ist ausdrücklich und begründet in einen späteren Milestone verschoben, sofern dadurch der Kernzweck von MS2 nicht verletzt wird.</w:t>
      </w:r>
    </w:p>
    <w:p>
      <w:pPr>
        <w:spacing w:after="40"/>
        <w:ind w:left="255" w:hanging="142"/>
      </w:pPr>
      <w:r>
        <w:rPr>
          <w:b/>
        </w:rPr>
        <w:t xml:space="preserve">• </w:t>
      </w:r>
      <w:r>
        <w:t>MS2-IG5 (Replay), MS2-IG6 (Fault Suite) und MS2-IG7 (Live-/Operationspilot) müssen für die reguläre MS2-Abnahme PASS sein; eine Ausnahme wäre als neue Grundsatz-/Steuerungsentscheidung explizit zu dokumentieren.</w:t>
      </w:r>
    </w:p>
    <w:p>
      <w:pPr>
        <w:spacing w:after="40"/>
        <w:ind w:left="255" w:hanging="142"/>
      </w:pPr>
      <w:r>
        <w:rPr>
          <w:b/>
        </w:rPr>
        <w:t xml:space="preserve">• </w:t>
      </w:r>
      <w:r>
        <w:t>Kein offener Konflikt hoher Schwere darf die reproduzierbare End-to-End-Verarbeitung oder die Verbindlichkeit der verwendeten Projektquellen in Frage stellen.</w:t>
      </w:r>
    </w:p>
    <w:p>
      <w:pPr>
        <w:spacing w:after="40"/>
        <w:ind w:left="255" w:hanging="142"/>
      </w:pPr>
      <w:r>
        <w:rPr>
          <w:b/>
        </w:rPr>
        <w:t xml:space="preserve">• </w:t>
      </w:r>
      <w:r>
        <w:t>Die vollständige Traceability von Quelle bis Evaluation sowie von Testbefund bis DEC-/REQ-/CON-/MS2-K-Bezug ist geprüft.</w:t>
      </w:r>
    </w:p>
    <w:p>
      <w:pPr>
        <w:spacing w:after="40"/>
        <w:ind w:left="255" w:hanging="142"/>
      </w:pPr>
      <w:r>
        <w:rPr>
          <w:b/>
        </w:rPr>
        <w:t xml:space="preserve">• </w:t>
      </w:r>
      <w:r>
        <w:t>Offene Folgeabhängigkeiten sind nach Pilotstand aktualisiert; erledigte Punkte besitzen Evidenz, fortgeführte Punkte einen klaren nächsten Bearbeitungsbedarf.</w:t>
      </w:r>
    </w:p>
    <w:p>
      <w:pPr>
        <w:spacing w:after="40"/>
        <w:ind w:left="255" w:hanging="142"/>
      </w:pPr>
      <w:r>
        <w:rPr>
          <w:b/>
        </w:rPr>
        <w:t xml:space="preserve">• </w:t>
      </w:r>
      <w:r>
        <w:t>Register-, Änderungs- und Dokumentenfortschreibung sind synchron abgeschlossen.</w:t>
      </w:r>
    </w:p>
    <w:tbl>
      <w:tblPr>
        <w:tblW w:type="auto" w:w="0"/>
        <w:jc w:val="center"/>
        <w:tblLayout w:type="fixed"/>
        <w:tblLook w:firstColumn="1" w:firstRow="1" w:lastColumn="0" w:lastRow="0" w:noHBand="0" w:noVBand="1" w:val="04A0"/>
      </w:tblPr>
      <w:tblGrid>
        <w:gridCol w:w="9524"/>
      </w:tblGrid>
      <w:tr>
        <w:trPr>
          <w:cantSplit/>
        </w:trPr>
        <w:tc>
          <w:tcPr>
            <w:tcW w:type="dxa" w:w="9866"/>
            <w:shd w:fill="FFF2CC"/>
            <w:tcMar>
              <w:top w:w="120" w:type="dxa"/>
              <w:start w:w="160" w:type="dxa"/>
              <w:bottom w:w="120" w:type="dxa"/>
              <w:end w:w="160" w:type="dxa"/>
            </w:tcMar>
            <w:tcBorders>
              <w:top w:val="single" w:sz="8" w:space="0" w:color="BF9000"/>
              <w:left w:val="single" w:sz="8" w:space="0" w:color="BF9000"/>
              <w:bottom w:val="single" w:sz="8" w:space="0" w:color="BF9000"/>
              <w:right w:val="single" w:sz="8" w:space="0" w:color="BF9000"/>
            </w:tcBorders>
          </w:tcPr>
          <w:p>
            <w:pPr>
              <w:pStyle w:val="Callout"/>
            </w:pPr>
            <w:r>
              <w:t>MS2 wird nicht an „perfekter Prognose“ abgenommen. Prognosequalität darf gemessen und verbessert werden, ist aber ohne gesonderte Entscheidung kein Mindest-Gate für MS2.</w:t>
            </w:r>
          </w:p>
        </w:tc>
      </w:tr>
    </w:tbl>
    <w:p>
      <w:pPr>
        <w:spacing w:after="0"/>
      </w:pPr>
    </w:p>
    <w:p>
      <w:pPr>
        <w:pStyle w:val="Heading1"/>
      </w:pPr>
      <w:r>
        <w:t>18. Registerwirkung der Freigabe dieses Dokuments</w:t>
      </w:r>
    </w:p>
    <w:p>
      <w:r>
        <w:t>Vor Freigabe von DOC-016 v0.3 wurde DOC-REG-001 Stand 4.0 erneut geprüft. Die nachfolgende Registerwirkung wurde mit CHG-0033 umgesetzt und ist in DOC-REG-001 Stand 4.1 verbindlich abgebildet.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41"/>
            <w:vAlign w:val="top"/>
            <w:tcMar>
              <w:top w:w="80" w:type="dxa"/>
              <w:start w:w="90" w:type="dxa"/>
              <w:bottom w:w="80" w:type="dxa"/>
              <w:end w:w="90" w:type="dxa"/>
            </w:tcMar>
            <w:shd w:fill="17365D"/>
          </w:tcPr>
          <w:p>
            <w:pPr>
              <w:pStyle w:val="TableText"/>
            </w:pPr>
            <w:r>
              <w:rPr>
                <w:rFonts w:ascii="Arial" w:hAnsi="Arial"/>
                <w:b/>
                <w:color w:val="FFFFFF"/>
                <w:sz w:val="16"/>
              </w:rPr>
              <w:t>Artefakt</w:t>
            </w:r>
          </w:p>
        </w:tc>
        <w:tc>
          <w:tcPr>
            <w:tcW w:type="dxa" w:w="7427"/>
            <w:vAlign w:val="top"/>
            <w:tcMar>
              <w:top w:w="80" w:type="dxa"/>
              <w:start w:w="90" w:type="dxa"/>
              <w:bottom w:w="80" w:type="dxa"/>
              <w:end w:w="90" w:type="dxa"/>
            </w:tcMar>
            <w:shd w:fill="17365D"/>
          </w:tcPr>
          <w:p>
            <w:pPr>
              <w:pStyle w:val="TableText"/>
            </w:pPr>
            <w:r>
              <w:rPr>
                <w:rFonts w:ascii="Arial" w:hAnsi="Arial"/>
                <w:b/>
                <w:color w:val="FFFFFF"/>
                <w:sz w:val="16"/>
              </w:rPr>
              <w:t>Wirkung der Freigabe</w:t>
            </w:r>
          </w:p>
        </w:tc>
      </w:tr>
      <w:tr>
        <w:trPr>
          <w:cantSplit/>
        </w:trPr>
        <w:tc>
          <w:tcPr>
            <w:tcW w:type="dxa" w:w="2041"/>
            <w:vAlign w:val="top"/>
            <w:tcMar>
              <w:top w:w="80" w:type="dxa"/>
              <w:start w:w="90" w:type="dxa"/>
              <w:bottom w:w="80" w:type="dxa"/>
              <w:end w:w="90" w:type="dxa"/>
            </w:tcMar>
          </w:tcPr>
          <w:p>
            <w:r/>
            <w:r>
              <w:rPr>
                <w:b w:val="0"/>
              </w:rPr>
              <w:t>DOC-016</w:t>
            </w:r>
          </w:p>
        </w:tc>
        <w:tc>
          <w:tcPr>
            <w:tcW w:type="dxa" w:w="7427"/>
            <w:vAlign w:val="top"/>
            <w:tcMar>
              <w:top w:w="80" w:type="dxa"/>
              <w:start w:w="90" w:type="dxa"/>
              <w:bottom w:w="80" w:type="dxa"/>
              <w:end w:w="90" w:type="dxa"/>
            </w:tcMar>
          </w:tcPr>
          <w:p>
            <w:r/>
            <w:r>
              <w:rPr>
                <w:b w:val="0"/>
              </w:rPr>
              <w:t>Steuerungsdokument MS2 v0.3 ist als aktuelle verbindliche Projektquelle registriert.</w:t>
            </w:r>
          </w:p>
        </w:tc>
      </w:tr>
      <w:tr>
        <w:trPr>
          <w:cantSplit/>
        </w:trPr>
        <w:tc>
          <w:tcPr>
            <w:tcW w:type="dxa" w:w="2041"/>
            <w:vAlign w:val="top"/>
            <w:tcMar>
              <w:top w:w="80" w:type="dxa"/>
              <w:start w:w="90" w:type="dxa"/>
              <w:bottom w:w="80" w:type="dxa"/>
              <w:end w:w="90" w:type="dxa"/>
            </w:tcMar>
            <w:shd w:fill="F8FAFC"/>
          </w:tcPr>
          <w:p>
            <w:r/>
            <w:r>
              <w:rPr>
                <w:b w:val="0"/>
              </w:rPr>
              <w:t>DOC-014</w:t>
            </w:r>
          </w:p>
        </w:tc>
        <w:tc>
          <w:tcPr>
            <w:tcW w:type="dxa" w:w="7427"/>
            <w:vAlign w:val="top"/>
            <w:tcMar>
              <w:top w:w="80" w:type="dxa"/>
              <w:start w:w="90" w:type="dxa"/>
              <w:bottom w:w="80" w:type="dxa"/>
              <w:end w:w="90" w:type="dxa"/>
            </w:tcMar>
            <w:shd w:fill="F8FAFC"/>
          </w:tcPr>
          <w:p>
            <w:r/>
            <w:r>
              <w:rPr>
                <w:b w:val="0"/>
              </w:rPr>
              <w:t>DOC-014 wurde um DEC-034 und CHG-0033 fortgeschrieben: v0.9 → v1.0.</w:t>
            </w:r>
          </w:p>
        </w:tc>
      </w:tr>
      <w:tr>
        <w:trPr>
          <w:cantSplit/>
        </w:trPr>
        <w:tc>
          <w:tcPr>
            <w:tcW w:type="dxa" w:w="2041"/>
            <w:vAlign w:val="top"/>
            <w:tcMar>
              <w:top w:w="80" w:type="dxa"/>
              <w:start w:w="90" w:type="dxa"/>
              <w:bottom w:w="80" w:type="dxa"/>
              <w:end w:w="90" w:type="dxa"/>
            </w:tcMar>
          </w:tcPr>
          <w:p>
            <w:r/>
            <w:r>
              <w:rPr>
                <w:b w:val="0"/>
              </w:rPr>
              <w:t>CHG</w:t>
            </w:r>
          </w:p>
        </w:tc>
        <w:tc>
          <w:tcPr>
            <w:tcW w:type="dxa" w:w="7427"/>
            <w:vAlign w:val="top"/>
            <w:tcMar>
              <w:top w:w="80" w:type="dxa"/>
              <w:start w:w="90" w:type="dxa"/>
              <w:bottom w:w="80" w:type="dxa"/>
              <w:end w:w="90" w:type="dxa"/>
            </w:tcMar>
          </w:tcPr>
          <w:p>
            <w:r/>
            <w:r>
              <w:rPr>
                <w:b w:val="0"/>
              </w:rPr>
              <w:t>CHG-0033 dokumentiert die Strategie-Fortschreibung nach dem datenlimitierten W3.2-Pilot.</w:t>
            </w:r>
          </w:p>
        </w:tc>
      </w:tr>
      <w:tr>
        <w:trPr>
          <w:cantSplit/>
        </w:trPr>
        <w:tc>
          <w:tcPr>
            <w:tcW w:type="dxa" w:w="2041"/>
            <w:vAlign w:val="top"/>
            <w:tcMar>
              <w:top w:w="80" w:type="dxa"/>
              <w:start w:w="90" w:type="dxa"/>
              <w:bottom w:w="80" w:type="dxa"/>
              <w:end w:w="90" w:type="dxa"/>
            </w:tcMar>
            <w:shd w:fill="F8FAFC"/>
          </w:tcPr>
          <w:p>
            <w:r/>
            <w:r>
              <w:rPr>
                <w:b w:val="0"/>
              </w:rPr>
              <w:t>DOC-REG-001</w:t>
            </w:r>
          </w:p>
        </w:tc>
        <w:tc>
          <w:tcPr>
            <w:tcW w:type="dxa" w:w="7427"/>
            <w:vAlign w:val="top"/>
            <w:tcMar>
              <w:top w:w="80" w:type="dxa"/>
              <w:start w:w="90" w:type="dxa"/>
              <w:bottom w:w="80" w:type="dxa"/>
              <w:end w:w="90" w:type="dxa"/>
            </w:tcMar>
            <w:shd w:fill="F8FAFC"/>
          </w:tcPr>
          <w:p>
            <w:r/>
            <w:r>
              <w:rPr>
                <w:b w:val="0"/>
              </w:rPr>
              <w:t>DOC-REG-001 wurde mit der Freigabe von Stand 4.0 auf Stand 4.1 fortgeschrieben.</w:t>
            </w:r>
          </w:p>
        </w:tc>
      </w:tr>
      <w:tr>
        <w:trPr>
          <w:cantSplit/>
        </w:trPr>
        <w:tc>
          <w:tcPr>
            <w:tcW w:type="dxa" w:w="2041"/>
            <w:vAlign w:val="top"/>
            <w:tcMar>
              <w:top w:w="80" w:type="dxa"/>
              <w:start w:w="90" w:type="dxa"/>
              <w:bottom w:w="80" w:type="dxa"/>
              <w:end w:w="90" w:type="dxa"/>
            </w:tcMar>
          </w:tcPr>
          <w:p>
            <w:r/>
            <w:r>
              <w:rPr>
                <w:b w:val="0"/>
              </w:rPr>
              <w:t>DOC-015</w:t>
            </w:r>
          </w:p>
        </w:tc>
        <w:tc>
          <w:tcPr>
            <w:tcW w:type="dxa" w:w="7427"/>
            <w:vAlign w:val="top"/>
            <w:tcMar>
              <w:top w:w="80" w:type="dxa"/>
              <w:start w:w="90" w:type="dxa"/>
              <w:bottom w:w="80" w:type="dxa"/>
              <w:end w:w="90" w:type="dxa"/>
            </w:tcMar>
          </w:tcPr>
          <w:p>
            <w:r/>
            <w:r>
              <w:rPr>
                <w:b w:val="0"/>
              </w:rPr>
              <w:t>Keine Fortschreibung; DOC-015 v0.8 bleibt unverändert verbindliches fachliches Zielmodell.</w:t>
            </w:r>
          </w:p>
        </w:tc>
      </w:tr>
      <w:tr>
        <w:trPr>
          <w:cantSplit/>
        </w:trPr>
        <w:tc>
          <w:tcPr>
            <w:tcW w:type="dxa" w:w="2041"/>
            <w:vAlign w:val="top"/>
            <w:tcMar>
              <w:top w:w="80" w:type="dxa"/>
              <w:start w:w="90" w:type="dxa"/>
              <w:bottom w:w="80" w:type="dxa"/>
              <w:end w:w="90" w:type="dxa"/>
            </w:tcMar>
            <w:shd w:fill="F8FAFC"/>
          </w:tcPr>
          <w:p>
            <w:r/>
            <w:r>
              <w:rPr>
                <w:b w:val="0"/>
              </w:rPr>
              <w:t>DEC/REQ/CON</w:t>
            </w:r>
          </w:p>
        </w:tc>
        <w:tc>
          <w:tcPr>
            <w:tcW w:type="dxa" w:w="7427"/>
            <w:vAlign w:val="top"/>
            <w:tcMar>
              <w:top w:w="80" w:type="dxa"/>
              <w:start w:w="90" w:type="dxa"/>
              <w:bottom w:w="80" w:type="dxa"/>
              <w:end w:w="90" w:type="dxa"/>
            </w:tcMar>
            <w:shd w:fill="F8FAFC"/>
          </w:tcPr>
          <w:p>
            <w:r/>
            <w:r>
              <w:rPr>
                <w:b w:val="0"/>
              </w:rPr>
              <w:t>DEC-034 neu. Keine neue REQ und keine neue CON; bestehende fachliche Regeln und Missing-Semantik bleiben unverändert.</w:t>
            </w:r>
          </w:p>
        </w:tc>
      </w:tr>
    </w:tbl>
    <w:p>
      <w:pPr>
        <w:spacing w:after="0"/>
      </w:pPr>
    </w:p>
    <w:p>
      <w:pPr>
        <w:pStyle w:val="Heading1"/>
      </w:pPr>
      <w:r>
        <w:t>Anhang A – Traceability MS2 zu aktuellem Kernbestand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vAlign w:val="top"/>
            <w:tcMar>
              <w:top w:w="80" w:type="dxa"/>
              <w:start w:w="90" w:type="dxa"/>
              <w:bottom w:w="80" w:type="dxa"/>
              <w:end w:w="90" w:type="dxa"/>
            </w:tcMar>
            <w:shd w:fill="17365D"/>
          </w:tcPr>
          <w:p>
            <w:pPr>
              <w:pStyle w:val="TableText"/>
            </w:pPr>
            <w:r>
              <w:rPr>
                <w:rFonts w:ascii="Arial" w:hAnsi="Arial"/>
                <w:b/>
                <w:color w:val="FFFFFF"/>
                <w:sz w:val="16"/>
              </w:rPr>
              <w:t>MS2-Gegenstand</w:t>
            </w:r>
          </w:p>
        </w:tc>
        <w:tc>
          <w:tcPr>
            <w:tcW w:type="dxa" w:w="3061"/>
            <w:vAlign w:val="top"/>
            <w:tcMar>
              <w:top w:w="80" w:type="dxa"/>
              <w:start w:w="90" w:type="dxa"/>
              <w:bottom w:w="80" w:type="dxa"/>
              <w:end w:w="90" w:type="dxa"/>
            </w:tcMar>
            <w:shd w:fill="17365D"/>
          </w:tcPr>
          <w:p>
            <w:pPr>
              <w:pStyle w:val="TableText"/>
            </w:pPr>
            <w:r>
              <w:rPr>
                <w:rFonts w:ascii="Arial" w:hAnsi="Arial"/>
                <w:b/>
                <w:color w:val="FFFFFF"/>
                <w:sz w:val="16"/>
              </w:rPr>
              <w:t>Kernquelle / Abschnitt</w:t>
            </w:r>
          </w:p>
        </w:tc>
        <w:tc>
          <w:tcPr>
            <w:tcW w:type="dxa" w:w="4139"/>
            <w:vAlign w:val="top"/>
            <w:tcMar>
              <w:top w:w="80" w:type="dxa"/>
              <w:start w:w="90" w:type="dxa"/>
              <w:bottom w:w="80" w:type="dxa"/>
              <w:end w:w="90" w:type="dxa"/>
            </w:tcMar>
            <w:shd w:fill="17365D"/>
          </w:tcPr>
          <w:p>
            <w:pPr>
              <w:pStyle w:val="TableText"/>
            </w:pPr>
            <w:r>
              <w:rPr>
                <w:rFonts w:ascii="Arial" w:hAnsi="Arial"/>
                <w:b/>
                <w:color w:val="FFFFFF"/>
                <w:sz w:val="16"/>
              </w:rPr>
              <w:t>Bezug</w:t>
            </w:r>
          </w:p>
        </w:tc>
      </w:tr>
      <w:tr>
        <w:trPr>
          <w:cantSplit/>
        </w:trPr>
        <w:tc>
          <w:tcPr>
            <w:tcW w:type="dxa" w:w="2268"/>
            <w:vAlign w:val="top"/>
            <w:tcMar>
              <w:top w:w="80" w:type="dxa"/>
              <w:start w:w="90" w:type="dxa"/>
              <w:bottom w:w="80" w:type="dxa"/>
              <w:end w:w="90" w:type="dxa"/>
            </w:tcMar>
          </w:tcPr>
          <w:p>
            <w:pPr>
              <w:pStyle w:val="TableText"/>
            </w:pPr>
            <w:r>
              <w:rPr>
                <w:rFonts w:ascii="Arial" w:hAnsi="Arial"/>
                <w:sz w:val="16"/>
              </w:rPr>
              <w:t>MS2-Zielkette</w:t>
            </w:r>
          </w:p>
        </w:tc>
        <w:tc>
          <w:tcPr>
            <w:tcW w:type="dxa" w:w="3061"/>
            <w:vAlign w:val="top"/>
            <w:tcMar>
              <w:top w:w="80" w:type="dxa"/>
              <w:start w:w="90" w:type="dxa"/>
              <w:bottom w:w="80" w:type="dxa"/>
              <w:end w:w="90" w:type="dxa"/>
            </w:tcMar>
          </w:tcPr>
          <w:p>
            <w:pPr>
              <w:pStyle w:val="TableText"/>
            </w:pPr>
            <w:r>
              <w:rPr>
                <w:rFonts w:ascii="Arial" w:hAnsi="Arial"/>
                <w:sz w:val="16"/>
              </w:rPr>
              <w:t>DOC-015 §2 sowie §§19–24</w:t>
            </w:r>
          </w:p>
        </w:tc>
        <w:tc>
          <w:tcPr>
            <w:tcW w:type="dxa" w:w="4139"/>
            <w:vAlign w:val="top"/>
            <w:tcMar>
              <w:top w:w="80" w:type="dxa"/>
              <w:start w:w="90" w:type="dxa"/>
              <w:bottom w:w="80" w:type="dxa"/>
              <w:end w:w="90" w:type="dxa"/>
            </w:tcMar>
          </w:tcPr>
          <w:p>
            <w:pPr>
              <w:pStyle w:val="TableText"/>
            </w:pPr>
            <w:r>
              <w:rPr>
                <w:rFonts w:ascii="Arial" w:hAnsi="Arial"/>
                <w:sz w:val="16"/>
              </w:rPr>
              <w:t>Verarbeitungskette, Schnittstellen, Kontrollen, Gates, Historisierung.</w:t>
            </w:r>
          </w:p>
        </w:tc>
      </w:tr>
      <w:tr>
        <w:trPr>
          <w:cantSplit/>
        </w:trPr>
        <w:tc>
          <w:tcPr>
            <w:tcW w:type="dxa" w:w="2268"/>
            <w:vAlign w:val="top"/>
            <w:tcMar>
              <w:top w:w="80" w:type="dxa"/>
              <w:start w:w="90" w:type="dxa"/>
              <w:bottom w:w="80" w:type="dxa"/>
              <w:end w:w="90" w:type="dxa"/>
            </w:tcMar>
            <w:shd w:fill="F8FAFC"/>
          </w:tcPr>
          <w:p>
            <w:pPr>
              <w:pStyle w:val="TableText"/>
            </w:pPr>
            <w:r>
              <w:rPr>
                <w:rFonts w:ascii="Arial" w:hAnsi="Arial"/>
                <w:sz w:val="16"/>
              </w:rPr>
              <w:t>MS2-K03/04</w:t>
            </w:r>
          </w:p>
        </w:tc>
        <w:tc>
          <w:tcPr>
            <w:tcW w:type="dxa" w:w="3061"/>
            <w:vAlign w:val="top"/>
            <w:tcMar>
              <w:top w:w="80" w:type="dxa"/>
              <w:start w:w="90" w:type="dxa"/>
              <w:bottom w:w="80" w:type="dxa"/>
              <w:end w:w="90" w:type="dxa"/>
            </w:tcMar>
            <w:shd w:fill="F8FAFC"/>
          </w:tcPr>
          <w:p>
            <w:pPr>
              <w:pStyle w:val="TableText"/>
            </w:pPr>
            <w:r>
              <w:rPr>
                <w:rFonts w:ascii="Arial" w:hAnsi="Arial"/>
                <w:sz w:val="16"/>
              </w:rPr>
              <w:t>DOC-015 §§3, 8–11, 19.2, 20–21</w:t>
            </w:r>
          </w:p>
        </w:tc>
        <w:tc>
          <w:tcPr>
            <w:tcW w:type="dxa" w:w="4139"/>
            <w:vAlign w:val="top"/>
            <w:tcMar>
              <w:top w:w="80" w:type="dxa"/>
              <w:start w:w="90" w:type="dxa"/>
              <w:bottom w:w="80" w:type="dxa"/>
              <w:end w:w="90" w:type="dxa"/>
            </w:tcMar>
            <w:shd w:fill="F8FAFC"/>
          </w:tcPr>
          <w:p>
            <w:pPr>
              <w:pStyle w:val="TableText"/>
            </w:pPr>
            <w:r>
              <w:rPr>
                <w:rFonts w:ascii="Arial" w:hAnsi="Arial"/>
                <w:sz w:val="16"/>
              </w:rPr>
              <w:t>SSOT/Monitoring-Hoheit, Mapping, Eligibility, Status- und Gate-Trennung.</w:t>
            </w:r>
          </w:p>
        </w:tc>
      </w:tr>
      <w:tr>
        <w:trPr>
          <w:cantSplit/>
        </w:trPr>
        <w:tc>
          <w:tcPr>
            <w:tcW w:type="dxa" w:w="2268"/>
            <w:vAlign w:val="top"/>
            <w:tcMar>
              <w:top w:w="80" w:type="dxa"/>
              <w:start w:w="90" w:type="dxa"/>
              <w:bottom w:w="80" w:type="dxa"/>
              <w:end w:w="90" w:type="dxa"/>
            </w:tcMar>
          </w:tcPr>
          <w:p>
            <w:pPr>
              <w:pStyle w:val="TableText"/>
            </w:pPr>
            <w:r>
              <w:rPr>
                <w:rFonts w:ascii="Arial" w:hAnsi="Arial"/>
                <w:sz w:val="16"/>
              </w:rPr>
              <w:t>MS2-K05</w:t>
            </w:r>
          </w:p>
        </w:tc>
        <w:tc>
          <w:tcPr>
            <w:tcW w:type="dxa" w:w="3061"/>
            <w:vAlign w:val="top"/>
            <w:tcMar>
              <w:top w:w="80" w:type="dxa"/>
              <w:start w:w="90" w:type="dxa"/>
              <w:bottom w:w="80" w:type="dxa"/>
              <w:end w:w="90" w:type="dxa"/>
            </w:tcMar>
          </w:tcPr>
          <w:p>
            <w:pPr>
              <w:pStyle w:val="TableText"/>
            </w:pPr>
            <w:r>
              <w:rPr>
                <w:rFonts w:ascii="Arial" w:hAnsi="Arial"/>
                <w:sz w:val="16"/>
              </w:rPr>
              <w:t>DOC-015 §§12–18, 20–21</w:t>
            </w:r>
          </w:p>
        </w:tc>
        <w:tc>
          <w:tcPr>
            <w:tcW w:type="dxa" w:w="4139"/>
            <w:vAlign w:val="top"/>
            <w:tcMar>
              <w:top w:w="80" w:type="dxa"/>
              <w:start w:w="90" w:type="dxa"/>
              <w:bottom w:w="80" w:type="dxa"/>
              <w:end w:w="90" w:type="dxa"/>
            </w:tcMar>
          </w:tcPr>
          <w:p>
            <w:pPr>
              <w:pStyle w:val="TableText"/>
            </w:pPr>
            <w:r>
              <w:rPr>
                <w:rFonts w:ascii="Arial" w:hAnsi="Arial"/>
                <w:sz w:val="16"/>
              </w:rPr>
              <w:t>Varianten, Release, Snapshot, Managerentscheidung, Lock und Effective Lineup.</w:t>
            </w:r>
          </w:p>
        </w:tc>
      </w:tr>
      <w:tr>
        <w:trPr>
          <w:cantSplit/>
        </w:trPr>
        <w:tc>
          <w:tcPr>
            <w:tcW w:type="dxa" w:w="2268"/>
            <w:vAlign w:val="top"/>
            <w:tcMar>
              <w:top w:w="80" w:type="dxa"/>
              <w:start w:w="90" w:type="dxa"/>
              <w:bottom w:w="80" w:type="dxa"/>
              <w:end w:w="90" w:type="dxa"/>
            </w:tcMar>
            <w:shd w:fill="F8FAFC"/>
          </w:tcPr>
          <w:p>
            <w:pPr>
              <w:pStyle w:val="TableText"/>
            </w:pPr>
            <w:r>
              <w:rPr>
                <w:rFonts w:ascii="Arial" w:hAnsi="Arial"/>
                <w:sz w:val="16"/>
              </w:rPr>
              <w:t>MS2-K06</w:t>
            </w:r>
          </w:p>
        </w:tc>
        <w:tc>
          <w:tcPr>
            <w:tcW w:type="dxa" w:w="3061"/>
            <w:vAlign w:val="top"/>
            <w:tcMar>
              <w:top w:w="80" w:type="dxa"/>
              <w:start w:w="90" w:type="dxa"/>
              <w:bottom w:w="80" w:type="dxa"/>
              <w:end w:w="90" w:type="dxa"/>
            </w:tcMar>
            <w:shd w:fill="F8FAFC"/>
          </w:tcPr>
          <w:p>
            <w:pPr>
              <w:pStyle w:val="TableText"/>
            </w:pPr>
            <w:r>
              <w:rPr>
                <w:rFonts w:ascii="Arial" w:hAnsi="Arial"/>
                <w:sz w:val="16"/>
              </w:rPr>
              <w:t>DOC-015 §§16–18, 20–22, 25</w:t>
            </w:r>
          </w:p>
        </w:tc>
        <w:tc>
          <w:tcPr>
            <w:tcW w:type="dxa" w:w="4139"/>
            <w:vAlign w:val="top"/>
            <w:tcMar>
              <w:top w:w="80" w:type="dxa"/>
              <w:start w:w="90" w:type="dxa"/>
              <w:bottom w:w="80" w:type="dxa"/>
              <w:end w:w="90" w:type="dxa"/>
            </w:tcMar>
            <w:shd w:fill="F8FAFC"/>
          </w:tcPr>
          <w:p>
            <w:pPr>
              <w:pStyle w:val="TableText"/>
            </w:pPr>
            <w:r>
              <w:rPr>
                <w:rFonts w:ascii="Arial" w:hAnsi="Arial"/>
                <w:sz w:val="16"/>
              </w:rPr>
              <w:t>Ist-Werte, Sonderstatus, Kategorien, Rundung, Ergebnis/Korrektur/Evaluation.</w:t>
            </w:r>
          </w:p>
        </w:tc>
      </w:tr>
      <w:tr>
        <w:trPr>
          <w:cantSplit/>
        </w:trPr>
        <w:tc>
          <w:tcPr>
            <w:tcW w:type="dxa" w:w="2268"/>
            <w:vAlign w:val="top"/>
            <w:tcMar>
              <w:top w:w="80" w:type="dxa"/>
              <w:start w:w="90" w:type="dxa"/>
              <w:bottom w:w="80" w:type="dxa"/>
              <w:end w:w="90" w:type="dxa"/>
            </w:tcMar>
          </w:tcPr>
          <w:p>
            <w:pPr>
              <w:pStyle w:val="TableText"/>
            </w:pPr>
            <w:r>
              <w:rPr>
                <w:rFonts w:ascii="Arial" w:hAnsi="Arial"/>
                <w:sz w:val="16"/>
              </w:rPr>
              <w:t>MS2-K07/09</w:t>
            </w:r>
          </w:p>
        </w:tc>
        <w:tc>
          <w:tcPr>
            <w:tcW w:type="dxa" w:w="3061"/>
            <w:vAlign w:val="top"/>
            <w:tcMar>
              <w:top w:w="80" w:type="dxa"/>
              <w:start w:w="90" w:type="dxa"/>
              <w:bottom w:w="80" w:type="dxa"/>
              <w:end w:w="90" w:type="dxa"/>
            </w:tcMar>
          </w:tcPr>
          <w:p>
            <w:pPr>
              <w:pStyle w:val="TableText"/>
            </w:pPr>
            <w:r>
              <w:rPr>
                <w:rFonts w:ascii="Arial" w:hAnsi="Arial"/>
                <w:sz w:val="16"/>
              </w:rPr>
              <w:t>DOC-015 §§20–22 und Testfallkatalog</w:t>
            </w:r>
          </w:p>
        </w:tc>
        <w:tc>
          <w:tcPr>
            <w:tcW w:type="dxa" w:w="4139"/>
            <w:vAlign w:val="top"/>
            <w:tcMar>
              <w:top w:w="80" w:type="dxa"/>
              <w:start w:w="90" w:type="dxa"/>
              <w:bottom w:w="80" w:type="dxa"/>
              <w:end w:w="90" w:type="dxa"/>
            </w:tcMar>
          </w:tcPr>
          <w:p>
            <w:pPr>
              <w:pStyle w:val="TableText"/>
            </w:pPr>
            <w:r>
              <w:rPr>
                <w:rFonts w:ascii="Arial" w:hAnsi="Arial"/>
                <w:sz w:val="16"/>
              </w:rPr>
              <w:t>K0–K7, G1–G7, block_effect, Control Events, TC6-Fälle.</w:t>
            </w:r>
          </w:p>
        </w:tc>
      </w:tr>
      <w:tr>
        <w:trPr>
          <w:cantSplit/>
        </w:trPr>
        <w:tc>
          <w:tcPr>
            <w:tcW w:type="dxa" w:w="2268"/>
            <w:vAlign w:val="top"/>
            <w:tcMar>
              <w:top w:w="80" w:type="dxa"/>
              <w:start w:w="90" w:type="dxa"/>
              <w:bottom w:w="80" w:type="dxa"/>
              <w:end w:w="90" w:type="dxa"/>
            </w:tcMar>
            <w:shd w:fill="F8FAFC"/>
          </w:tcPr>
          <w:p>
            <w:pPr>
              <w:pStyle w:val="TableText"/>
            </w:pPr>
            <w:r>
              <w:rPr>
                <w:rFonts w:ascii="Arial" w:hAnsi="Arial"/>
                <w:sz w:val="16"/>
              </w:rPr>
              <w:t>MS2-K08/12</w:t>
            </w:r>
          </w:p>
        </w:tc>
        <w:tc>
          <w:tcPr>
            <w:tcW w:type="dxa" w:w="3061"/>
            <w:vAlign w:val="top"/>
            <w:tcMar>
              <w:top w:w="80" w:type="dxa"/>
              <w:start w:w="90" w:type="dxa"/>
              <w:bottom w:w="80" w:type="dxa"/>
              <w:end w:w="90" w:type="dxa"/>
            </w:tcMar>
            <w:shd w:fill="F8FAFC"/>
          </w:tcPr>
          <w:p>
            <w:pPr>
              <w:pStyle w:val="TableText"/>
            </w:pPr>
            <w:r>
              <w:rPr>
                <w:rFonts w:ascii="Arial" w:hAnsi="Arial"/>
                <w:sz w:val="16"/>
              </w:rPr>
              <w:t>DOC-015 §§18, 20.3, 24, 27; DOC-014 Governance</w:t>
            </w:r>
          </w:p>
        </w:tc>
        <w:tc>
          <w:tcPr>
            <w:tcW w:type="dxa" w:w="4139"/>
            <w:vAlign w:val="top"/>
            <w:tcMar>
              <w:top w:w="80" w:type="dxa"/>
              <w:start w:w="90" w:type="dxa"/>
              <w:bottom w:w="80" w:type="dxa"/>
              <w:end w:w="90" w:type="dxa"/>
            </w:tcMar>
            <w:shd w:fill="F8FAFC"/>
          </w:tcPr>
          <w:p>
            <w:pPr>
              <w:pStyle w:val="TableText"/>
            </w:pPr>
            <w:r>
              <w:rPr>
                <w:rFonts w:ascii="Arial" w:hAnsi="Arial"/>
                <w:sz w:val="16"/>
              </w:rPr>
              <w:t>Versions-/Traceability-Modell, End-to-End-Kontrolle, Governance-Synchronität.</w:t>
            </w:r>
          </w:p>
        </w:tc>
      </w:tr>
      <w:tr>
        <w:trPr>
          <w:cantSplit/>
        </w:trPr>
        <w:tc>
          <w:tcPr>
            <w:tcW w:type="dxa" w:w="2268"/>
            <w:vAlign w:val="top"/>
            <w:tcMar>
              <w:top w:w="80" w:type="dxa"/>
              <w:start w:w="90" w:type="dxa"/>
              <w:bottom w:w="80" w:type="dxa"/>
              <w:end w:w="90" w:type="dxa"/>
            </w:tcMar>
          </w:tcPr>
          <w:p>
            <w:pPr>
              <w:pStyle w:val="TableText"/>
            </w:pPr>
            <w:r>
              <w:rPr>
                <w:rFonts w:ascii="Arial" w:hAnsi="Arial"/>
                <w:sz w:val="16"/>
              </w:rPr>
              <w:t>MS2-K10/11</w:t>
            </w:r>
          </w:p>
        </w:tc>
        <w:tc>
          <w:tcPr>
            <w:tcW w:type="dxa" w:w="3061"/>
            <w:vAlign w:val="top"/>
            <w:tcMar>
              <w:top w:w="80" w:type="dxa"/>
              <w:start w:w="90" w:type="dxa"/>
              <w:bottom w:w="80" w:type="dxa"/>
              <w:end w:w="90" w:type="dxa"/>
            </w:tcMar>
          </w:tcPr>
          <w:p>
            <w:pPr>
              <w:pStyle w:val="TableText"/>
            </w:pPr>
            <w:r>
              <w:rPr>
                <w:rFonts w:ascii="Arial" w:hAnsi="Arial"/>
                <w:sz w:val="16"/>
              </w:rPr>
              <w:t>DOC-014 §8; DOC-015 §26</w:t>
            </w:r>
          </w:p>
        </w:tc>
        <w:tc>
          <w:tcPr>
            <w:tcW w:type="dxa" w:w="4139"/>
            <w:vAlign w:val="top"/>
            <w:tcMar>
              <w:top w:w="80" w:type="dxa"/>
              <w:start w:w="90" w:type="dxa"/>
              <w:bottom w:w="80" w:type="dxa"/>
              <w:end w:w="90" w:type="dxa"/>
            </w:tcMar>
          </w:tcPr>
          <w:p>
            <w:pPr>
              <w:pStyle w:val="TableText"/>
            </w:pPr>
            <w:r>
              <w:rPr>
                <w:rFonts w:ascii="Arial" w:hAnsi="Arial"/>
                <w:sz w:val="16"/>
              </w:rPr>
              <w:t>Offene Quellen-, Pilot-, Rechts-/Nutzungs- und Governance-Abhängigkeiten.</w:t>
            </w:r>
          </w:p>
        </w:tc>
      </w:tr>
      <w:tr>
        <w:trPr>
          <w:cantSplit/>
        </w:trPr>
        <w:tc>
          <w:tcPr>
            <w:tcW w:type="dxa" w:w="2268"/>
            <w:vAlign w:val="top"/>
            <w:tcMar>
              <w:top w:w="80" w:type="dxa"/>
              <w:start w:w="90" w:type="dxa"/>
              <w:bottom w:w="80" w:type="dxa"/>
              <w:end w:w="90" w:type="dxa"/>
            </w:tcMar>
            <w:shd w:fill="F8FAFC"/>
          </w:tcPr>
          <w:p>
            <w:pPr>
              <w:pStyle w:val="TableText"/>
            </w:pPr>
            <w:r>
              <w:rPr>
                <w:rFonts w:ascii="Arial" w:hAnsi="Arial"/>
                <w:sz w:val="16"/>
              </w:rPr>
              <w:t>Übergang aus MS1</w:t>
            </w:r>
          </w:p>
        </w:tc>
        <w:tc>
          <w:tcPr>
            <w:tcW w:type="dxa" w:w="3061"/>
            <w:vAlign w:val="top"/>
            <w:tcMar>
              <w:top w:w="80" w:type="dxa"/>
              <w:start w:w="90" w:type="dxa"/>
              <w:bottom w:w="80" w:type="dxa"/>
              <w:end w:w="90" w:type="dxa"/>
            </w:tcMar>
            <w:shd w:fill="F8FAFC"/>
          </w:tcPr>
          <w:p>
            <w:pPr>
              <w:pStyle w:val="TableText"/>
            </w:pPr>
            <w:r>
              <w:rPr>
                <w:rFonts w:ascii="Arial" w:hAnsi="Arial"/>
                <w:sz w:val="16"/>
              </w:rPr>
              <w:t>DOC-013 §§5–6</w:t>
            </w:r>
          </w:p>
        </w:tc>
        <w:tc>
          <w:tcPr>
            <w:tcW w:type="dxa" w:w="4139"/>
            <w:vAlign w:val="top"/>
            <w:tcMar>
              <w:top w:w="80" w:type="dxa"/>
              <w:start w:w="90" w:type="dxa"/>
              <w:bottom w:w="80" w:type="dxa"/>
              <w:end w:w="90" w:type="dxa"/>
            </w:tcMar>
            <w:shd w:fill="F8FAFC"/>
          </w:tcPr>
          <w:p>
            <w:pPr>
              <w:pStyle w:val="TableText"/>
            </w:pPr>
            <w:r>
              <w:rPr>
                <w:rFonts w:ascii="Arial" w:hAnsi="Arial"/>
                <w:sz w:val="16"/>
              </w:rPr>
              <w:t>MS1 abgenommen; Umsetzung, Pilotierung, Quellenfreigabe und Testausführung als Folgeaktivitäten.</w:t>
            </w:r>
          </w:p>
        </w:tc>
      </w:tr>
    </w:tbl>
    <w:p>
      <w:pPr>
        <w:spacing w:after="0"/>
      </w:pPr>
    </w:p>
    <w:p>
      <w:pPr>
        <w:pStyle w:val="Heading1"/>
      </w:pPr>
      <w:r>
        <w:t>Anhang B – Empfohlene erste technische Inkremente</w:t>
      </w:r>
    </w:p>
    <w:p>
      <w:r>
        <w:t>Die folgenden Inkremente sind eine Steuerungsempfehlung für die spätere Codex-Beauftragung. Sie sind bewusst klein geschnitten und sollen jeweils mit Tests abgeschlossen werden: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304"/>
            <w:vAlign w:val="top"/>
            <w:tcMar>
              <w:top w:w="80" w:type="dxa"/>
              <w:start w:w="90" w:type="dxa"/>
              <w:bottom w:w="80" w:type="dxa"/>
              <w:end w:w="90" w:type="dxa"/>
            </w:tcMar>
            <w:shd w:fill="17365D"/>
          </w:tcPr>
          <w:p>
            <w:pPr>
              <w:pStyle w:val="TableText"/>
            </w:pPr>
            <w:r>
              <w:rPr>
                <w:rFonts w:ascii="Arial" w:hAnsi="Arial"/>
                <w:b/>
                <w:color w:val="FFFFFF"/>
                <w:sz w:val="16"/>
              </w:rPr>
              <w:t>Inkrement</w:t>
            </w:r>
          </w:p>
        </w:tc>
        <w:tc>
          <w:tcPr>
            <w:tcW w:type="dxa" w:w="8164"/>
            <w:vAlign w:val="top"/>
            <w:tcMar>
              <w:top w:w="80" w:type="dxa"/>
              <w:start w:w="90" w:type="dxa"/>
              <w:bottom w:w="80" w:type="dxa"/>
              <w:end w:w="90" w:type="dxa"/>
            </w:tcMar>
            <w:shd w:fill="17365D"/>
          </w:tcPr>
          <w:p>
            <w:pPr>
              <w:pStyle w:val="TableText"/>
            </w:pPr>
            <w:r>
              <w:rPr>
                <w:rFonts w:ascii="Arial" w:hAnsi="Arial"/>
                <w:b/>
                <w:color w:val="FFFFFF"/>
                <w:sz w:val="16"/>
              </w:rPr>
              <w:t>Technischer Kern</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I1</w:t>
            </w:r>
          </w:p>
        </w:tc>
        <w:tc>
          <w:tcPr>
            <w:tcW w:type="dxa" w:w="8164"/>
            <w:vAlign w:val="top"/>
            <w:tcMar>
              <w:top w:w="80" w:type="dxa"/>
              <w:start w:w="90" w:type="dxa"/>
              <w:bottom w:w="80" w:type="dxa"/>
              <w:end w:w="90" w:type="dxa"/>
            </w:tcMar>
          </w:tcPr>
          <w:p>
            <w:pPr>
              <w:pStyle w:val="TableText"/>
            </w:pPr>
            <w:r>
              <w:rPr>
                <w:rFonts w:ascii="Arial" w:hAnsi="Arial"/>
                <w:sz w:val="16"/>
              </w:rPr>
              <w:t>Repo + Spec-Manifest + Run-ID/Manifest-Grundgerüst</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I2</w:t>
            </w:r>
          </w:p>
        </w:tc>
        <w:tc>
          <w:tcPr>
            <w:tcW w:type="dxa" w:w="8164"/>
            <w:vAlign w:val="top"/>
            <w:tcMar>
              <w:top w:w="80" w:type="dxa"/>
              <w:start w:w="90" w:type="dxa"/>
              <w:bottom w:w="80" w:type="dxa"/>
              <w:end w:w="90" w:type="dxa"/>
            </w:tcMar>
            <w:shd w:fill="F8FAFC"/>
          </w:tcPr>
          <w:p>
            <w:pPr>
              <w:pStyle w:val="TableText"/>
            </w:pPr>
            <w:r>
              <w:rPr>
                <w:rFonts w:ascii="Arial" w:hAnsi="Arial"/>
                <w:sz w:val="16"/>
              </w:rPr>
              <w:t>Raw Observation + Evidence + K0/G1</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I3</w:t>
            </w:r>
          </w:p>
        </w:tc>
        <w:tc>
          <w:tcPr>
            <w:tcW w:type="dxa" w:w="8164"/>
            <w:vAlign w:val="top"/>
            <w:tcMar>
              <w:top w:w="80" w:type="dxa"/>
              <w:start w:w="90" w:type="dxa"/>
              <w:bottom w:w="80" w:type="dxa"/>
              <w:end w:w="90" w:type="dxa"/>
            </w:tcMar>
          </w:tcPr>
          <w:p>
            <w:pPr>
              <w:pStyle w:val="TableText"/>
            </w:pPr>
            <w:r>
              <w:rPr>
                <w:rFonts w:ascii="Arial" w:hAnsi="Arial"/>
                <w:sz w:val="16"/>
              </w:rPr>
              <w:t>Mapping + Review + K1/G2</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I4</w:t>
            </w:r>
          </w:p>
        </w:tc>
        <w:tc>
          <w:tcPr>
            <w:tcW w:type="dxa" w:w="8164"/>
            <w:vAlign w:val="top"/>
            <w:tcMar>
              <w:top w:w="80" w:type="dxa"/>
              <w:start w:w="90" w:type="dxa"/>
              <w:bottom w:w="80" w:type="dxa"/>
              <w:end w:w="90" w:type="dxa"/>
            </w:tcMar>
            <w:shd w:fill="F8FAFC"/>
          </w:tcPr>
          <w:p>
            <w:pPr>
              <w:pStyle w:val="TableText"/>
            </w:pPr>
            <w:r>
              <w:rPr>
                <w:rFonts w:ascii="Arial" w:hAnsi="Arial"/>
                <w:sz w:val="16"/>
              </w:rPr>
              <w:t>SSOT-Version + K2/G3</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I5</w:t>
            </w:r>
          </w:p>
        </w:tc>
        <w:tc>
          <w:tcPr>
            <w:tcW w:type="dxa" w:w="8164"/>
            <w:vAlign w:val="top"/>
            <w:tcMar>
              <w:top w:w="80" w:type="dxa"/>
              <w:start w:w="90" w:type="dxa"/>
              <w:bottom w:w="80" w:type="dxa"/>
              <w:end w:w="90" w:type="dxa"/>
            </w:tcMar>
          </w:tcPr>
          <w:p>
            <w:pPr>
              <w:pStyle w:val="TableText"/>
            </w:pPr>
            <w:r>
              <w:rPr>
                <w:rFonts w:ascii="Arial" w:hAnsi="Arial"/>
                <w:sz w:val="16"/>
              </w:rPr>
              <w:t>Monitoring Context/Eligibility + K3/G4</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I6</w:t>
            </w:r>
          </w:p>
        </w:tc>
        <w:tc>
          <w:tcPr>
            <w:tcW w:type="dxa" w:w="8164"/>
            <w:vAlign w:val="top"/>
            <w:tcMar>
              <w:top w:w="80" w:type="dxa"/>
              <w:start w:w="90" w:type="dxa"/>
              <w:bottom w:w="80" w:type="dxa"/>
              <w:end w:w="90" w:type="dxa"/>
            </w:tcMar>
            <w:shd w:fill="F8FAFC"/>
          </w:tcPr>
          <w:p>
            <w:pPr>
              <w:pStyle w:val="TableText"/>
            </w:pPr>
            <w:r>
              <w:rPr>
                <w:rFonts w:ascii="Arial" w:hAnsi="Arial"/>
                <w:sz w:val="16"/>
              </w:rPr>
              <w:t>Variant/Recommendation + Release/Snapshot + K4/G5</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I7</w:t>
            </w:r>
          </w:p>
        </w:tc>
        <w:tc>
          <w:tcPr>
            <w:tcW w:type="dxa" w:w="8164"/>
            <w:vAlign w:val="top"/>
            <w:tcMar>
              <w:top w:w="80" w:type="dxa"/>
              <w:start w:w="90" w:type="dxa"/>
              <w:bottom w:w="80" w:type="dxa"/>
              <w:end w:w="90" w:type="dxa"/>
            </w:tcMar>
          </w:tcPr>
          <w:p>
            <w:pPr>
              <w:pStyle w:val="TableText"/>
            </w:pPr>
            <w:r>
              <w:rPr>
                <w:rFonts w:ascii="Arial" w:hAnsi="Arial"/>
                <w:sz w:val="16"/>
              </w:rPr>
              <w:t>Managerentscheidung/Lock/Effective Lineup + K5/G6</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I8</w:t>
            </w:r>
          </w:p>
        </w:tc>
        <w:tc>
          <w:tcPr>
            <w:tcW w:type="dxa" w:w="8164"/>
            <w:vAlign w:val="top"/>
            <w:tcMar>
              <w:top w:w="80" w:type="dxa"/>
              <w:start w:w="90" w:type="dxa"/>
              <w:bottom w:w="80" w:type="dxa"/>
              <w:end w:w="90" w:type="dxa"/>
            </w:tcMar>
            <w:shd w:fill="F8FAFC"/>
          </w:tcPr>
          <w:p>
            <w:pPr>
              <w:pStyle w:val="TableText"/>
            </w:pPr>
            <w:r>
              <w:rPr>
                <w:rFonts w:ascii="Arial" w:hAnsi="Arial"/>
                <w:sz w:val="16"/>
              </w:rPr>
              <w:t>Result/Evaluation + K6/G7</w:t>
            </w:r>
          </w:p>
        </w:tc>
      </w:tr>
      <w:tr>
        <w:trPr>
          <w:cantSplit/>
        </w:trPr>
        <w:tc>
          <w:tcPr>
            <w:tcW w:type="dxa" w:w="1304"/>
            <w:vAlign w:val="top"/>
            <w:tcMar>
              <w:top w:w="80" w:type="dxa"/>
              <w:start w:w="90" w:type="dxa"/>
              <w:bottom w:w="80" w:type="dxa"/>
              <w:end w:w="90" w:type="dxa"/>
            </w:tcMar>
          </w:tcPr>
          <w:p>
            <w:pPr>
              <w:pStyle w:val="TableText"/>
            </w:pPr>
            <w:r>
              <w:rPr>
                <w:rFonts w:ascii="Arial" w:hAnsi="Arial"/>
                <w:sz w:val="16"/>
              </w:rPr>
              <w:t>I9</w:t>
            </w:r>
          </w:p>
        </w:tc>
        <w:tc>
          <w:tcPr>
            <w:tcW w:type="dxa" w:w="8164"/>
            <w:vAlign w:val="top"/>
            <w:tcMar>
              <w:top w:w="80" w:type="dxa"/>
              <w:start w:w="90" w:type="dxa"/>
              <w:bottom w:w="80" w:type="dxa"/>
              <w:end w:w="90" w:type="dxa"/>
            </w:tcMar>
          </w:tcPr>
          <w:p>
            <w:pPr>
              <w:pStyle w:val="TableText"/>
            </w:pPr>
            <w:r>
              <w:rPr>
                <w:rFonts w:ascii="Arial" w:hAnsi="Arial"/>
                <w:sz w:val="16"/>
              </w:rPr>
              <w:t>K7-End-to-End-Traceability + Replay-Vergleich</w:t>
            </w:r>
          </w:p>
        </w:tc>
      </w:tr>
      <w:tr>
        <w:trPr>
          <w:cantSplit/>
        </w:trPr>
        <w:tc>
          <w:tcPr>
            <w:tcW w:type="dxa" w:w="1304"/>
            <w:vAlign w:val="top"/>
            <w:tcMar>
              <w:top w:w="80" w:type="dxa"/>
              <w:start w:w="90" w:type="dxa"/>
              <w:bottom w:w="80" w:type="dxa"/>
              <w:end w:w="90" w:type="dxa"/>
            </w:tcMar>
            <w:shd w:fill="F8FAFC"/>
          </w:tcPr>
          <w:p>
            <w:pPr>
              <w:pStyle w:val="TableText"/>
            </w:pPr>
            <w:r>
              <w:rPr>
                <w:rFonts w:ascii="Arial" w:hAnsi="Arial"/>
                <w:sz w:val="16"/>
              </w:rPr>
              <w:t>I10</w:t>
            </w:r>
          </w:p>
        </w:tc>
        <w:tc>
          <w:tcPr>
            <w:tcW w:type="dxa" w:w="8164"/>
            <w:vAlign w:val="top"/>
            <w:tcMar>
              <w:top w:w="80" w:type="dxa"/>
              <w:start w:w="90" w:type="dxa"/>
              <w:bottom w:w="80" w:type="dxa"/>
              <w:end w:w="90" w:type="dxa"/>
            </w:tcMar>
            <w:shd w:fill="F8FAFC"/>
          </w:tcPr>
          <w:p>
            <w:pPr>
              <w:pStyle w:val="TableText"/>
            </w:pPr>
            <w:r>
              <w:rPr>
                <w:rFonts w:ascii="Arial" w:hAnsi="Arial"/>
                <w:sz w:val="16"/>
              </w:rPr>
              <w:t>Fault Suite + Live-Pilot-Instrumentierung</w:t>
            </w:r>
          </w:p>
        </w:tc>
      </w:tr>
    </w:tbl>
    <w:p>
      <w:pPr>
        <w:spacing w:after="0"/>
      </w:pPr>
    </w:p>
    <w:p>
      <w:pPr>
        <w:pStyle w:val="Heading1"/>
      </w:pPr>
      <w:r>
        <w:t>19. Freigabestatus und Aktivierung</w:t>
      </w:r>
    </w:p>
    <w:p>
      <w:r>
        <w:t>DOC-016 v0.3 ist nach Governance-Übernahme der Grundsatzentscheidung durch Projektsteuerung und Integrationsmanagement 2 am 15.09.2026 freigegeben und mit CHG-0033 in DOC-REG-001 Stand 4.1 als aktuelle verbindliche Projektquelle registriert. Gegenüber v0.2 ergänzt die Fassung ausschließlich die Fortsetzungs- und Stop-Logik nach einem datenlimitierten W3.2-Pilotbefund gemäß DEC-034. W3.2-PILOTMODEL-0.2, DOC-015 v0.8 und die bestehende fachliche Missing-/Freigabelogik bleiben unverändert. Es wurde keine neue REQ- oder CON-ID erzeugt.</w:t>
      </w:r>
    </w:p>
    <w:tbl>
      <w:tblPr>
        <w:tblW w:type="auto" w:w="0"/>
        <w:jc w:val="center"/>
        <w:tblLayout w:type="fixed"/>
        <w:tblLook w:firstColumn="1" w:firstRow="1" w:lastColumn="0" w:lastRow="0" w:noHBand="0" w:noVBand="1" w:val="04A0"/>
      </w:tblPr>
      <w:tblGrid>
        <w:gridCol w:w="9524"/>
      </w:tblGrid>
      <w:tr>
        <w:trPr>
          <w:cantSplit/>
        </w:trPr>
        <w:tc>
          <w:tcPr>
            <w:tcW w:type="dxa" w:w="9866"/>
            <w:shd w:fill="FCE4D6"/>
            <w:tcMar>
              <w:top w:w="120" w:type="dxa"/>
              <w:start w:w="160" w:type="dxa"/>
              <w:bottom w:w="120" w:type="dxa"/>
              <w:end w:w="160" w:type="dxa"/>
            </w:tcMar>
            <w:tcBorders>
              <w:top w:val="single" w:sz="8" w:space="0" w:color="C00000"/>
              <w:left w:val="single" w:sz="8" w:space="0" w:color="C00000"/>
              <w:bottom w:val="single" w:sz="8" w:space="0" w:color="C00000"/>
              <w:right w:val="single" w:sz="8" w:space="0" w:color="C00000"/>
            </w:tcBorders>
          </w:tcPr>
          <w:p>
            <w:r/>
            <w:r>
              <w:rPr>
                <w:b w:val="0"/>
              </w:rPr>
              <w:t>Mit CHG-0033 ist DOC-016 v0.3 als aktuelle verbindliche Projektquelle registriert. Maßgeblich für die Quellen- und Versionslage ist DOC-REG-001 Stand 4.1.</w:t>
            </w:r>
          </w:p>
        </w:tc>
      </w:tr>
    </w:tbl>
    <w:p>
      <w:pPr>
        <w:spacing w:after="0"/>
      </w:pPr>
    </w:p>
    <w:p>
      <w:pPr>
        <w:pStyle w:val="Heading1"/>
      </w:pPr>
      <w:r>
        <w:t>20. Fortsetzungslogik nach negativem W3.2-Pilotbefund</w:t>
      </w:r>
    </w:p>
    <w:p>
      <w:r>
        <w:t>Dieser Abschnitt operationalisiert DEC-034. Die bestehende Wellen- und Gate-Struktur von MS2 bleibt unverändert; ergänzt wird die Steuerung für Wiederholungen und Folgepfade innerhalb von W3 nach einem fachlich gültigen negativen W3.2-Pilotbefund. W3.2-PILOTMODEL-0.2 und die fachliche Missing-/Freigabelogik werden nicht geändert.</w:t>
      </w:r>
    </w:p>
    <w:p>
      <w:pPr>
        <w:pStyle w:val="Heading2"/>
      </w:pPr>
      <w:r>
        <w:t>20.1 Historischer Abschluss des aktuellen GW2-Pfads</w:t>
      </w:r>
    </w:p>
    <w:p>
      <w:r>
        <w:t>• CURRENT_GW2 = CLOSED_DATA_LIMITED. Der Mathias-/GW2-Pfad mit data_as_of 2026-09-05T17:00:00+02:00 bleibt als fachlich gültiger negativer Pilotbefund historisch unverändert erhalten.</w:t>
      </w:r>
    </w:p>
    <w:p>
      <w:r>
        <w:t>• BATCH_16_SAME_PROVIDER_PATH, SILENT_IMPUTATION, SILENT_CANDIDATE_REMOVAL und RETROACTIVE_G5_CONSTRUCTION sind für diesen historischen Run nicht autorisiert.</w:t>
      </w:r>
    </w:p>
    <w:p>
      <w:r>
        <w:t>• Eine später gefundene neue zulässige Evidence darf den historischen Run nicht überschreiben. Eine erneute Auswertung derselben historischen GW2-Basis ist ausschließlich als neuer versionierter Run mit eigener Input-/Evidence-/Run-Referenz zulässig.</w:t>
      </w:r>
    </w:p>
    <w:p>
      <w:pPr>
        <w:pStyle w:val="Heading2"/>
      </w:pPr>
      <w:r>
        <w:t>20.2 Option C – begrenzter Quellen-Fit-Check</w:t>
      </w:r>
    </w:p>
    <w:p>
      <w:r>
        <w:t>Option C ist als einmaliger, eng begrenzter Machbarkeitscheck autorisiert. Gegenstand sind ausschließlich die nachgewiesenen Blockerklassen ASSISTS und GRADE/oN. Der Check ist keine allgemeine Rohdatenerhebung und autorisiert noch keinen Backfill.</w:t>
      </w:r>
    </w:p>
    <w:p>
      <w:r>
        <w:t>• Für jeden potenziellen neuen Quellenweg sind Semantik, Mapping auf Spieler/Spiel/Saison/Beobachtung, historische Fensterabdeckung, Reproduzierbarkeit und Zeit-/Quellennachweis, Qualitäts- und Konfliktfähigkeit, technisch/nutzungsbezogen vertretbarer Zugriff sowie erwartete Schließungswirkung zu prüfen.</w:t>
      </w:r>
    </w:p>
    <w:p>
      <w:r>
        <w:t>• Ergebnisstatus ist SOURCE_PATH_VIABLE oder SOURCE_PATH_NOT_VIABLE. SOURCE_PATH_VIABLE setzt einen fachlich kompatiblen, praktisch nutzbaren und für relevante Blocking-Core-Inputs schließungswirksamen Weg voraus.</w:t>
      </w:r>
    </w:p>
    <w:p>
      <w:r>
        <w:t>• Erst nach positiver P&amp;I-Prüfung eines SOURCE_PATH_VIABLE-Ergebnisses darf ein gezielter Backfill-/Integrationsauftrag erteilt werden.</w:t>
      </w:r>
    </w:p>
    <w:p>
      <w:pPr>
        <w:pStyle w:val="Heading2"/>
      </w:pPr>
      <w:r>
        <w:t>20.3 Option B – neuer regulärer Pilot</w:t>
      </w:r>
    </w:p>
    <w:p>
      <w:r>
        <w:t>Ein neuer regulärer Pilot ist grundsätzlich autorisiert, startet aber erst nach einem kurzen Readiness-Preflight und nach Auswertung von Option C. Der neue Pfad ist vollständig neu zu materialisieren: neuer fachlicher Pilotzeitpunkt → neues data_as_of → neuer W3.1-Monitoringstand → neues G4 → neu abgeleitete HIST_PROFILE-Fenster → neuer W3.2-Run → K4/G5 nach geltenden Regeln.</w:t>
      </w:r>
    </w:p>
    <w:p>
      <w:r>
        <w:t>• Der neue Pilot übernimmt keinen Freigabestatus aus GW2.</w:t>
      </w:r>
    </w:p>
    <w:p>
      <w:r>
        <w:t>• Der Spieltag/data_as_of darf nicht opportunistisch allein anhand nachträglich bekannter günstiger Datenlage ausgewählt werden.</w:t>
      </w:r>
    </w:p>
    <w:p>
      <w:r>
        <w:t>• Der Readiness-Preflight prüft vor größerem W3.2-Aufwand, ob unter der zum Pilotzeitpunkt bekannten Datenlage eine realistische strukturelle Aussicht auf die erforderliche Rollenabdeckung besteht; er nimmt G5 nicht vorweg.</w:t>
      </w:r>
    </w:p>
    <w:p>
      <w:pPr>
        <w:pStyle w:val="Heading2"/>
      </w:pPr>
      <w:r>
        <w:t>20.4 Option D – Modell-/Datenregeländerung</w:t>
      </w:r>
    </w:p>
    <w:p>
      <w:r>
        <w:t>Option D ist NOT_AUTHORIZED. Eine Modell- oder Datenregeländerung setzt eine neue Grundsatzvorlage voraus und darf erst erneut geprüft werden, wenn Option C und mindestens ein sachgerecht gewählter neuer Option-B-Pilot keinen praktikablen G5-fähigen Pfad etablieren. Eine spätere Vorlage muss mindestens DEC-015/Missing-Semantik, Kerninput-Kritikalität, W3.2-Pilotmodell, K4/G5, Reproduzierbarkeit, Kontrollmechanismen und Evaluation auf Auswirkungen prüfen.</w:t>
      </w:r>
    </w:p>
    <w:p>
      <w:pPr>
        <w:pStyle w:val="Heading2"/>
      </w:pPr>
      <w:r>
        <w:t>20.5 Blockade von W3.3/W3.4 und Start-/Stop-Matrix</w:t>
      </w:r>
    </w:p>
    <w:p>
      <w:r>
        <w:t>Bis ein regulär freigegebener W3.2-/G5-Zustand vorliegt, bleiben W3.3 und W3.4 blockiert. W3.3 darf insbesondere nicht mit der tatsächlichen Mathias-Aufstellung, nur den drei forecast-ready Spielern, einer reduzierten Kandidatenmenge oder einer hypothetischen Modellvariante ersatzweise fortgeführt werden.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vAlign w:val="center"/>
          </w:tcPr>
          <w:p>
            <w:r/>
            <w:r>
              <w:rPr>
                <w:b/>
              </w:rPr>
              <w:t>Pfad/Status</w:t>
            </w:r>
          </w:p>
        </w:tc>
        <w:tc>
          <w:tcPr>
            <w:tcW w:type="dxa" w:w="2466"/>
            <w:vAlign w:val="center"/>
          </w:tcPr>
          <w:p>
            <w:r/>
            <w:r>
              <w:rPr>
                <w:b/>
              </w:rPr>
              <w:t>Startbedingung</w:t>
            </w:r>
          </w:p>
        </w:tc>
        <w:tc>
          <w:tcPr>
            <w:tcW w:type="dxa" w:w="2466"/>
            <w:vAlign w:val="center"/>
          </w:tcPr>
          <w:p>
            <w:r/>
            <w:r>
              <w:rPr>
                <w:b/>
              </w:rPr>
              <w:t>Stop-/Ergebnisregel</w:t>
            </w:r>
          </w:p>
        </w:tc>
        <w:tc>
          <w:tcPr>
            <w:tcW w:type="dxa" w:w="2466"/>
            <w:vAlign w:val="center"/>
          </w:tcPr>
          <w:p>
            <w:r/>
            <w:r>
              <w:rPr>
                <w:b/>
              </w:rPr>
              <w:t>Folgewirkung</w:t>
            </w:r>
          </w:p>
        </w:tc>
      </w:tr>
      <w:tr>
        <w:tc>
          <w:tcPr>
            <w:tcW w:type="dxa" w:w="2466"/>
          </w:tcPr>
          <w:p>
            <w:r/>
            <w:r>
              <w:rPr>
                <w:b w:val="0"/>
              </w:rPr>
              <w:t>CURRENT_GW2 = CLOSED_DATA_LIMITED</w:t>
            </w:r>
          </w:p>
        </w:tc>
        <w:tc>
          <w:tcPr>
            <w:tcW w:type="dxa" w:w="2466"/>
          </w:tcPr>
          <w:p>
            <w:r/>
            <w:r>
              <w:rPr>
                <w:b w:val="0"/>
              </w:rPr>
              <w:t>bereits erreicht; negativer W3.2-Befund</w:t>
            </w:r>
          </w:p>
        </w:tc>
        <w:tc>
          <w:tcPr>
            <w:tcW w:type="dxa" w:w="2466"/>
          </w:tcPr>
          <w:p>
            <w:r/>
            <w:r>
              <w:rPr>
                <w:b w:val="0"/>
              </w:rPr>
              <w:t>historisch unverändert; kein gleicher Provider-BATCH-16</w:t>
            </w:r>
          </w:p>
        </w:tc>
        <w:tc>
          <w:tcPr>
            <w:tcW w:type="dxa" w:w="2466"/>
          </w:tcPr>
          <w:p>
            <w:r/>
            <w:r>
              <w:rPr>
                <w:b w:val="0"/>
              </w:rPr>
              <w:t>kein G5; W3.3/W3.4 blockiert</w:t>
            </w:r>
          </w:p>
        </w:tc>
      </w:tr>
      <w:tr>
        <w:tc>
          <w:tcPr>
            <w:tcW w:type="dxa" w:w="2466"/>
          </w:tcPr>
          <w:p>
            <w:r/>
            <w:r>
              <w:rPr>
                <w:b w:val="0"/>
              </w:rPr>
              <w:t>OPTION_C = AUTHORIZED_AS_BOUNDED_FEASIBILITY_CHECK</w:t>
            </w:r>
          </w:p>
        </w:tc>
        <w:tc>
          <w:tcPr>
            <w:tcW w:type="dxa" w:w="2466"/>
          </w:tcPr>
          <w:p>
            <w:r/>
            <w:r>
              <w:rPr>
                <w:b w:val="0"/>
              </w:rPr>
              <w:t>P&amp;I-Auftrag mit Scope ASSISTS + GRADE/oN</w:t>
            </w:r>
          </w:p>
        </w:tc>
        <w:tc>
          <w:tcPr>
            <w:tcW w:type="dxa" w:w="2466"/>
          </w:tcPr>
          <w:p>
            <w:r/>
            <w:r>
              <w:rPr>
                <w:b w:val="0"/>
              </w:rPr>
              <w:t>SOURCE_PATH_VIABLE oder SOURCE_PATH_NOT_VIABLE</w:t>
            </w:r>
          </w:p>
        </w:tc>
        <w:tc>
          <w:tcPr>
            <w:tcW w:type="dxa" w:w="2466"/>
          </w:tcPr>
          <w:p>
            <w:r/>
            <w:r>
              <w:rPr>
                <w:b w:val="0"/>
              </w:rPr>
              <w:t>bei VIABLE erst separater Backfill-Auftrag; sonst Option B</w:t>
            </w:r>
          </w:p>
        </w:tc>
      </w:tr>
      <w:tr>
        <w:tc>
          <w:tcPr>
            <w:tcW w:type="dxa" w:w="2466"/>
          </w:tcPr>
          <w:p>
            <w:r/>
            <w:r>
              <w:rPr>
                <w:b w:val="0"/>
              </w:rPr>
              <w:t>OPTION_B = AUTHORIZED_AFTER_READINESS_PREFLIGHT</w:t>
            </w:r>
          </w:p>
        </w:tc>
        <w:tc>
          <w:tcPr>
            <w:tcW w:type="dxa" w:w="2466"/>
          </w:tcPr>
          <w:p>
            <w:r/>
            <w:r>
              <w:rPr>
                <w:b w:val="0"/>
              </w:rPr>
              <w:t>kurzer Readiness-Preflight + neuer fachlich vertretbarer Pilotzeitpunkt</w:t>
            </w:r>
          </w:p>
        </w:tc>
        <w:tc>
          <w:tcPr>
            <w:tcW w:type="dxa" w:w="2466"/>
          </w:tcPr>
          <w:p>
            <w:r/>
            <w:r>
              <w:rPr>
                <w:b w:val="0"/>
              </w:rPr>
              <w:t>neuer W3.1/G4/W3.2-Pfad; reguläre K4/G5-Regeln</w:t>
            </w:r>
          </w:p>
        </w:tc>
        <w:tc>
          <w:tcPr>
            <w:tcW w:type="dxa" w:w="2466"/>
          </w:tcPr>
          <w:p>
            <w:r/>
            <w:r>
              <w:rPr>
                <w:b w:val="0"/>
              </w:rPr>
              <w:t>bei validem G5 Fortsetzung zu W3.3; sonst Befund dokumentieren</w:t>
            </w:r>
          </w:p>
        </w:tc>
      </w:tr>
      <w:tr>
        <w:tc>
          <w:tcPr>
            <w:tcW w:type="dxa" w:w="2466"/>
          </w:tcPr>
          <w:p>
            <w:r/>
            <w:r>
              <w:rPr>
                <w:b w:val="0"/>
              </w:rPr>
              <w:t>OPTION_D = NOT_AUTHORIZED</w:t>
            </w:r>
          </w:p>
        </w:tc>
        <w:tc>
          <w:tcPr>
            <w:tcW w:type="dxa" w:w="2466"/>
          </w:tcPr>
          <w:p>
            <w:r/>
            <w:r>
              <w:rPr>
                <w:b w:val="0"/>
              </w:rPr>
              <w:t>erst nach C und mindestens einem geeigneten B-Lauf ohne praktikablen G5-Pfad + neue Grundsatzprüfung</w:t>
            </w:r>
          </w:p>
        </w:tc>
        <w:tc>
          <w:tcPr>
            <w:tcW w:type="dxa" w:w="2466"/>
          </w:tcPr>
          <w:p>
            <w:r/>
            <w:r>
              <w:rPr>
                <w:b w:val="0"/>
              </w:rPr>
              <w:t>neue Governanceentscheidung erforderlich</w:t>
            </w:r>
          </w:p>
        </w:tc>
        <w:tc>
          <w:tcPr>
            <w:tcW w:type="dxa" w:w="2466"/>
          </w:tcPr>
          <w:p>
            <w:r/>
            <w:r>
              <w:rPr>
                <w:b w:val="0"/>
              </w:rPr>
              <w:t>keine lokale Modell-/Datenregeländerung</w:t>
            </w:r>
          </w:p>
        </w:tc>
      </w:tr>
      <w:tr>
        <w:tc>
          <w:tcPr>
            <w:tcW w:type="dxa" w:w="2466"/>
          </w:tcPr>
          <w:p>
            <w:r/>
            <w:r>
              <w:rPr>
                <w:b w:val="0"/>
              </w:rPr>
              <w:t>W3.3 / W3.4 = BLOCKED</w:t>
            </w:r>
          </w:p>
        </w:tc>
        <w:tc>
          <w:tcPr>
            <w:tcW w:type="dxa" w:w="2466"/>
          </w:tcPr>
          <w:p>
            <w:r/>
            <w:r>
              <w:rPr>
                <w:b w:val="0"/>
              </w:rPr>
              <w:t>erst bei regulär validem W3.2 und G5</w:t>
            </w:r>
          </w:p>
        </w:tc>
        <w:tc>
          <w:tcPr>
            <w:tcW w:type="dxa" w:w="2466"/>
          </w:tcPr>
          <w:p>
            <w:r/>
            <w:r>
              <w:rPr>
                <w:b w:val="0"/>
              </w:rPr>
              <w:t>kein Ersatzpfad</w:t>
            </w:r>
          </w:p>
        </w:tc>
        <w:tc>
          <w:tcPr>
            <w:tcW w:type="dxa" w:w="2466"/>
          </w:tcPr>
          <w:p>
            <w:r/>
            <w:r>
              <w:rPr>
                <w:b w:val="0"/>
              </w:rPr>
              <w:t>G6/IG3 bleiben NOT_MADE bis Freigabe</w:t>
            </w:r>
          </w:p>
        </w:tc>
      </w:tr>
    </w:tbl>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665"/>
    </w:tblGrid>
    <w:tr>
      <w:tc>
        <w:tcPr>
          <w:tcW w:type="dxa" w:w="4876"/>
          <w:tcMar>
            <w:top w:w="0" w:type="dxa"/>
            <w:start w:w="0" w:type="dxa"/>
            <w:bottom w:w="0" w:type="dxa"/>
            <w:end w:w="0" w:type="dxa"/>
          </w:tcMar>
        </w:tcPr>
        <w:p>
          <w:pPr>
            <w:pStyle w:val="Small"/>
          </w:pPr>
          <w:r>
            <w:rPr>
              <w:color w:val="595959"/>
            </w:rPr>
            <w:t>DOC-016 | Version 0.3 | Aktuell und verbindlich</w:t>
          </w:r>
        </w:p>
      </w:tc>
      <w:tc>
        <w:tcPr>
          <w:tcW w:type="dxa" w:w="4876"/>
          <w:tcMar>
            <w:top w:w="0" w:type="dxa"/>
            <w:start w:w="0" w:type="dxa"/>
            <w:bottom w:w="0" w:type="dxa"/>
            <w:end w:w="0" w:type="dxa"/>
          </w:tcMar>
        </w:tcPr>
        <w:p>
          <w:pPr>
            <w:pStyle w:val="Small"/>
            <w:jc w:val="right"/>
          </w:pPr>
          <w:r>
            <w:rPr>
              <w:color w:val="595959"/>
            </w:rPr>
            <w:t xml:space="preserve">Seite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color w:val="595959"/>
      </w:rPr>
      <w:t>Bundesliga-Managerspiel-Monitoring 2026/27  |  MS2 – Umsetzung und Pilotierung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Label"/>
    <w:pPr>
      <w:spacing w:after="0"/>
    </w:pPr>
    <w:rPr>
      <w:rFonts w:ascii="Arial" w:hAnsi="Arial"/>
      <w:b/>
      <w:color w:val="595959"/>
      <w:sz w:val="17"/>
    </w:rPr>
  </w:style>
  <w:style w:type="paragraph" w:customStyle="1" w:styleId="Small">
    <w:name w:val="Small"/>
    <w:pPr>
      <w:spacing w:after="40"/>
    </w:pPr>
    <w:rPr>
      <w:rFonts w:ascii="Arial" w:hAnsi="Arial"/>
      <w:sz w:val="16"/>
    </w:rPr>
  </w:style>
  <w:style w:type="paragraph" w:customStyle="1" w:styleId="TableText">
    <w:name w:val="TableText"/>
    <w:pPr>
      <w:spacing w:after="30" w:line="240" w:lineRule="auto"/>
    </w:pPr>
    <w:rPr>
      <w:rFonts w:ascii="Arial" w:hAnsi="Arial"/>
      <w:sz w:val="16"/>
    </w:rPr>
  </w:style>
  <w:style w:type="paragraph" w:customStyle="1" w:styleId="Callout">
    <w:name w:val="Callout"/>
    <w:pPr>
      <w:spacing w:after="80"/>
    </w:pPr>
    <w:rPr>
      <w:rFonts w:ascii="Arial" w:hAnsi="Arial"/>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DOC-016 – Steuerungsdokument Milestone 2 – Umsetzung und Pilotierung</dc:title>
  <dc:subject>Bundesliga-Managerspiel-Monitoring 2026/27</dc:subject>
  <dc:creator>Projektsteuerung und Integrationsmanagement</dc:creator>
  <cp:keywords>MS2, Umsetzung, Pilotierung, Replay, Traceability, Kontrollen, Bundesliga-Managerspiel</cp:keywords>
  <dc:description>Freigabeentwurf v0.1 – noch nicht in DOC-REG-001 registriert.</dc:description>
  <cp:lastModifiedBy/>
  <cp:revision>1</cp:revision>
  <dcterms:created xsi:type="dcterms:W3CDTF">2013-12-23T23:15:00Z</dcterms:created>
  <dcterms:modified xsi:type="dcterms:W3CDTF">2013-12-23T23:15:00Z</dcterms:modified>
  <cp:category/>
</cp:coreProperties>
</file>