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3.png" ContentType="image/png"/>
  <Override PartName="/word/media/rId34.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Heading1"/>
      </w:pPr>
      <w:bookmarkStart w:id="21" w:name="introduction"/>
      <w:bookmarkEnd w:id="21"/>
      <w:r>
        <w:t xml:space="preserve">Introduction</w:t>
      </w:r>
    </w:p>
    <w:p>
      <w:pPr>
        <w:pStyle w:val="FirstParagraph"/>
      </w:pPr>
      <w:r>
        <w:t xml:space="preserve">This is Project 1 for STAT 557 2018 Spring by Meridith Bartley and Fei Jiang. The aim of this project is to practice discriminant analysis and logistic regression and study basic techniques of dimension reduction. In this project we applied Linear Discriminant Analysis (LDA), Quadratic Discriminant Analysis (QDA), and multinomial logistic regression to soil sample data in order to classify into separate soil group (Orders).</w:t>
      </w:r>
    </w:p>
    <w:p>
      <w:pPr>
        <w:pStyle w:val="Heading1"/>
      </w:pPr>
      <w:bookmarkStart w:id="22" w:name="description-of-data"/>
      <w:bookmarkEnd w:id="22"/>
      <w:r>
        <w:t xml:space="preserve">Description of Data</w:t>
      </w:r>
    </w:p>
    <w:p>
      <w:pPr>
        <w:pStyle w:val="FirstParagraph"/>
      </w:pPr>
      <w:r>
        <w:t xml:space="preserve">This dataset contains soil sample data over the US downloaded from Natural Resources Conservation Service (NRCS). After removing the incomplete data records and excluding the data records with impossible values, there are around 14,000 records left, each of which includes physical and chemical properties of soil samples (sand, silt, clay, organic carbon, bulk density, CEC soil, CEC clay, base saturation, and pH) and the corresponding soil classification group (soil order).</w:t>
      </w:r>
    </w:p>
    <w:p>
      <w:pPr>
        <w:pStyle w:val="BodyText"/>
      </w:pPr>
      <w:r>
        <w:t xml:space="preserve">Boxplots for each physical and chemical property used as explanitory variables in the subsequent classification models are included below. This EDA allows for early indication of which variables may possibly be ommitted during dimention reduction. That is, what properties do not differ significantly between soil Orders.</w:t>
      </w:r>
    </w:p>
    <w:p>
      <w:pPr>
        <w:pStyle w:val="Heading2"/>
      </w:pPr>
      <w:bookmarkStart w:id="23" w:name="exploritory-data-analysis"/>
      <w:bookmarkEnd w:id="23"/>
      <w:r>
        <w:t xml:space="preserve">Exploritory Data Analysis</w:t>
      </w:r>
    </w:p>
    <w:p>
      <w:pPr>
        <w:pStyle w:val="FirstParagraph"/>
      </w:pPr>
      <w:r>
        <w:drawing>
          <wp:inline>
            <wp:extent cx="5334000" cy="2667000"/>
            <wp:effectExtent b="0" l="0" r="0" t="0"/>
            <wp:docPr descr="" title="" id="1" name="Picture"/>
            <a:graphic>
              <a:graphicData uri="http://schemas.openxmlformats.org/drawingml/2006/picture">
                <pic:pic>
                  <pic:nvPicPr>
                    <pic:cNvPr descr="Project1_files/figure-docx/EDA%20-%20Mer-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1_files/figure-docx/EDA%20-%20Mer-2.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26" w:name="principle-component-analysis"/>
      <w:bookmarkEnd w:id="26"/>
      <w:r>
        <w:t xml:space="preserve">Principle Component Analysis</w:t>
      </w:r>
    </w:p>
    <w:p>
      <w:pPr>
        <w:pStyle w:val="FirstParagraph"/>
      </w:pPr>
      <w:r>
        <w:t xml:space="preserve">In order to test whether dimension reduction will improve predictions we also conducted Principle Component Analysis on the original dataset to get a new dataset with fewer dimensions. According to our PCA results, the first four component in total can explain about 99.8% of variance of the original database. The coefficients of the relevent componets are listed in the table below. Therefore, we took the first four components and the soil order value to build a new dataset with less dimensions.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c>
          <w:tcPr>
            <w:tcBorders>
              <w:bottom w:val="single"/>
            </w:tcBorders>
            <w:vAlign w:val="bottom"/>
          </w:tcPr>
          <w:p>
            <w:pPr>
              <w:pStyle w:val="Compact"/>
              <w:jc w:val="right"/>
            </w:pPr>
            <w:r>
              <w:t xml:space="preserve">PC3</w:t>
            </w:r>
          </w:p>
        </w:tc>
        <w:tc>
          <w:tcPr>
            <w:tcBorders>
              <w:bottom w:val="single"/>
            </w:tcBorders>
            <w:vAlign w:val="bottom"/>
          </w:tcPr>
          <w:p>
            <w:pPr>
              <w:pStyle w:val="Compact"/>
              <w:jc w:val="right"/>
            </w:pPr>
            <w:r>
              <w:t xml:space="preserve">PC4</w:t>
            </w:r>
          </w:p>
        </w:tc>
        <w:tc>
          <w:tcPr>
            <w:tcBorders>
              <w:bottom w:val="single"/>
            </w:tcBorders>
            <w:vAlign w:val="bottom"/>
          </w:tcPr>
          <w:p>
            <w:pPr>
              <w:pStyle w:val="Compact"/>
              <w:jc w:val="right"/>
            </w:pPr>
            <w:r>
              <w:t xml:space="preserve">PC5</w:t>
            </w:r>
          </w:p>
        </w:tc>
        <w:tc>
          <w:tcPr>
            <w:tcBorders>
              <w:bottom w:val="single"/>
            </w:tcBorders>
            <w:vAlign w:val="bottom"/>
          </w:tcPr>
          <w:p>
            <w:pPr>
              <w:pStyle w:val="Compact"/>
              <w:jc w:val="right"/>
            </w:pPr>
            <w:r>
              <w:t xml:space="preserve">PC6</w:t>
            </w:r>
          </w:p>
        </w:tc>
        <w:tc>
          <w:tcPr>
            <w:tcBorders>
              <w:bottom w:val="single"/>
            </w:tcBorders>
            <w:vAlign w:val="bottom"/>
          </w:tcPr>
          <w:p>
            <w:pPr>
              <w:pStyle w:val="Compact"/>
              <w:jc w:val="right"/>
            </w:pPr>
            <w:r>
              <w:t xml:space="preserve">PC7</w:t>
            </w:r>
          </w:p>
        </w:tc>
        <w:tc>
          <w:tcPr>
            <w:tcBorders>
              <w:bottom w:val="single"/>
            </w:tcBorders>
            <w:vAlign w:val="bottom"/>
          </w:tcPr>
          <w:p>
            <w:pPr>
              <w:pStyle w:val="Compact"/>
              <w:jc w:val="right"/>
            </w:pPr>
            <w:r>
              <w:t xml:space="preserve">PC8</w:t>
            </w:r>
          </w:p>
        </w:tc>
      </w:tr>
      <w:tr>
        <w:tc>
          <w:p>
            <w:pPr>
              <w:pStyle w:val="Compact"/>
              <w:jc w:val="left"/>
            </w:pPr>
            <w:r>
              <w:t xml:space="preserve">Standard deviation</w:t>
            </w:r>
          </w:p>
        </w:tc>
        <w:tc>
          <w:p>
            <w:pPr>
              <w:pStyle w:val="Compact"/>
              <w:jc w:val="right"/>
            </w:pPr>
            <w:r>
              <w:t xml:space="preserve">32.63819</w:t>
            </w:r>
          </w:p>
        </w:tc>
        <w:tc>
          <w:p>
            <w:pPr>
              <w:pStyle w:val="Compact"/>
              <w:jc w:val="right"/>
            </w:pPr>
            <w:r>
              <w:t xml:space="preserve">25.63283</w:t>
            </w:r>
          </w:p>
        </w:tc>
        <w:tc>
          <w:p>
            <w:pPr>
              <w:pStyle w:val="Compact"/>
              <w:jc w:val="right"/>
            </w:pPr>
            <w:r>
              <w:t xml:space="preserve">11.00003</w:t>
            </w:r>
          </w:p>
        </w:tc>
        <w:tc>
          <w:p>
            <w:pPr>
              <w:pStyle w:val="Compact"/>
              <w:jc w:val="right"/>
            </w:pPr>
            <w:r>
              <w:t xml:space="preserve">8.588096</w:t>
            </w:r>
          </w:p>
        </w:tc>
        <w:tc>
          <w:p>
            <w:pPr>
              <w:pStyle w:val="Compact"/>
              <w:jc w:val="right"/>
            </w:pPr>
            <w:r>
              <w:t xml:space="preserve">1.538774</w:t>
            </w:r>
          </w:p>
        </w:tc>
        <w:tc>
          <w:p>
            <w:pPr>
              <w:pStyle w:val="Compact"/>
              <w:jc w:val="right"/>
            </w:pPr>
            <w:r>
              <w:t xml:space="preserve">0.7446948</w:t>
            </w:r>
          </w:p>
        </w:tc>
        <w:tc>
          <w:p>
            <w:pPr>
              <w:pStyle w:val="Compact"/>
              <w:jc w:val="right"/>
            </w:pPr>
            <w:r>
              <w:t xml:space="preserve">0.6472851</w:t>
            </w:r>
          </w:p>
        </w:tc>
        <w:tc>
          <w:p>
            <w:pPr>
              <w:pStyle w:val="Compact"/>
              <w:jc w:val="right"/>
            </w:pPr>
            <w:r>
              <w:t xml:space="preserve">0.1861136</w:t>
            </w:r>
          </w:p>
        </w:tc>
      </w:tr>
      <w:tr>
        <w:tc>
          <w:p>
            <w:pPr>
              <w:pStyle w:val="Compact"/>
              <w:jc w:val="left"/>
            </w:pPr>
            <w:r>
              <w:t xml:space="preserve">Proportion of Variance</w:t>
            </w:r>
          </w:p>
        </w:tc>
        <w:tc>
          <w:p>
            <w:pPr>
              <w:pStyle w:val="Compact"/>
              <w:jc w:val="right"/>
            </w:pPr>
            <w:r>
              <w:t xml:space="preserve">0.55470</w:t>
            </w:r>
          </w:p>
        </w:tc>
        <w:tc>
          <w:p>
            <w:pPr>
              <w:pStyle w:val="Compact"/>
              <w:jc w:val="right"/>
            </w:pPr>
            <w:r>
              <w:t xml:space="preserve">0.34213</w:t>
            </w:r>
          </w:p>
        </w:tc>
        <w:tc>
          <w:p>
            <w:pPr>
              <w:pStyle w:val="Compact"/>
              <w:jc w:val="right"/>
            </w:pPr>
            <w:r>
              <w:t xml:space="preserve">0.06301</w:t>
            </w:r>
          </w:p>
        </w:tc>
        <w:tc>
          <w:p>
            <w:pPr>
              <w:pStyle w:val="Compact"/>
              <w:jc w:val="right"/>
            </w:pPr>
            <w:r>
              <w:t xml:space="preserve">0.038410</w:t>
            </w:r>
          </w:p>
        </w:tc>
        <w:tc>
          <w:p>
            <w:pPr>
              <w:pStyle w:val="Compact"/>
              <w:jc w:val="right"/>
            </w:pPr>
            <w:r>
              <w:t xml:space="preserve">0.001230</w:t>
            </w:r>
          </w:p>
        </w:tc>
        <w:tc>
          <w:p>
            <w:pPr>
              <w:pStyle w:val="Compact"/>
              <w:jc w:val="right"/>
            </w:pPr>
            <w:r>
              <w:t xml:space="preserve">0.0002900</w:t>
            </w:r>
          </w:p>
        </w:tc>
        <w:tc>
          <w:p>
            <w:pPr>
              <w:pStyle w:val="Compact"/>
              <w:jc w:val="right"/>
            </w:pPr>
            <w:r>
              <w:t xml:space="preserve">0.0002200</w:t>
            </w:r>
          </w:p>
        </w:tc>
        <w:tc>
          <w:p>
            <w:pPr>
              <w:pStyle w:val="Compact"/>
              <w:jc w:val="right"/>
            </w:pPr>
            <w:r>
              <w:t xml:space="preserve">0.0000200</w:t>
            </w:r>
          </w:p>
        </w:tc>
      </w:tr>
      <w:tr>
        <w:tc>
          <w:p>
            <w:pPr>
              <w:pStyle w:val="Compact"/>
              <w:jc w:val="left"/>
            </w:pPr>
            <w:r>
              <w:t xml:space="preserve">Cumulative Proportion</w:t>
            </w:r>
          </w:p>
        </w:tc>
        <w:tc>
          <w:p>
            <w:pPr>
              <w:pStyle w:val="Compact"/>
              <w:jc w:val="right"/>
            </w:pPr>
            <w:r>
              <w:t xml:space="preserve">0.55470</w:t>
            </w:r>
          </w:p>
        </w:tc>
        <w:tc>
          <w:p>
            <w:pPr>
              <w:pStyle w:val="Compact"/>
              <w:jc w:val="right"/>
            </w:pPr>
            <w:r>
              <w:t xml:space="preserve">0.89683</w:t>
            </w:r>
          </w:p>
        </w:tc>
        <w:tc>
          <w:p>
            <w:pPr>
              <w:pStyle w:val="Compact"/>
              <w:jc w:val="right"/>
            </w:pPr>
            <w:r>
              <w:t xml:space="preserve">0.95984</w:t>
            </w:r>
          </w:p>
        </w:tc>
        <w:tc>
          <w:p>
            <w:pPr>
              <w:pStyle w:val="Compact"/>
              <w:jc w:val="right"/>
            </w:pPr>
            <w:r>
              <w:t xml:space="preserve">0.998240</w:t>
            </w:r>
          </w:p>
        </w:tc>
        <w:tc>
          <w:p>
            <w:pPr>
              <w:pStyle w:val="Compact"/>
              <w:jc w:val="right"/>
            </w:pPr>
            <w:r>
              <w:t xml:space="preserve">0.999480</w:t>
            </w:r>
          </w:p>
        </w:tc>
        <w:tc>
          <w:p>
            <w:pPr>
              <w:pStyle w:val="Compact"/>
              <w:jc w:val="right"/>
            </w:pPr>
            <w:r>
              <w:t xml:space="preserve">0.9997600</w:t>
            </w:r>
          </w:p>
        </w:tc>
        <w:tc>
          <w:p>
            <w:pPr>
              <w:pStyle w:val="Compact"/>
              <w:jc w:val="right"/>
            </w:pPr>
            <w:r>
              <w:t xml:space="preserve">0.9999800</w:t>
            </w:r>
          </w:p>
        </w:tc>
        <w:tc>
          <w:p>
            <w:pPr>
              <w:pStyle w:val="Compact"/>
              <w:jc w:val="right"/>
            </w:pPr>
            <w:r>
              <w:t xml:space="preserve">1.0000000</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c>
          <w:tcPr>
            <w:tcBorders>
              <w:bottom w:val="single"/>
            </w:tcBorders>
            <w:vAlign w:val="bottom"/>
          </w:tcPr>
          <w:p>
            <w:pPr>
              <w:pStyle w:val="Compact"/>
              <w:jc w:val="right"/>
            </w:pPr>
            <w:r>
              <w:t xml:space="preserve">PC3</w:t>
            </w:r>
          </w:p>
        </w:tc>
        <w:tc>
          <w:tcPr>
            <w:tcBorders>
              <w:bottom w:val="single"/>
            </w:tcBorders>
            <w:vAlign w:val="bottom"/>
          </w:tcPr>
          <w:p>
            <w:pPr>
              <w:pStyle w:val="Compact"/>
              <w:jc w:val="right"/>
            </w:pPr>
            <w:r>
              <w:t xml:space="preserve">PC4</w:t>
            </w:r>
          </w:p>
        </w:tc>
      </w:tr>
      <w:tr>
        <w:tc>
          <w:p>
            <w:pPr>
              <w:pStyle w:val="Compact"/>
              <w:jc w:val="left"/>
            </w:pPr>
            <w:r>
              <w:t xml:space="preserve">Sand</w:t>
            </w:r>
          </w:p>
        </w:tc>
        <w:tc>
          <w:p>
            <w:pPr>
              <w:pStyle w:val="Compact"/>
              <w:jc w:val="right"/>
            </w:pPr>
            <w:r>
              <w:t xml:space="preserve">0.3516041</w:t>
            </w:r>
          </w:p>
        </w:tc>
        <w:tc>
          <w:p>
            <w:pPr>
              <w:pStyle w:val="Compact"/>
              <w:jc w:val="right"/>
            </w:pPr>
            <w:r>
              <w:t xml:space="preserve">-0.7770568</w:t>
            </w:r>
          </w:p>
        </w:tc>
        <w:tc>
          <w:p>
            <w:pPr>
              <w:pStyle w:val="Compact"/>
              <w:jc w:val="right"/>
            </w:pPr>
            <w:r>
              <w:t xml:space="preserve">-0.5154614</w:t>
            </w:r>
          </w:p>
        </w:tc>
        <w:tc>
          <w:p>
            <w:pPr>
              <w:pStyle w:val="Compact"/>
              <w:jc w:val="right"/>
            </w:pPr>
            <w:r>
              <w:t xml:space="preserve">0.0820792</w:t>
            </w:r>
          </w:p>
        </w:tc>
      </w:tr>
      <w:tr>
        <w:tc>
          <w:p>
            <w:pPr>
              <w:pStyle w:val="Compact"/>
              <w:jc w:val="left"/>
            </w:pPr>
            <w:r>
              <w:t xml:space="preserve">Clay</w:t>
            </w:r>
          </w:p>
        </w:tc>
        <w:tc>
          <w:p>
            <w:pPr>
              <w:pStyle w:val="Compact"/>
              <w:jc w:val="right"/>
            </w:pPr>
            <w:r>
              <w:t xml:space="preserve">-0.2421961</w:t>
            </w:r>
          </w:p>
        </w:tc>
        <w:tc>
          <w:p>
            <w:pPr>
              <w:pStyle w:val="Compact"/>
              <w:jc w:val="right"/>
            </w:pPr>
            <w:r>
              <w:t xml:space="preserve">0.3976529</w:t>
            </w:r>
          </w:p>
        </w:tc>
        <w:tc>
          <w:p>
            <w:pPr>
              <w:pStyle w:val="Compact"/>
              <w:jc w:val="right"/>
            </w:pPr>
            <w:r>
              <w:t xml:space="preserve">-0.6759072</w:t>
            </w:r>
          </w:p>
        </w:tc>
        <w:tc>
          <w:p>
            <w:pPr>
              <w:pStyle w:val="Compact"/>
              <w:jc w:val="right"/>
            </w:pPr>
            <w:r>
              <w:t xml:space="preserve">0.5665441</w:t>
            </w:r>
          </w:p>
        </w:tc>
      </w:tr>
      <w:tr>
        <w:tc>
          <w:p>
            <w:pPr>
              <w:pStyle w:val="Compact"/>
              <w:jc w:val="left"/>
            </w:pPr>
            <w:r>
              <w:t xml:space="preserve">Organic.Carbon</w:t>
            </w:r>
          </w:p>
        </w:tc>
        <w:tc>
          <w:p>
            <w:pPr>
              <w:pStyle w:val="Compact"/>
              <w:jc w:val="right"/>
            </w:pPr>
            <w:r>
              <w:t xml:space="preserve">0.0053164</w:t>
            </w:r>
          </w:p>
        </w:tc>
        <w:tc>
          <w:p>
            <w:pPr>
              <w:pStyle w:val="Compact"/>
              <w:jc w:val="right"/>
            </w:pPr>
            <w:r>
              <w:t xml:space="preserve">0.0050832</w:t>
            </w:r>
          </w:p>
        </w:tc>
        <w:tc>
          <w:p>
            <w:pPr>
              <w:pStyle w:val="Compact"/>
              <w:jc w:val="right"/>
            </w:pPr>
            <w:r>
              <w:t xml:space="preserve">-0.0168647</w:t>
            </w:r>
          </w:p>
        </w:tc>
        <w:tc>
          <w:p>
            <w:pPr>
              <w:pStyle w:val="Compact"/>
              <w:jc w:val="right"/>
            </w:pPr>
            <w:r>
              <w:t xml:space="preserve">-0.0577142</w:t>
            </w:r>
          </w:p>
        </w:tc>
      </w:tr>
      <w:tr>
        <w:tc>
          <w:p>
            <w:pPr>
              <w:pStyle w:val="Compact"/>
              <w:jc w:val="left"/>
            </w:pPr>
            <w:r>
              <w:t xml:space="preserve">Bulk.Density</w:t>
            </w:r>
          </w:p>
        </w:tc>
        <w:tc>
          <w:p>
            <w:pPr>
              <w:pStyle w:val="Compact"/>
              <w:jc w:val="right"/>
            </w:pPr>
            <w:r>
              <w:t xml:space="preserve">-0.0019288</w:t>
            </w:r>
          </w:p>
        </w:tc>
        <w:tc>
          <w:p>
            <w:pPr>
              <w:pStyle w:val="Compact"/>
              <w:jc w:val="right"/>
            </w:pPr>
            <w:r>
              <w:t xml:space="preserve">-0.0000607</w:t>
            </w:r>
          </w:p>
        </w:tc>
        <w:tc>
          <w:p>
            <w:pPr>
              <w:pStyle w:val="Compact"/>
              <w:jc w:val="right"/>
            </w:pPr>
            <w:r>
              <w:t xml:space="preserve">-0.0029836</w:t>
            </w:r>
          </w:p>
        </w:tc>
        <w:tc>
          <w:p>
            <w:pPr>
              <w:pStyle w:val="Compact"/>
              <w:jc w:val="right"/>
            </w:pPr>
            <w:r>
              <w:t xml:space="preserve">0.0104239</w:t>
            </w:r>
          </w:p>
        </w:tc>
      </w:tr>
      <w:tr>
        <w:tc>
          <w:p>
            <w:pPr>
              <w:pStyle w:val="Compact"/>
              <w:jc w:val="left"/>
            </w:pPr>
            <w:r>
              <w:t xml:space="preserve">CEC.Soil</w:t>
            </w:r>
          </w:p>
        </w:tc>
        <w:tc>
          <w:p>
            <w:pPr>
              <w:pStyle w:val="Compact"/>
              <w:jc w:val="right"/>
            </w:pPr>
            <w:r>
              <w:t xml:space="preserve">-0.1781833</w:t>
            </w:r>
          </w:p>
        </w:tc>
        <w:tc>
          <w:p>
            <w:pPr>
              <w:pStyle w:val="Compact"/>
              <w:jc w:val="right"/>
            </w:pPr>
            <w:r>
              <w:t xml:space="preserve">0.1804817</w:t>
            </w:r>
          </w:p>
        </w:tc>
        <w:tc>
          <w:p>
            <w:pPr>
              <w:pStyle w:val="Compact"/>
              <w:jc w:val="right"/>
            </w:pPr>
            <w:r>
              <w:t xml:space="preserve">-0.5190661</w:t>
            </w:r>
          </w:p>
        </w:tc>
        <w:tc>
          <w:p>
            <w:pPr>
              <w:pStyle w:val="Compact"/>
              <w:jc w:val="right"/>
            </w:pPr>
            <w:r>
              <w:t xml:space="preserve">-0.8044793</w:t>
            </w:r>
          </w:p>
        </w:tc>
      </w:tr>
      <w:tr>
        <w:tc>
          <w:p>
            <w:pPr>
              <w:pStyle w:val="Compact"/>
              <w:jc w:val="left"/>
            </w:pPr>
            <w:r>
              <w:t xml:space="preserve">CEC.Clay</w:t>
            </w:r>
          </w:p>
        </w:tc>
        <w:tc>
          <w:p>
            <w:pPr>
              <w:pStyle w:val="Compact"/>
              <w:jc w:val="right"/>
            </w:pPr>
            <w:r>
              <w:t xml:space="preserve">0.0112285</w:t>
            </w:r>
          </w:p>
        </w:tc>
        <w:tc>
          <w:p>
            <w:pPr>
              <w:pStyle w:val="Compact"/>
              <w:jc w:val="right"/>
            </w:pPr>
            <w:r>
              <w:t xml:space="preserve">-0.0059963</w:t>
            </w:r>
          </w:p>
        </w:tc>
        <w:tc>
          <w:p>
            <w:pPr>
              <w:pStyle w:val="Compact"/>
              <w:jc w:val="right"/>
            </w:pPr>
            <w:r>
              <w:t xml:space="preserve">-0.0252571</w:t>
            </w:r>
          </w:p>
        </w:tc>
        <w:tc>
          <w:p>
            <w:pPr>
              <w:pStyle w:val="Compact"/>
              <w:jc w:val="right"/>
            </w:pPr>
            <w:r>
              <w:t xml:space="preserve">-0.1423157</w:t>
            </w:r>
          </w:p>
        </w:tc>
      </w:tr>
      <w:tr>
        <w:tc>
          <w:p>
            <w:pPr>
              <w:pStyle w:val="Compact"/>
              <w:jc w:val="left"/>
            </w:pPr>
            <w:r>
              <w:t xml:space="preserve">Base.Saturation</w:t>
            </w:r>
          </w:p>
        </w:tc>
        <w:tc>
          <w:p>
            <w:pPr>
              <w:pStyle w:val="Compact"/>
              <w:jc w:val="right"/>
            </w:pPr>
            <w:r>
              <w:t xml:space="preserve">-0.8859172</w:t>
            </w:r>
          </w:p>
        </w:tc>
        <w:tc>
          <w:p>
            <w:pPr>
              <w:pStyle w:val="Compact"/>
              <w:jc w:val="right"/>
            </w:pPr>
            <w:r>
              <w:t xml:space="preserve">-0.4526640</w:t>
            </w:r>
          </w:p>
        </w:tc>
        <w:tc>
          <w:p>
            <w:pPr>
              <w:pStyle w:val="Compact"/>
              <w:jc w:val="right"/>
            </w:pPr>
            <w:r>
              <w:t xml:space="preserve">0.0839830</w:t>
            </w:r>
          </w:p>
        </w:tc>
        <w:tc>
          <w:p>
            <w:pPr>
              <w:pStyle w:val="Compact"/>
              <w:jc w:val="right"/>
            </w:pPr>
            <w:r>
              <w:t xml:space="preserve">0.0374301</w:t>
            </w:r>
          </w:p>
        </w:tc>
      </w:tr>
      <w:tr>
        <w:tc>
          <w:p>
            <w:pPr>
              <w:pStyle w:val="Compact"/>
              <w:jc w:val="left"/>
            </w:pPr>
            <w:r>
              <w:t xml:space="preserve">pH</w:t>
            </w:r>
          </w:p>
        </w:tc>
        <w:tc>
          <w:p>
            <w:pPr>
              <w:pStyle w:val="Compact"/>
              <w:jc w:val="right"/>
            </w:pPr>
            <w:r>
              <w:t xml:space="preserve">-0.0309674</w:t>
            </w:r>
          </w:p>
        </w:tc>
        <w:tc>
          <w:p>
            <w:pPr>
              <w:pStyle w:val="Compact"/>
              <w:jc w:val="right"/>
            </w:pPr>
            <w:r>
              <w:t xml:space="preserve">-0.0226877</w:t>
            </w:r>
          </w:p>
        </w:tc>
        <w:tc>
          <w:p>
            <w:pPr>
              <w:pStyle w:val="Compact"/>
              <w:jc w:val="right"/>
            </w:pPr>
            <w:r>
              <w:t xml:space="preserve">0.0059155</w:t>
            </w:r>
          </w:p>
        </w:tc>
        <w:tc>
          <w:p>
            <w:pPr>
              <w:pStyle w:val="Compact"/>
              <w:jc w:val="right"/>
            </w:pPr>
            <w:r>
              <w:t xml:space="preserve">-0.0030852</w:t>
            </w:r>
          </w:p>
        </w:tc>
      </w:tr>
    </w:tbl>
    <w:p>
      <w:pPr>
        <w:pStyle w:val="Heading1"/>
      </w:pPr>
      <w:bookmarkStart w:id="27" w:name="analysis"/>
      <w:bookmarkEnd w:id="27"/>
      <w:r>
        <w:t xml:space="preserve">Analysis</w:t>
      </w:r>
    </w:p>
    <w:p>
      <w:pPr>
        <w:pStyle w:val="FirstParagraph"/>
      </w:pPr>
      <w:r>
        <w:t xml:space="preserve">In the following analysis with three methods (LDA, QDA and logistic) and two datasets (original and dimension-reduced), we randomly selected 80% of the entire data as training data and the rest 20% as test data.</w:t>
      </w:r>
    </w:p>
    <w:p>
      <w:pPr>
        <w:pStyle w:val="Heading2"/>
      </w:pPr>
      <w:bookmarkStart w:id="28" w:name="linear-discriminant-analysis-lda"/>
      <w:bookmarkEnd w:id="28"/>
      <w:r>
        <w:t xml:space="preserve">Linear Discriminant Analysis (LDA)</w:t>
      </w:r>
    </w:p>
    <w:p>
      <w:pPr>
        <w:pStyle w:val="Heading3"/>
      </w:pPr>
      <w:bookmarkStart w:id="29" w:name="original-dataset"/>
      <w:bookmarkEnd w:id="29"/>
      <w:r>
        <w:t xml:space="preserve">Original Dataset</w:t>
      </w:r>
    </w:p>
    <w:p>
      <w:pPr>
        <w:pStyle w:val="FirstParagraph"/>
      </w:pPr>
      <w:r>
        <w:t xml:space="preserve">We initially conducted the LDA on the original dataset and found that the overall prediction accuracy of our model in testing data is about 58%. Considering we have in total 9 possible classes, the accuracy rate is fairly good.</w:t>
      </w:r>
    </w:p>
    <w:p>
      <w:pPr>
        <w:pStyle w:val="BodyText"/>
      </w:pPr>
      <w:r>
        <w:t xml:space="preserve">In the follow plots, we show the difference between the true and predicted classes (top and bottom plots, respectively). It can be seen that in the left part of the true class, there is a lot of overlap and in the middle part, there is some overlap. But in the prediction plot, different classes separate pretty well from each other, which indicates that our model seperate the classes more than it should be. This overlap between classes in reality also suggests us that we should consider more variables to separate them well.</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lda%20vis%20-%20FEI-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lda%20vis%20-%20FEI-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reduced-dimension-dataset"/>
      <w:bookmarkEnd w:id="32"/>
      <w:r>
        <w:t xml:space="preserve">Reduced-Dimension Dataset</w:t>
      </w:r>
    </w:p>
    <w:p>
      <w:pPr>
        <w:pStyle w:val="SourceCode"/>
      </w:pPr>
      <w:r>
        <w:rPr>
          <w:rStyle w:val="NormalTok"/>
        </w:rPr>
        <w:t xml:space="preserve">test.pca &lt;-</w:t>
      </w:r>
      <w:r>
        <w:rPr>
          <w:rStyle w:val="StringTok"/>
        </w:rPr>
        <w:t xml:space="preserve"> </w:t>
      </w:r>
      <w:r>
        <w:rPr>
          <w:rStyle w:val="NormalTok"/>
        </w:rPr>
        <w:t xml:space="preserve">project1data.new[</w:t>
      </w:r>
      <w:r>
        <w:rPr>
          <w:rStyle w:val="OperatorTok"/>
        </w:rPr>
        <w:t xml:space="preserve">-</w:t>
      </w:r>
      <w:r>
        <w:rPr>
          <w:rStyle w:val="NormalTok"/>
        </w:rPr>
        <w:t xml:space="preserve">train_id,]</w:t>
      </w:r>
      <w:r>
        <w:br w:type="textWrapping"/>
      </w:r>
      <w:r>
        <w:br w:type="textWrapping"/>
      </w:r>
      <w:r>
        <w:rPr>
          <w:rStyle w:val="CommentTok"/>
        </w:rPr>
        <w:t xml:space="preserve">#lda</w:t>
      </w:r>
      <w:r>
        <w:br w:type="textWrapping"/>
      </w:r>
      <w:r>
        <w:rPr>
          <w:rStyle w:val="NormalTok"/>
        </w:rPr>
        <w:t xml:space="preserve">lda.fei.pca &lt;-</w:t>
      </w:r>
      <w:r>
        <w:rPr>
          <w:rStyle w:val="StringTok"/>
        </w:rPr>
        <w:t xml:space="preserve"> </w:t>
      </w:r>
      <w:r>
        <w:rPr>
          <w:rStyle w:val="NormalTok"/>
        </w:rPr>
        <w:t xml:space="preserve">MASS</w:t>
      </w:r>
      <w:r>
        <w:rPr>
          <w:rStyle w:val="OperatorTok"/>
        </w:rPr>
        <w:t xml:space="preserve">::</w:t>
      </w:r>
      <w:r>
        <w:rPr>
          <w:rStyle w:val="KeywordTok"/>
        </w:rPr>
        <w:t xml:space="preserve">lda</w:t>
      </w:r>
      <w:r>
        <w:rPr>
          <w:rStyle w:val="NormalTok"/>
        </w:rPr>
        <w:t xml:space="preserve">(Order </w:t>
      </w:r>
      <w:r>
        <w:rPr>
          <w:rStyle w:val="OperatorTok"/>
        </w:rPr>
        <w:t xml:space="preserve">~</w:t>
      </w:r>
      <w:r>
        <w:rPr>
          <w:rStyle w:val="NormalTok"/>
        </w:rPr>
        <w:t xml:space="preserve">., </w:t>
      </w:r>
      <w:r>
        <w:rPr>
          <w:rStyle w:val="DataTypeTok"/>
        </w:rPr>
        <w:t xml:space="preserve">data =</w:t>
      </w:r>
      <w:r>
        <w:rPr>
          <w:rStyle w:val="NormalTok"/>
        </w:rPr>
        <w:t xml:space="preserve"> project1data.new, </w:t>
      </w:r>
      <w:r>
        <w:rPr>
          <w:rStyle w:val="DataTypeTok"/>
        </w:rPr>
        <w:t xml:space="preserve">subset =</w:t>
      </w:r>
      <w:r>
        <w:rPr>
          <w:rStyle w:val="NormalTok"/>
        </w:rPr>
        <w:t xml:space="preserve">train_id)</w:t>
      </w:r>
      <w:r>
        <w:br w:type="textWrapping"/>
      </w:r>
      <w:r>
        <w:rPr>
          <w:rStyle w:val="CommentTok"/>
        </w:rPr>
        <w:t xml:space="preserve"># plot(lda.fei)</w:t>
      </w:r>
      <w:r>
        <w:br w:type="textWrapping"/>
      </w:r>
      <w:r>
        <w:br w:type="textWrapping"/>
      </w:r>
      <w:r>
        <w:br w:type="textWrapping"/>
      </w:r>
      <w:r>
        <w:rPr>
          <w:rStyle w:val="CommentTok"/>
        </w:rPr>
        <w:t xml:space="preserve">#predict test data</w:t>
      </w:r>
      <w:r>
        <w:br w:type="textWrapping"/>
      </w:r>
      <w:r>
        <w:rPr>
          <w:rStyle w:val="NormalTok"/>
        </w:rPr>
        <w:t xml:space="preserve">lda.predict.pca =</w:t>
      </w:r>
      <w:r>
        <w:rPr>
          <w:rStyle w:val="StringTok"/>
        </w:rPr>
        <w:t xml:space="preserve"> </w:t>
      </w:r>
      <w:r>
        <w:rPr>
          <w:rStyle w:val="KeywordTok"/>
        </w:rPr>
        <w:t xml:space="preserve">predict</w:t>
      </w:r>
      <w:r>
        <w:rPr>
          <w:rStyle w:val="NormalTok"/>
        </w:rPr>
        <w:t xml:space="preserve">(lda.fei.pca, </w:t>
      </w:r>
      <w:r>
        <w:rPr>
          <w:rStyle w:val="DataTypeTok"/>
        </w:rPr>
        <w:t xml:space="preserve">newdata=</w:t>
      </w:r>
      <w:r>
        <w:rPr>
          <w:rStyle w:val="NormalTok"/>
        </w:rPr>
        <w:t xml:space="preserve">test.pca)</w:t>
      </w:r>
      <w:r>
        <w:br w:type="textWrapping"/>
      </w:r>
      <w:r>
        <w:br w:type="textWrapping"/>
      </w:r>
      <w:r>
        <w:br w:type="textWrapping"/>
      </w:r>
      <w:r>
        <w:rPr>
          <w:rStyle w:val="CommentTok"/>
        </w:rPr>
        <w:t xml:space="preserve"># Assess the accuracy of the prediction for each soil class (Order) in test data</w:t>
      </w:r>
      <w:r>
        <w:br w:type="textWrapping"/>
      </w:r>
      <w:r>
        <w:rPr>
          <w:rStyle w:val="NormalTok"/>
        </w:rPr>
        <w:t xml:space="preserve">ct.lda.pca &lt;-</w:t>
      </w:r>
      <w:r>
        <w:rPr>
          <w:rStyle w:val="StringTok"/>
        </w:rPr>
        <w:t xml:space="preserve"> </w:t>
      </w:r>
      <w:r>
        <w:rPr>
          <w:rStyle w:val="KeywordTok"/>
        </w:rPr>
        <w:t xml:space="preserve">table</w:t>
      </w:r>
      <w:r>
        <w:rPr>
          <w:rStyle w:val="NormalTok"/>
        </w:rPr>
        <w:t xml:space="preserve">(test.pca</w:t>
      </w:r>
      <w:r>
        <w:rPr>
          <w:rStyle w:val="OperatorTok"/>
        </w:rPr>
        <w:t xml:space="preserve">$</w:t>
      </w:r>
      <w:r>
        <w:rPr>
          <w:rStyle w:val="NormalTok"/>
        </w:rPr>
        <w:t xml:space="preserve">Order, lda.predict.pca</w:t>
      </w:r>
      <w:r>
        <w:rPr>
          <w:rStyle w:val="OperatorTok"/>
        </w:rPr>
        <w:t xml:space="preserve">$</w:t>
      </w:r>
      <w:r>
        <w:rPr>
          <w:rStyle w:val="NormalTok"/>
        </w:rPr>
        <w:t xml:space="preserve">class)</w:t>
      </w:r>
    </w:p>
    <w:p>
      <w:pPr>
        <w:pStyle w:val="FirstParagraph"/>
      </w:pPr>
      <w:r>
        <w:t xml:space="preserve">We also conducted the same LDA method on the dimension-reduced database. However, the result is less satisfying than using the original database. The prediction accuracy here is about 53%, less than 58% of the original database. The plot below shows the difference between the true and predicted classes. Again, the overlap in the true class plots indicate the difficulty to classify those samples.</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LDA%20with%20PCA%20-%20Fei-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LDA%20with%20PCA%20-%20Fei-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table below we can see the prediciton accuracy for each soil Order. We can see that for most, but not all, individual soil orders the LDA method applied to a full-dimension dataset provides the highest percent prediciton accuracy.</w:t>
      </w:r>
    </w:p>
    <w:p>
      <w:pPr>
        <w:pStyle w:val="Heading2"/>
      </w:pPr>
      <w:bookmarkStart w:id="35" w:name="quadratic-discriminant-analysis-qda"/>
      <w:bookmarkEnd w:id="35"/>
      <w:r>
        <w:t xml:space="preserve">Quadratic Discriminant Analysis (QDA)</w:t>
      </w:r>
    </w:p>
    <w:p>
      <w:pPr>
        <w:pStyle w:val="FirstParagraph"/>
      </w:pPr>
      <w:r>
        <w:t xml:space="preserve">We used the same original and dimension-reduced dataset to apply QDA method. The prediction accuracy of QDA is very similar to LDA. For the original dataset, the overall accuracy is 57%. When applying the same method to the dimension-reduced dataset, the oveall accuracy decreases to 55%.</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Alfisols</w:t>
            </w:r>
          </w:p>
        </w:tc>
        <w:tc>
          <w:tcPr>
            <w:tcBorders>
              <w:bottom w:val="single"/>
            </w:tcBorders>
            <w:vAlign w:val="bottom"/>
          </w:tcPr>
          <w:p>
            <w:pPr>
              <w:pStyle w:val="Compact"/>
              <w:jc w:val="right"/>
            </w:pPr>
            <w:r>
              <w:t xml:space="preserve">Andisols</w:t>
            </w:r>
          </w:p>
        </w:tc>
        <w:tc>
          <w:tcPr>
            <w:tcBorders>
              <w:bottom w:val="single"/>
            </w:tcBorders>
            <w:vAlign w:val="bottom"/>
          </w:tcPr>
          <w:p>
            <w:pPr>
              <w:pStyle w:val="Compact"/>
              <w:jc w:val="right"/>
            </w:pPr>
            <w:r>
              <w:t xml:space="preserve">Aridisols</w:t>
            </w:r>
          </w:p>
        </w:tc>
        <w:tc>
          <w:tcPr>
            <w:tcBorders>
              <w:bottom w:val="single"/>
            </w:tcBorders>
            <w:vAlign w:val="bottom"/>
          </w:tcPr>
          <w:p>
            <w:pPr>
              <w:pStyle w:val="Compact"/>
              <w:jc w:val="right"/>
            </w:pPr>
            <w:r>
              <w:t xml:space="preserve">Inceptisols</w:t>
            </w:r>
          </w:p>
        </w:tc>
        <w:tc>
          <w:tcPr>
            <w:tcBorders>
              <w:bottom w:val="single"/>
            </w:tcBorders>
            <w:vAlign w:val="bottom"/>
          </w:tcPr>
          <w:p>
            <w:pPr>
              <w:pStyle w:val="Compact"/>
              <w:jc w:val="right"/>
            </w:pPr>
            <w:r>
              <w:t xml:space="preserve">Mollisols</w:t>
            </w:r>
          </w:p>
        </w:tc>
        <w:tc>
          <w:tcPr>
            <w:tcBorders>
              <w:bottom w:val="single"/>
            </w:tcBorders>
            <w:vAlign w:val="bottom"/>
          </w:tcPr>
          <w:p>
            <w:pPr>
              <w:pStyle w:val="Compact"/>
              <w:jc w:val="right"/>
            </w:pPr>
            <w:r>
              <w:t xml:space="preserve">Oxisols</w:t>
            </w:r>
          </w:p>
        </w:tc>
        <w:tc>
          <w:tcPr>
            <w:tcBorders>
              <w:bottom w:val="single"/>
            </w:tcBorders>
            <w:vAlign w:val="bottom"/>
          </w:tcPr>
          <w:p>
            <w:pPr>
              <w:pStyle w:val="Compact"/>
              <w:jc w:val="right"/>
            </w:pPr>
            <w:r>
              <w:t xml:space="preserve">Spodosols</w:t>
            </w:r>
          </w:p>
        </w:tc>
        <w:tc>
          <w:tcPr>
            <w:tcBorders>
              <w:bottom w:val="single"/>
            </w:tcBorders>
            <w:vAlign w:val="bottom"/>
          </w:tcPr>
          <w:p>
            <w:pPr>
              <w:pStyle w:val="Compact"/>
              <w:jc w:val="right"/>
            </w:pPr>
            <w:r>
              <w:t xml:space="preserve">Ultisols</w:t>
            </w:r>
          </w:p>
        </w:tc>
        <w:tc>
          <w:tcPr>
            <w:tcBorders>
              <w:bottom w:val="single"/>
            </w:tcBorders>
            <w:vAlign w:val="bottom"/>
          </w:tcPr>
          <w:p>
            <w:pPr>
              <w:pStyle w:val="Compact"/>
              <w:jc w:val="right"/>
            </w:pPr>
            <w:r>
              <w:t xml:space="preserve">Vertisols</w:t>
            </w:r>
          </w:p>
        </w:tc>
      </w:tr>
      <w:tr>
        <w:tc>
          <w:p>
            <w:pPr>
              <w:pStyle w:val="Compact"/>
              <w:jc w:val="left"/>
            </w:pPr>
            <w:r>
              <w:t xml:space="preserve">QDA</w:t>
            </w:r>
          </w:p>
        </w:tc>
        <w:tc>
          <w:p>
            <w:pPr>
              <w:pStyle w:val="Compact"/>
              <w:jc w:val="right"/>
            </w:pPr>
            <w:r>
              <w:t xml:space="preserve">68</w:t>
            </w:r>
          </w:p>
        </w:tc>
        <w:tc>
          <w:p>
            <w:pPr>
              <w:pStyle w:val="Compact"/>
              <w:jc w:val="right"/>
            </w:pPr>
            <w:r>
              <w:t xml:space="preserve">47</w:t>
            </w:r>
          </w:p>
        </w:tc>
        <w:tc>
          <w:p>
            <w:pPr>
              <w:pStyle w:val="Compact"/>
              <w:jc w:val="right"/>
            </w:pPr>
            <w:r>
              <w:t xml:space="preserve">55</w:t>
            </w:r>
          </w:p>
        </w:tc>
        <w:tc>
          <w:p>
            <w:pPr>
              <w:pStyle w:val="Compact"/>
              <w:jc w:val="right"/>
            </w:pPr>
            <w:r>
              <w:t xml:space="preserve">25</w:t>
            </w:r>
          </w:p>
        </w:tc>
        <w:tc>
          <w:p>
            <w:pPr>
              <w:pStyle w:val="Compact"/>
              <w:jc w:val="right"/>
            </w:pPr>
            <w:r>
              <w:t xml:space="preserve">47</w:t>
            </w:r>
          </w:p>
        </w:tc>
        <w:tc>
          <w:p>
            <w:pPr>
              <w:pStyle w:val="Compact"/>
              <w:jc w:val="right"/>
            </w:pPr>
            <w:r>
              <w:t xml:space="preserve">88</w:t>
            </w:r>
          </w:p>
        </w:tc>
        <w:tc>
          <w:p>
            <w:pPr>
              <w:pStyle w:val="Compact"/>
              <w:jc w:val="right"/>
            </w:pPr>
            <w:r>
              <w:t xml:space="preserve">36</w:t>
            </w:r>
          </w:p>
        </w:tc>
        <w:tc>
          <w:p>
            <w:pPr>
              <w:pStyle w:val="Compact"/>
              <w:jc w:val="right"/>
            </w:pPr>
            <w:r>
              <w:t xml:space="preserve">83</w:t>
            </w:r>
          </w:p>
        </w:tc>
        <w:tc>
          <w:p>
            <w:pPr>
              <w:pStyle w:val="Compact"/>
              <w:jc w:val="right"/>
            </w:pPr>
            <w:r>
              <w:t xml:space="preserve">72</w:t>
            </w:r>
          </w:p>
        </w:tc>
      </w:tr>
      <w:tr>
        <w:tc>
          <w:p>
            <w:pPr>
              <w:pStyle w:val="Compact"/>
              <w:jc w:val="left"/>
            </w:pPr>
            <w:r>
              <w:t xml:space="preserve">QDA w/ PCA</w:t>
            </w:r>
          </w:p>
        </w:tc>
        <w:tc>
          <w:p>
            <w:pPr>
              <w:pStyle w:val="Compact"/>
              <w:jc w:val="right"/>
            </w:pPr>
            <w:r>
              <w:t xml:space="preserve">49</w:t>
            </w:r>
          </w:p>
        </w:tc>
        <w:tc>
          <w:p>
            <w:pPr>
              <w:pStyle w:val="Compact"/>
              <w:jc w:val="right"/>
            </w:pPr>
            <w:r>
              <w:t xml:space="preserve">31</w:t>
            </w:r>
          </w:p>
        </w:tc>
        <w:tc>
          <w:p>
            <w:pPr>
              <w:pStyle w:val="Compact"/>
              <w:jc w:val="right"/>
            </w:pPr>
            <w:r>
              <w:t xml:space="preserve">69</w:t>
            </w:r>
          </w:p>
        </w:tc>
        <w:tc>
          <w:p>
            <w:pPr>
              <w:pStyle w:val="Compact"/>
              <w:jc w:val="right"/>
            </w:pPr>
            <w:r>
              <w:t xml:space="preserve">9</w:t>
            </w:r>
          </w:p>
        </w:tc>
        <w:tc>
          <w:p>
            <w:pPr>
              <w:pStyle w:val="Compact"/>
              <w:jc w:val="right"/>
            </w:pPr>
            <w:r>
              <w:t xml:space="preserve">57</w:t>
            </w:r>
          </w:p>
        </w:tc>
        <w:tc>
          <w:p>
            <w:pPr>
              <w:pStyle w:val="Compact"/>
              <w:jc w:val="right"/>
            </w:pPr>
            <w:r>
              <w:t xml:space="preserve">24</w:t>
            </w:r>
          </w:p>
        </w:tc>
        <w:tc>
          <w:p>
            <w:pPr>
              <w:pStyle w:val="Compact"/>
              <w:jc w:val="right"/>
            </w:pPr>
            <w:r>
              <w:t xml:space="preserve">57</w:t>
            </w:r>
          </w:p>
        </w:tc>
        <w:tc>
          <w:p>
            <w:pPr>
              <w:pStyle w:val="Compact"/>
              <w:jc w:val="right"/>
            </w:pPr>
            <w:r>
              <w:t xml:space="preserve">83</w:t>
            </w:r>
          </w:p>
        </w:tc>
        <w:tc>
          <w:p>
            <w:pPr>
              <w:pStyle w:val="Compact"/>
              <w:jc w:val="right"/>
            </w:pPr>
            <w:r>
              <w:t xml:space="preserve">66</w:t>
            </w:r>
          </w:p>
        </w:tc>
      </w:tr>
    </w:tbl>
    <w:p>
      <w:pPr>
        <w:pStyle w:val="Heading2"/>
      </w:pPr>
      <w:bookmarkStart w:id="36" w:name="multinomial-logistic-regression"/>
      <w:bookmarkEnd w:id="36"/>
      <w:r>
        <w:t xml:space="preserve">Multinomial Logistic Regression</w:t>
      </w:r>
    </w:p>
    <w:p>
      <w:pPr>
        <w:pStyle w:val="FirstParagraph"/>
      </w:pPr>
      <w:r>
        <w:t xml:space="preserve">Recall that the response variable for these data is an independent 9-level categorical response. With this response variable in mind, we used the same original and dimension-reduced dataset to apply Multinomial Logistic Regression method. The prediction accuracy again is similar to LDA and QDA, albeit with a slight improvement. For the original dataset, the overall accuracy is 61%. When applying the same method to the dimension-reduced dataset, the oveall accuracy decreases to 56%.</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Alfisols</w:t>
            </w:r>
          </w:p>
        </w:tc>
        <w:tc>
          <w:tcPr>
            <w:tcBorders>
              <w:bottom w:val="single"/>
            </w:tcBorders>
            <w:vAlign w:val="bottom"/>
          </w:tcPr>
          <w:p>
            <w:pPr>
              <w:pStyle w:val="Compact"/>
              <w:jc w:val="right"/>
            </w:pPr>
            <w:r>
              <w:t xml:space="preserve">Andisols</w:t>
            </w:r>
          </w:p>
        </w:tc>
        <w:tc>
          <w:tcPr>
            <w:tcBorders>
              <w:bottom w:val="single"/>
            </w:tcBorders>
            <w:vAlign w:val="bottom"/>
          </w:tcPr>
          <w:p>
            <w:pPr>
              <w:pStyle w:val="Compact"/>
              <w:jc w:val="right"/>
            </w:pPr>
            <w:r>
              <w:t xml:space="preserve">Aridisols</w:t>
            </w:r>
          </w:p>
        </w:tc>
        <w:tc>
          <w:tcPr>
            <w:tcBorders>
              <w:bottom w:val="single"/>
            </w:tcBorders>
            <w:vAlign w:val="bottom"/>
          </w:tcPr>
          <w:p>
            <w:pPr>
              <w:pStyle w:val="Compact"/>
              <w:jc w:val="right"/>
            </w:pPr>
            <w:r>
              <w:t xml:space="preserve">Inceptisols</w:t>
            </w:r>
          </w:p>
        </w:tc>
        <w:tc>
          <w:tcPr>
            <w:tcBorders>
              <w:bottom w:val="single"/>
            </w:tcBorders>
            <w:vAlign w:val="bottom"/>
          </w:tcPr>
          <w:p>
            <w:pPr>
              <w:pStyle w:val="Compact"/>
              <w:jc w:val="right"/>
            </w:pPr>
            <w:r>
              <w:t xml:space="preserve">Mollisols</w:t>
            </w:r>
          </w:p>
        </w:tc>
        <w:tc>
          <w:tcPr>
            <w:tcBorders>
              <w:bottom w:val="single"/>
            </w:tcBorders>
            <w:vAlign w:val="bottom"/>
          </w:tcPr>
          <w:p>
            <w:pPr>
              <w:pStyle w:val="Compact"/>
              <w:jc w:val="right"/>
            </w:pPr>
            <w:r>
              <w:t xml:space="preserve">Oxisols</w:t>
            </w:r>
          </w:p>
        </w:tc>
        <w:tc>
          <w:tcPr>
            <w:tcBorders>
              <w:bottom w:val="single"/>
            </w:tcBorders>
            <w:vAlign w:val="bottom"/>
          </w:tcPr>
          <w:p>
            <w:pPr>
              <w:pStyle w:val="Compact"/>
              <w:jc w:val="right"/>
            </w:pPr>
            <w:r>
              <w:t xml:space="preserve">Spodosols</w:t>
            </w:r>
          </w:p>
        </w:tc>
        <w:tc>
          <w:tcPr>
            <w:tcBorders>
              <w:bottom w:val="single"/>
            </w:tcBorders>
            <w:vAlign w:val="bottom"/>
          </w:tcPr>
          <w:p>
            <w:pPr>
              <w:pStyle w:val="Compact"/>
              <w:jc w:val="right"/>
            </w:pPr>
            <w:r>
              <w:t xml:space="preserve">Ultisols</w:t>
            </w:r>
          </w:p>
        </w:tc>
        <w:tc>
          <w:tcPr>
            <w:tcBorders>
              <w:bottom w:val="single"/>
            </w:tcBorders>
            <w:vAlign w:val="bottom"/>
          </w:tcPr>
          <w:p>
            <w:pPr>
              <w:pStyle w:val="Compact"/>
              <w:jc w:val="right"/>
            </w:pPr>
            <w:r>
              <w:t xml:space="preserve">Vertisols</w:t>
            </w:r>
          </w:p>
        </w:tc>
      </w:tr>
      <w:tr>
        <w:tc>
          <w:p>
            <w:pPr>
              <w:pStyle w:val="Compact"/>
              <w:jc w:val="left"/>
            </w:pPr>
            <w:r>
              <w:t xml:space="preserve">MLR</w:t>
            </w:r>
          </w:p>
        </w:tc>
        <w:tc>
          <w:p>
            <w:pPr>
              <w:pStyle w:val="Compact"/>
              <w:jc w:val="right"/>
            </w:pPr>
            <w:r>
              <w:t xml:space="preserve">68</w:t>
            </w:r>
          </w:p>
        </w:tc>
        <w:tc>
          <w:p>
            <w:pPr>
              <w:pStyle w:val="Compact"/>
              <w:jc w:val="right"/>
            </w:pPr>
            <w:r>
              <w:t xml:space="preserve">58</w:t>
            </w:r>
          </w:p>
        </w:tc>
        <w:tc>
          <w:p>
            <w:pPr>
              <w:pStyle w:val="Compact"/>
              <w:jc w:val="right"/>
            </w:pPr>
            <w:r>
              <w:t xml:space="preserve">55</w:t>
            </w:r>
          </w:p>
        </w:tc>
        <w:tc>
          <w:p>
            <w:pPr>
              <w:pStyle w:val="Compact"/>
              <w:jc w:val="right"/>
            </w:pPr>
            <w:r>
              <w:t xml:space="preserve">22</w:t>
            </w:r>
          </w:p>
        </w:tc>
        <w:tc>
          <w:p>
            <w:pPr>
              <w:pStyle w:val="Compact"/>
              <w:jc w:val="right"/>
            </w:pPr>
            <w:r>
              <w:t xml:space="preserve">66</w:t>
            </w:r>
          </w:p>
        </w:tc>
        <w:tc>
          <w:p>
            <w:pPr>
              <w:pStyle w:val="Compact"/>
              <w:jc w:val="right"/>
            </w:pPr>
            <w:r>
              <w:t xml:space="preserve">47</w:t>
            </w:r>
          </w:p>
        </w:tc>
        <w:tc>
          <w:p>
            <w:pPr>
              <w:pStyle w:val="Compact"/>
              <w:jc w:val="right"/>
            </w:pPr>
            <w:r>
              <w:t xml:space="preserve">48</w:t>
            </w:r>
          </w:p>
        </w:tc>
        <w:tc>
          <w:p>
            <w:pPr>
              <w:pStyle w:val="Compact"/>
              <w:jc w:val="right"/>
            </w:pPr>
            <w:r>
              <w:t xml:space="preserve">74</w:t>
            </w:r>
          </w:p>
        </w:tc>
        <w:tc>
          <w:p>
            <w:pPr>
              <w:pStyle w:val="Compact"/>
              <w:jc w:val="right"/>
            </w:pPr>
            <w:r>
              <w:t xml:space="preserve">54</w:t>
            </w:r>
          </w:p>
        </w:tc>
      </w:tr>
      <w:tr>
        <w:tc>
          <w:p>
            <w:pPr>
              <w:pStyle w:val="Compact"/>
              <w:jc w:val="left"/>
            </w:pPr>
            <w:r>
              <w:t xml:space="preserve">MLR w/ PCA</w:t>
            </w:r>
          </w:p>
        </w:tc>
        <w:tc>
          <w:p>
            <w:pPr>
              <w:pStyle w:val="Compact"/>
              <w:jc w:val="right"/>
            </w:pPr>
            <w:r>
              <w:t xml:space="preserve">59</w:t>
            </w:r>
          </w:p>
        </w:tc>
        <w:tc>
          <w:p>
            <w:pPr>
              <w:pStyle w:val="Compact"/>
              <w:jc w:val="right"/>
            </w:pPr>
            <w:r>
              <w:t xml:space="preserve">47</w:t>
            </w:r>
          </w:p>
        </w:tc>
        <w:tc>
          <w:p>
            <w:pPr>
              <w:pStyle w:val="Compact"/>
              <w:jc w:val="right"/>
            </w:pPr>
            <w:r>
              <w:t xml:space="preserve">49</w:t>
            </w:r>
          </w:p>
        </w:tc>
        <w:tc>
          <w:p>
            <w:pPr>
              <w:pStyle w:val="Compact"/>
              <w:jc w:val="right"/>
            </w:pPr>
            <w:r>
              <w:t xml:space="preserve">13</w:t>
            </w:r>
          </w:p>
        </w:tc>
        <w:tc>
          <w:p>
            <w:pPr>
              <w:pStyle w:val="Compact"/>
              <w:jc w:val="right"/>
            </w:pPr>
            <w:r>
              <w:t xml:space="preserve">66</w:t>
            </w:r>
          </w:p>
        </w:tc>
        <w:tc>
          <w:p>
            <w:pPr>
              <w:pStyle w:val="Compact"/>
              <w:jc w:val="right"/>
            </w:pPr>
            <w:r>
              <w:t xml:space="preserve">18</w:t>
            </w:r>
          </w:p>
        </w:tc>
        <w:tc>
          <w:p>
            <w:pPr>
              <w:pStyle w:val="Compact"/>
              <w:jc w:val="right"/>
            </w:pPr>
            <w:r>
              <w:t xml:space="preserve">55</w:t>
            </w:r>
          </w:p>
        </w:tc>
        <w:tc>
          <w:p>
            <w:pPr>
              <w:pStyle w:val="Compact"/>
              <w:jc w:val="right"/>
            </w:pPr>
            <w:r>
              <w:t xml:space="preserve">79</w:t>
            </w:r>
          </w:p>
        </w:tc>
        <w:tc>
          <w:p>
            <w:pPr>
              <w:pStyle w:val="Compact"/>
              <w:jc w:val="right"/>
            </w:pPr>
            <w:r>
              <w:t xml:space="preserve">44</w:t>
            </w:r>
          </w:p>
        </w:tc>
      </w:tr>
    </w:tbl>
    <w:p>
      <w:pPr>
        <w:pStyle w:val="Heading1"/>
      </w:pPr>
      <w:bookmarkStart w:id="37" w:name="results"/>
      <w:bookmarkEnd w:id="37"/>
      <w:r>
        <w:t xml:space="preserve">Results</w:t>
      </w:r>
    </w:p>
    <w:p>
      <w:pPr>
        <w:pStyle w:val="FirstParagraph"/>
      </w:pPr>
      <w:r>
        <w:t xml:space="preserve">In order to compare the reults it is important to recall the diffences between these three classification approaches. The difference between LDA and logistic regression is that linear coefficients are estimated differently. MLE for logistic models and estimated mean and variance based on Gaussian assumptions for the LDA. LDA makes more restrictive Gaussian assumptions and therefore often expected to work better than logistic models IF they are met. QDA serves as a compromise between non-parametric methods (not explored in this project) and the linear LDA and logistic regression approaches. Since QDA assumes a quadratic decision boundary, it can accurately model a wider range of problems than can the linear methods. QDA can perform better in the presence of a limited number of training observations because it does make some assumptions about the form of the decision boundary.</w:t>
      </w:r>
    </w:p>
    <w:p>
      <w:pPr>
        <w:pStyle w:val="BodyText"/>
      </w:pPr>
      <w:r>
        <w:t xml:space="preserve">The results from these three approaches show that the Multinomial Logistic Regression out performed both LDA and QDA. This is likely due to not meeting the LDA’s normality assumption in addition to having a very large dataset for testing/training.</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Alfisols</w:t>
            </w:r>
          </w:p>
        </w:tc>
        <w:tc>
          <w:tcPr>
            <w:tcBorders>
              <w:bottom w:val="single"/>
            </w:tcBorders>
            <w:vAlign w:val="bottom"/>
          </w:tcPr>
          <w:p>
            <w:pPr>
              <w:pStyle w:val="Compact"/>
              <w:jc w:val="right"/>
            </w:pPr>
            <w:r>
              <w:t xml:space="preserve">Andisols</w:t>
            </w:r>
          </w:p>
        </w:tc>
        <w:tc>
          <w:tcPr>
            <w:tcBorders>
              <w:bottom w:val="single"/>
            </w:tcBorders>
            <w:vAlign w:val="bottom"/>
          </w:tcPr>
          <w:p>
            <w:pPr>
              <w:pStyle w:val="Compact"/>
              <w:jc w:val="right"/>
            </w:pPr>
            <w:r>
              <w:t xml:space="preserve">Aridisols</w:t>
            </w:r>
          </w:p>
        </w:tc>
        <w:tc>
          <w:tcPr>
            <w:tcBorders>
              <w:bottom w:val="single"/>
            </w:tcBorders>
            <w:vAlign w:val="bottom"/>
          </w:tcPr>
          <w:p>
            <w:pPr>
              <w:pStyle w:val="Compact"/>
              <w:jc w:val="right"/>
            </w:pPr>
            <w:r>
              <w:t xml:space="preserve">Inceptisols</w:t>
            </w:r>
          </w:p>
        </w:tc>
        <w:tc>
          <w:tcPr>
            <w:tcBorders>
              <w:bottom w:val="single"/>
            </w:tcBorders>
            <w:vAlign w:val="bottom"/>
          </w:tcPr>
          <w:p>
            <w:pPr>
              <w:pStyle w:val="Compact"/>
              <w:jc w:val="right"/>
            </w:pPr>
            <w:r>
              <w:t xml:space="preserve">Mollisols</w:t>
            </w:r>
          </w:p>
        </w:tc>
        <w:tc>
          <w:tcPr>
            <w:tcBorders>
              <w:bottom w:val="single"/>
            </w:tcBorders>
            <w:vAlign w:val="bottom"/>
          </w:tcPr>
          <w:p>
            <w:pPr>
              <w:pStyle w:val="Compact"/>
              <w:jc w:val="right"/>
            </w:pPr>
            <w:r>
              <w:t xml:space="preserve">Oxisols</w:t>
            </w:r>
          </w:p>
        </w:tc>
        <w:tc>
          <w:tcPr>
            <w:tcBorders>
              <w:bottom w:val="single"/>
            </w:tcBorders>
            <w:vAlign w:val="bottom"/>
          </w:tcPr>
          <w:p>
            <w:pPr>
              <w:pStyle w:val="Compact"/>
              <w:jc w:val="right"/>
            </w:pPr>
            <w:r>
              <w:t xml:space="preserve">Spodosols</w:t>
            </w:r>
          </w:p>
        </w:tc>
        <w:tc>
          <w:tcPr>
            <w:tcBorders>
              <w:bottom w:val="single"/>
            </w:tcBorders>
            <w:vAlign w:val="bottom"/>
          </w:tcPr>
          <w:p>
            <w:pPr>
              <w:pStyle w:val="Compact"/>
              <w:jc w:val="right"/>
            </w:pPr>
            <w:r>
              <w:t xml:space="preserve">Ultisols</w:t>
            </w:r>
          </w:p>
        </w:tc>
        <w:tc>
          <w:tcPr>
            <w:tcBorders>
              <w:bottom w:val="single"/>
            </w:tcBorders>
            <w:vAlign w:val="bottom"/>
          </w:tcPr>
          <w:p>
            <w:pPr>
              <w:pStyle w:val="Compact"/>
              <w:jc w:val="right"/>
            </w:pPr>
            <w:r>
              <w:t xml:space="preserve">Vertisols</w:t>
            </w:r>
          </w:p>
        </w:tc>
        <w:tc>
          <w:tcPr>
            <w:tcBorders>
              <w:bottom w:val="single"/>
            </w:tcBorders>
            <w:vAlign w:val="bottom"/>
          </w:tcPr>
          <w:p>
            <w:pPr>
              <w:pStyle w:val="Compact"/>
              <w:jc w:val="right"/>
            </w:pPr>
            <w:r>
              <w:t xml:space="preserve">Overall</w:t>
            </w:r>
          </w:p>
        </w:tc>
      </w:tr>
      <w:tr>
        <w:tc>
          <w:p>
            <w:pPr>
              <w:pStyle w:val="Compact"/>
              <w:jc w:val="left"/>
            </w:pPr>
            <w:r>
              <w:t xml:space="preserve">LDA</w:t>
            </w:r>
          </w:p>
        </w:tc>
        <w:tc>
          <w:p>
            <w:pPr>
              <w:pStyle w:val="Compact"/>
              <w:jc w:val="right"/>
            </w:pPr>
            <w:r>
              <w:t xml:space="preserve">0.59</w:t>
            </w:r>
          </w:p>
        </w:tc>
        <w:tc>
          <w:p>
            <w:pPr>
              <w:pStyle w:val="Compact"/>
              <w:jc w:val="right"/>
            </w:pPr>
            <w:r>
              <w:t xml:space="preserve">0.59</w:t>
            </w:r>
          </w:p>
        </w:tc>
        <w:tc>
          <w:p>
            <w:pPr>
              <w:pStyle w:val="Compact"/>
              <w:jc w:val="right"/>
            </w:pPr>
            <w:r>
              <w:t xml:space="preserve">0.54</w:t>
            </w:r>
          </w:p>
        </w:tc>
        <w:tc>
          <w:p>
            <w:pPr>
              <w:pStyle w:val="Compact"/>
              <w:jc w:val="right"/>
            </w:pPr>
            <w:r>
              <w:t xml:space="preserve">0.15</w:t>
            </w:r>
          </w:p>
        </w:tc>
        <w:tc>
          <w:p>
            <w:pPr>
              <w:pStyle w:val="Compact"/>
              <w:jc w:val="right"/>
            </w:pPr>
            <w:r>
              <w:t xml:space="preserve">0.67</w:t>
            </w:r>
          </w:p>
        </w:tc>
        <w:tc>
          <w:p>
            <w:pPr>
              <w:pStyle w:val="Compact"/>
              <w:jc w:val="right"/>
            </w:pPr>
            <w:r>
              <w:t xml:space="preserve">0.53</w:t>
            </w:r>
          </w:p>
        </w:tc>
        <w:tc>
          <w:p>
            <w:pPr>
              <w:pStyle w:val="Compact"/>
              <w:jc w:val="right"/>
            </w:pPr>
            <w:r>
              <w:t xml:space="preserve">0.27</w:t>
            </w:r>
          </w:p>
        </w:tc>
        <w:tc>
          <w:p>
            <w:pPr>
              <w:pStyle w:val="Compact"/>
              <w:jc w:val="right"/>
            </w:pPr>
            <w:r>
              <w:t xml:space="preserve">0.79</w:t>
            </w:r>
          </w:p>
        </w:tc>
        <w:tc>
          <w:p>
            <w:pPr>
              <w:pStyle w:val="Compact"/>
              <w:jc w:val="right"/>
            </w:pPr>
            <w:r>
              <w:t xml:space="preserve">0.63</w:t>
            </w:r>
          </w:p>
        </w:tc>
        <w:tc>
          <w:p>
            <w:pPr>
              <w:pStyle w:val="Compact"/>
              <w:jc w:val="right"/>
            </w:pPr>
            <w:r>
              <w:t xml:space="preserve">0.58</w:t>
            </w:r>
          </w:p>
        </w:tc>
      </w:tr>
      <w:tr>
        <w:tc>
          <w:p>
            <w:pPr>
              <w:pStyle w:val="Compact"/>
              <w:jc w:val="left"/>
            </w:pPr>
            <w:r>
              <w:t xml:space="preserve">QDA</w:t>
            </w:r>
          </w:p>
        </w:tc>
        <w:tc>
          <w:p>
            <w:pPr>
              <w:pStyle w:val="Compact"/>
              <w:jc w:val="right"/>
            </w:pPr>
            <w:r>
              <w:t xml:space="preserve">0.68</w:t>
            </w:r>
          </w:p>
        </w:tc>
        <w:tc>
          <w:p>
            <w:pPr>
              <w:pStyle w:val="Compact"/>
              <w:jc w:val="right"/>
            </w:pPr>
            <w:r>
              <w:t xml:space="preserve">0.47</w:t>
            </w:r>
          </w:p>
        </w:tc>
        <w:tc>
          <w:p>
            <w:pPr>
              <w:pStyle w:val="Compact"/>
              <w:jc w:val="right"/>
            </w:pPr>
            <w:r>
              <w:t xml:space="preserve">0.55</w:t>
            </w:r>
          </w:p>
        </w:tc>
        <w:tc>
          <w:p>
            <w:pPr>
              <w:pStyle w:val="Compact"/>
              <w:jc w:val="right"/>
            </w:pPr>
            <w:r>
              <w:t xml:space="preserve">0.25</w:t>
            </w:r>
          </w:p>
        </w:tc>
        <w:tc>
          <w:p>
            <w:pPr>
              <w:pStyle w:val="Compact"/>
              <w:jc w:val="right"/>
            </w:pPr>
            <w:r>
              <w:t xml:space="preserve">0.47</w:t>
            </w:r>
          </w:p>
        </w:tc>
        <w:tc>
          <w:p>
            <w:pPr>
              <w:pStyle w:val="Compact"/>
              <w:jc w:val="right"/>
            </w:pPr>
            <w:r>
              <w:t xml:space="preserve">0.88</w:t>
            </w:r>
          </w:p>
        </w:tc>
        <w:tc>
          <w:p>
            <w:pPr>
              <w:pStyle w:val="Compact"/>
              <w:jc w:val="right"/>
            </w:pPr>
            <w:r>
              <w:t xml:space="preserve">0.36</w:t>
            </w:r>
          </w:p>
        </w:tc>
        <w:tc>
          <w:p>
            <w:pPr>
              <w:pStyle w:val="Compact"/>
              <w:jc w:val="right"/>
            </w:pPr>
            <w:r>
              <w:t xml:space="preserve">0.83</w:t>
            </w:r>
          </w:p>
        </w:tc>
        <w:tc>
          <w:p>
            <w:pPr>
              <w:pStyle w:val="Compact"/>
              <w:jc w:val="right"/>
            </w:pPr>
            <w:r>
              <w:t xml:space="preserve">0.72</w:t>
            </w:r>
          </w:p>
        </w:tc>
        <w:tc>
          <w:p>
            <w:pPr>
              <w:pStyle w:val="Compact"/>
              <w:jc w:val="right"/>
            </w:pPr>
            <w:r>
              <w:t xml:space="preserve">0.58</w:t>
            </w:r>
          </w:p>
        </w:tc>
      </w:tr>
      <w:tr>
        <w:tc>
          <w:p>
            <w:pPr>
              <w:pStyle w:val="Compact"/>
              <w:jc w:val="left"/>
            </w:pPr>
            <w:r>
              <w:t xml:space="preserve">MLR</w:t>
            </w:r>
          </w:p>
        </w:tc>
        <w:tc>
          <w:p>
            <w:pPr>
              <w:pStyle w:val="Compact"/>
              <w:jc w:val="right"/>
            </w:pPr>
            <w:r>
              <w:t xml:space="preserve">0.68</w:t>
            </w:r>
          </w:p>
        </w:tc>
        <w:tc>
          <w:p>
            <w:pPr>
              <w:pStyle w:val="Compact"/>
              <w:jc w:val="right"/>
            </w:pPr>
            <w:r>
              <w:t xml:space="preserve">0.58</w:t>
            </w:r>
          </w:p>
        </w:tc>
        <w:tc>
          <w:p>
            <w:pPr>
              <w:pStyle w:val="Compact"/>
              <w:jc w:val="right"/>
            </w:pPr>
            <w:r>
              <w:t xml:space="preserve">0.55</w:t>
            </w:r>
          </w:p>
        </w:tc>
        <w:tc>
          <w:p>
            <w:pPr>
              <w:pStyle w:val="Compact"/>
              <w:jc w:val="right"/>
            </w:pPr>
            <w:r>
              <w:t xml:space="preserve">0.22</w:t>
            </w:r>
          </w:p>
        </w:tc>
        <w:tc>
          <w:p>
            <w:pPr>
              <w:pStyle w:val="Compact"/>
              <w:jc w:val="right"/>
            </w:pPr>
            <w:r>
              <w:t xml:space="preserve">0.66</w:t>
            </w:r>
          </w:p>
        </w:tc>
        <w:tc>
          <w:p>
            <w:pPr>
              <w:pStyle w:val="Compact"/>
              <w:jc w:val="right"/>
            </w:pPr>
            <w:r>
              <w:t xml:space="preserve">0.47</w:t>
            </w:r>
          </w:p>
        </w:tc>
        <w:tc>
          <w:p>
            <w:pPr>
              <w:pStyle w:val="Compact"/>
              <w:jc w:val="right"/>
            </w:pPr>
            <w:r>
              <w:t xml:space="preserve">0.48</w:t>
            </w:r>
          </w:p>
        </w:tc>
        <w:tc>
          <w:p>
            <w:pPr>
              <w:pStyle w:val="Compact"/>
              <w:jc w:val="right"/>
            </w:pPr>
            <w:r>
              <w:t xml:space="preserve">0.74</w:t>
            </w:r>
          </w:p>
        </w:tc>
        <w:tc>
          <w:p>
            <w:pPr>
              <w:pStyle w:val="Compact"/>
              <w:jc w:val="right"/>
            </w:pPr>
            <w:r>
              <w:t xml:space="preserve">0.54</w:t>
            </w:r>
          </w:p>
        </w:tc>
        <w:tc>
          <w:p>
            <w:pPr>
              <w:pStyle w:val="Compact"/>
              <w:jc w:val="right"/>
            </w:pPr>
            <w:r>
              <w:t xml:space="preserve">0.61</w:t>
            </w:r>
          </w:p>
        </w:tc>
      </w:tr>
    </w:tbl>
    <w:p>
      <w:pPr>
        <w:pStyle w:val="Heading1"/>
      </w:pPr>
      <w:bookmarkStart w:id="38" w:name="contributions"/>
      <w:bookmarkEnd w:id="38"/>
      <w:r>
        <w:t xml:space="preserve">Contributions</w:t>
      </w:r>
    </w:p>
    <w:p>
      <w:pPr>
        <w:pStyle w:val="FirstParagraph"/>
      </w:pPr>
      <w:r>
        <w:t xml:space="preserve">The different tasks required to complete this project were equally divided between Meridith and Fei. LDA and QDA analyses were completed by Fei while Meridith was responsible for MLR and model comparisons. Both members of this group contributed to the presentation slides and this report.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73f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
  <dcterms:created xsi:type="dcterms:W3CDTF">2018-02-23T15:46:30Z</dcterms:created>
  <dcterms:modified xsi:type="dcterms:W3CDTF">2018-02-23T15:46:30Z</dcterms:modified>
</cp:coreProperties>
</file>